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1E5E" w14:textId="77777777" w:rsidR="00843C1D" w:rsidRDefault="00843C1D" w:rsidP="00843C1D">
      <w:pPr>
        <w:pStyle w:val="StandardWeb"/>
      </w:pPr>
      <w:r>
        <w:rPr>
          <w:rStyle w:val="Fett"/>
        </w:rPr>
        <w:t>Quellenverzeichnis (</w:t>
      </w:r>
      <w:proofErr w:type="spellStart"/>
      <w:r>
        <w:rPr>
          <w:rStyle w:val="Fett"/>
        </w:rPr>
        <w:t>Dissertationnotation</w:t>
      </w:r>
      <w:proofErr w:type="spellEnd"/>
      <w:r>
        <w:rPr>
          <w:rStyle w:val="Fett"/>
        </w:rPr>
        <w:t>)</w:t>
      </w:r>
    </w:p>
    <w:p w14:paraId="2B4F0425" w14:textId="77777777" w:rsidR="00843C1D" w:rsidRDefault="00843C1D" w:rsidP="00843C1D">
      <w:pPr>
        <w:pStyle w:val="StandardWeb"/>
        <w:ind w:left="720"/>
        <w:rPr>
          <w:rStyle w:val="IntensiveHervorhebung"/>
          <w:i w:val="0"/>
          <w:iCs w:val="0"/>
          <w:color w:val="auto"/>
        </w:rPr>
      </w:pPr>
      <w:r>
        <w:t xml:space="preserve">[1] Cantor, G. (1895): Beiträge zur Begründung der transfiniten Mengenlehre. </w:t>
      </w:r>
      <w:r>
        <w:rPr>
          <w:rStyle w:val="Hervorhebung"/>
        </w:rPr>
        <w:t>Mathematische Annalen</w:t>
      </w:r>
      <w:r>
        <w:t>, 46, S. 481–512.</w:t>
      </w:r>
      <w:r>
        <w:br/>
        <w:t xml:space="preserve">[2] Dehaene, S. (2011):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Number</w:t>
      </w:r>
      <w:proofErr w:type="spellEnd"/>
      <w:r>
        <w:rPr>
          <w:rStyle w:val="Hervorhebung"/>
        </w:rPr>
        <w:t xml:space="preserve"> Sense: </w:t>
      </w:r>
      <w:proofErr w:type="spellStart"/>
      <w:r>
        <w:rPr>
          <w:rStyle w:val="Hervorhebung"/>
        </w:rPr>
        <w:t>How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Mind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Creates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Mathematics</w:t>
      </w:r>
      <w:proofErr w:type="spellEnd"/>
      <w:r>
        <w:t>. Oxford: Oxford University Press, Kap. 1.</w:t>
      </w:r>
      <w:r>
        <w:br/>
        <w:t xml:space="preserve">[3] Luhmann, N. (1984): </w:t>
      </w:r>
      <w:r>
        <w:rPr>
          <w:rStyle w:val="Hervorhebung"/>
        </w:rPr>
        <w:t>Soziale Systeme</w:t>
      </w:r>
      <w:r>
        <w:t>. Frankfurt a. M.: Suhrkamp, S. 45–47.</w:t>
      </w:r>
      <w:r>
        <w:br/>
        <w:t xml:space="preserve">[4] Assmann, J. (1992): </w:t>
      </w:r>
      <w:r>
        <w:rPr>
          <w:rStyle w:val="Hervorhebung"/>
        </w:rPr>
        <w:t>Das kulturelle Gedächtnis</w:t>
      </w:r>
      <w:r>
        <w:t>. München: Beck, Kap. 2.</w:t>
      </w:r>
      <w:r>
        <w:br/>
        <w:t xml:space="preserve">[5] Maturana, H. R. &amp; Varela, F. J. (1980):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t>. Dordrecht: Reidel, S. 13–22.</w:t>
      </w:r>
      <w:r>
        <w:br/>
        <w:t xml:space="preserve">[6] Varela, F. J., Thompson, E. &amp; Rosch, E. (1991):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Embodied</w:t>
      </w:r>
      <w:proofErr w:type="spellEnd"/>
      <w:r>
        <w:rPr>
          <w:rStyle w:val="Hervorhebung"/>
        </w:rPr>
        <w:t xml:space="preserve"> Mind</w:t>
      </w:r>
      <w:r>
        <w:t>. Cambridge, MA: MIT Press, Kap. 3.</w:t>
      </w:r>
      <w:r>
        <w:br/>
        <w:t xml:space="preserve">[7] Fischer, R. et al. (2012): </w:t>
      </w:r>
      <w:r>
        <w:rPr>
          <w:rStyle w:val="Hervorhebung"/>
        </w:rPr>
        <w:t>Lernen durch Modellieren</w:t>
      </w:r>
      <w:r>
        <w:t>. Berlin: Springer, S. 18–21.</w:t>
      </w:r>
      <w:r>
        <w:br/>
        <w:t>[8] Wittmann, E. C. (1981): Strukturgedanken zum Mathematikunterricht. IDM, S. 5.</w:t>
      </w:r>
      <w:r>
        <w:br/>
        <w:t xml:space="preserve">[9] Heidegger, M. (1927): </w:t>
      </w:r>
      <w:r>
        <w:rPr>
          <w:rStyle w:val="Hervorhebung"/>
        </w:rPr>
        <w:t>Sein und Zeit</w:t>
      </w:r>
      <w:r>
        <w:t>. Tübingen: Niemeyer, § 9.</w:t>
      </w:r>
      <w:r>
        <w:br/>
        <w:t xml:space="preserve">[10] Simon, H. A. (1969): </w:t>
      </w:r>
      <w:r>
        <w:rPr>
          <w:rStyle w:val="Hervorhebung"/>
        </w:rPr>
        <w:t xml:space="preserve">The Sciences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Artificial</w:t>
      </w:r>
      <w:proofErr w:type="spellEnd"/>
      <w:r>
        <w:t>. Cambridge, MA: MIT Press, Kap. 2.</w:t>
      </w:r>
      <w:r>
        <w:br/>
        <w:t xml:space="preserve">[11] </w:t>
      </w:r>
      <w:proofErr w:type="spellStart"/>
      <w:r>
        <w:t>Flavell</w:t>
      </w:r>
      <w:proofErr w:type="spellEnd"/>
      <w:r>
        <w:t xml:space="preserve">, J. H. (1979): </w:t>
      </w:r>
      <w:proofErr w:type="spellStart"/>
      <w:r>
        <w:t>Metacognition</w:t>
      </w:r>
      <w:proofErr w:type="spellEnd"/>
      <w:r>
        <w:t xml:space="preserve"> and </w:t>
      </w:r>
      <w:proofErr w:type="spellStart"/>
      <w:r>
        <w:t>Cognitive</w:t>
      </w:r>
      <w:proofErr w:type="spellEnd"/>
      <w:r>
        <w:t xml:space="preserve"> Monitoring. In: </w:t>
      </w:r>
      <w:r>
        <w:rPr>
          <w:rStyle w:val="Hervorhebung"/>
        </w:rPr>
        <w:t xml:space="preserve">American </w:t>
      </w:r>
      <w:proofErr w:type="spellStart"/>
      <w:r>
        <w:rPr>
          <w:rStyle w:val="Hervorhebung"/>
        </w:rPr>
        <w:t>Psychologist</w:t>
      </w:r>
      <w:proofErr w:type="spellEnd"/>
      <w:r>
        <w:t>, 34(10), S. 906–911.</w:t>
      </w:r>
      <w:r>
        <w:br/>
        <w:t xml:space="preserve">[12] </w:t>
      </w:r>
      <w:proofErr w:type="spellStart"/>
      <w:r>
        <w:t>Misner</w:t>
      </w:r>
      <w:proofErr w:type="spellEnd"/>
      <w:r>
        <w:t xml:space="preserve">, C. W., Thorne, K. S. &amp; Wheeler, J. A. (1973): </w:t>
      </w:r>
      <w:r>
        <w:rPr>
          <w:rStyle w:val="Hervorhebung"/>
        </w:rPr>
        <w:t>Gravitation</w:t>
      </w:r>
      <w:r>
        <w:t>. San Francisco: Freeman, S. 31–36.</w:t>
      </w:r>
      <w:r>
        <w:br/>
        <w:t xml:space="preserve">[13] </w:t>
      </w:r>
      <w:proofErr w:type="spellStart"/>
      <w:r>
        <w:t>Spivak</w:t>
      </w:r>
      <w:proofErr w:type="spellEnd"/>
      <w:r>
        <w:t xml:space="preserve">, M. (1999): </w:t>
      </w:r>
      <w:r>
        <w:rPr>
          <w:rStyle w:val="Hervorhebung"/>
        </w:rPr>
        <w:t xml:space="preserve">A </w:t>
      </w:r>
      <w:proofErr w:type="spellStart"/>
      <w:r>
        <w:rPr>
          <w:rStyle w:val="Hervorhebung"/>
        </w:rPr>
        <w:t>Comprehensive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Differential </w:t>
      </w:r>
      <w:proofErr w:type="spellStart"/>
      <w:r>
        <w:rPr>
          <w:rStyle w:val="Hervorhebung"/>
        </w:rPr>
        <w:t>Geometry</w:t>
      </w:r>
      <w:proofErr w:type="spellEnd"/>
      <w:r>
        <w:t xml:space="preserve">, Vol. 1. Houston: Publish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Perish</w:t>
      </w:r>
      <w:proofErr w:type="spellEnd"/>
      <w:r>
        <w:t>, Kap. 1.</w:t>
      </w:r>
      <w:r>
        <w:br/>
        <w:t xml:space="preserve">[14] </w:t>
      </w:r>
      <w:proofErr w:type="spellStart"/>
      <w:r>
        <w:t>Dennett</w:t>
      </w:r>
      <w:proofErr w:type="spellEnd"/>
      <w:r>
        <w:t xml:space="preserve">, D. C. (1978): </w:t>
      </w:r>
      <w:proofErr w:type="spellStart"/>
      <w:r>
        <w:rPr>
          <w:rStyle w:val="Hervorhebung"/>
        </w:rPr>
        <w:t>Brainstorms</w:t>
      </w:r>
      <w:proofErr w:type="spellEnd"/>
      <w:r>
        <w:rPr>
          <w:rStyle w:val="Hervorhebung"/>
        </w:rPr>
        <w:t xml:space="preserve">: </w:t>
      </w:r>
      <w:proofErr w:type="spellStart"/>
      <w:r>
        <w:rPr>
          <w:rStyle w:val="Hervorhebung"/>
        </w:rPr>
        <w:t>Philosophical</w:t>
      </w:r>
      <w:proofErr w:type="spellEnd"/>
      <w:r>
        <w:rPr>
          <w:rStyle w:val="Hervorhebung"/>
        </w:rPr>
        <w:t xml:space="preserve"> Essays on </w:t>
      </w:r>
      <w:proofErr w:type="spellStart"/>
      <w:r>
        <w:rPr>
          <w:rStyle w:val="Hervorhebung"/>
        </w:rPr>
        <w:t>Mind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Psychology</w:t>
      </w:r>
      <w:proofErr w:type="spellEnd"/>
      <w:r>
        <w:t>. Cambridge, MA: MIT Press, S. 76–80.</w:t>
      </w:r>
      <w:r>
        <w:br/>
        <w:t xml:space="preserve">[15] Montague, R. (1974): </w:t>
      </w:r>
      <w:r>
        <w:rPr>
          <w:rStyle w:val="Hervorhebung"/>
        </w:rPr>
        <w:t>Formal Philosophy: Selected Papers</w:t>
      </w:r>
      <w:r>
        <w:t>. New Haven: Yale University Press, S. 115–117.</w:t>
      </w:r>
      <w:r>
        <w:br/>
        <w:t xml:space="preserve">[16] von Foerster, Heinz (1979): </w:t>
      </w:r>
      <w:proofErr w:type="spellStart"/>
      <w:r>
        <w:rPr>
          <w:rStyle w:val="Hervorhebung"/>
        </w:rPr>
        <w:t>Cybernetics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Cybernetics</w:t>
      </w:r>
      <w:proofErr w:type="spellEnd"/>
      <w:r>
        <w:t>. BCL Report.</w:t>
      </w:r>
      <w:r>
        <w:br/>
        <w:t xml:space="preserve">[17] </w:t>
      </w:r>
      <w:proofErr w:type="spellStart"/>
      <w:r>
        <w:t>Suppes</w:t>
      </w:r>
      <w:proofErr w:type="spellEnd"/>
      <w:r>
        <w:t xml:space="preserve">, P. (1972): </w:t>
      </w:r>
      <w:proofErr w:type="spellStart"/>
      <w:r>
        <w:rPr>
          <w:rStyle w:val="Hervorhebung"/>
        </w:rPr>
        <w:t>Axiomatic</w:t>
      </w:r>
      <w:proofErr w:type="spellEnd"/>
      <w:r>
        <w:rPr>
          <w:rStyle w:val="Hervorhebung"/>
        </w:rPr>
        <w:t xml:space="preserve"> Set Theory</w:t>
      </w:r>
      <w:r>
        <w:t>. New York: Dover Publications, S. 1.</w:t>
      </w:r>
      <w:r>
        <w:br/>
        <w:t xml:space="preserve">[18] Brouwer, L. E. J. (1913): </w:t>
      </w:r>
      <w:proofErr w:type="spellStart"/>
      <w:r>
        <w:t>Intuitionism</w:t>
      </w:r>
      <w:proofErr w:type="spellEnd"/>
      <w:r>
        <w:t xml:space="preserve"> and </w:t>
      </w:r>
      <w:proofErr w:type="spellStart"/>
      <w:r>
        <w:t>Formalism</w:t>
      </w:r>
      <w:proofErr w:type="spellEnd"/>
      <w:r>
        <w:t>. In: Benacerraf, P. &amp; Putnam, H. (</w:t>
      </w:r>
      <w:proofErr w:type="spellStart"/>
      <w:r>
        <w:t>Hg</w:t>
      </w:r>
      <w:proofErr w:type="spellEnd"/>
      <w:r>
        <w:t xml:space="preserve">.): </w:t>
      </w:r>
      <w:r>
        <w:rPr>
          <w:rStyle w:val="Hervorhebung"/>
        </w:rPr>
        <w:t xml:space="preserve">Philosophy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Mathematics</w:t>
      </w:r>
      <w:proofErr w:type="spellEnd"/>
      <w:r>
        <w:t>. Cambridge: Cambridge University Press.</w:t>
      </w:r>
      <w:r>
        <w:br/>
        <w:t xml:space="preserve">[19] Weyl, H. (1927): </w:t>
      </w:r>
      <w:r>
        <w:rPr>
          <w:rStyle w:val="Hervorhebung"/>
        </w:rPr>
        <w:t>Philosophie der Mathematik und Naturwissenschaften</w:t>
      </w:r>
      <w:r>
        <w:t xml:space="preserve">. München: </w:t>
      </w:r>
      <w:proofErr w:type="spellStart"/>
      <w:r>
        <w:t>Oldenbourg</w:t>
      </w:r>
      <w:proofErr w:type="spellEnd"/>
      <w:r>
        <w:t>, Kap. 1.</w:t>
      </w:r>
      <w:r>
        <w:br/>
        <w:t xml:space="preserve">[20] Heidegger, M. (1927): </w:t>
      </w:r>
      <w:r>
        <w:rPr>
          <w:rStyle w:val="Hervorhebung"/>
        </w:rPr>
        <w:t>Sein und Zeit</w:t>
      </w:r>
      <w:r>
        <w:t>. Tübingen: Niemeyer, § 44.</w:t>
      </w:r>
      <w:r>
        <w:br/>
        <w:t xml:space="preserve">[21] Deleuze, G. (1968): </w:t>
      </w:r>
      <w:proofErr w:type="spellStart"/>
      <w:r>
        <w:rPr>
          <w:rStyle w:val="Hervorhebung"/>
        </w:rPr>
        <w:t>Différence</w:t>
      </w:r>
      <w:proofErr w:type="spellEnd"/>
      <w:r>
        <w:rPr>
          <w:rStyle w:val="Hervorhebung"/>
        </w:rPr>
        <w:t xml:space="preserve"> et </w:t>
      </w:r>
      <w:proofErr w:type="spellStart"/>
      <w:r>
        <w:rPr>
          <w:rStyle w:val="Hervorhebung"/>
        </w:rPr>
        <w:t>répétition</w:t>
      </w:r>
      <w:proofErr w:type="spellEnd"/>
      <w:r>
        <w:t xml:space="preserve">. Paris: Presses </w:t>
      </w:r>
      <w:proofErr w:type="spellStart"/>
      <w:r>
        <w:t>Universitaires</w:t>
      </w:r>
      <w:proofErr w:type="spellEnd"/>
      <w:r>
        <w:t xml:space="preserve"> de France, S. 56–61.</w:t>
      </w:r>
      <w:r>
        <w:br/>
        <w:t xml:space="preserve">[22] Penrose, R. (2004): </w:t>
      </w:r>
      <w:r>
        <w:rPr>
          <w:rStyle w:val="Hervorhebung"/>
        </w:rPr>
        <w:t xml:space="preserve">The Road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Reality</w:t>
      </w:r>
      <w:r>
        <w:t>. London: Jonathan Cape, S. 495–500.</w:t>
      </w:r>
      <w:r>
        <w:br/>
        <w:t xml:space="preserve">[23] </w:t>
      </w:r>
      <w:proofErr w:type="spellStart"/>
      <w:r>
        <w:t>Kauffman</w:t>
      </w:r>
      <w:proofErr w:type="spellEnd"/>
      <w:r>
        <w:t xml:space="preserve">, S. A. (1993): </w:t>
      </w:r>
      <w:r>
        <w:rPr>
          <w:rStyle w:val="Hervorhebung"/>
        </w:rPr>
        <w:t xml:space="preserve">The Origins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Order</w:t>
      </w:r>
      <w:r>
        <w:t>. Oxford: Oxford University Press, Kap. 4.</w:t>
      </w:r>
      <w:r>
        <w:br/>
        <w:t xml:space="preserve">[24] Witten, E. (1995): String Theory Dynamics in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. </w:t>
      </w:r>
      <w:proofErr w:type="spellStart"/>
      <w:r>
        <w:rPr>
          <w:rStyle w:val="Hervorhebung"/>
        </w:rPr>
        <w:t>Nuclear</w:t>
      </w:r>
      <w:proofErr w:type="spellEnd"/>
      <w:r>
        <w:rPr>
          <w:rStyle w:val="Hervorhebung"/>
        </w:rPr>
        <w:t xml:space="preserve"> Physics B</w:t>
      </w:r>
      <w:r>
        <w:t>, 443, S. 85–126.</w:t>
      </w:r>
      <w:r>
        <w:br/>
        <w:t xml:space="preserve">[25] Pulvermüller, F. (2005): Brain </w:t>
      </w:r>
      <w:proofErr w:type="spellStart"/>
      <w:r>
        <w:t>Mechanisms</w:t>
      </w:r>
      <w:proofErr w:type="spellEnd"/>
      <w:r>
        <w:t xml:space="preserve"> Linking Language and Action. </w:t>
      </w:r>
      <w:r>
        <w:rPr>
          <w:rStyle w:val="Hervorhebung"/>
        </w:rPr>
        <w:t xml:space="preserve">Nature Reviews </w:t>
      </w:r>
      <w:proofErr w:type="spellStart"/>
      <w:r>
        <w:rPr>
          <w:rStyle w:val="Hervorhebung"/>
        </w:rPr>
        <w:t>Neuroscience</w:t>
      </w:r>
      <w:proofErr w:type="spellEnd"/>
      <w:r>
        <w:t>, 6(7), S. 576–582.</w:t>
      </w:r>
      <w:r>
        <w:br/>
        <w:t xml:space="preserve">[26] Krantz, D. H., Luce, R. D., </w:t>
      </w:r>
      <w:proofErr w:type="spellStart"/>
      <w:r>
        <w:t>Suppes</w:t>
      </w:r>
      <w:proofErr w:type="spellEnd"/>
      <w:r>
        <w:t xml:space="preserve">, P. &amp; Tversky, A. (1971): </w:t>
      </w:r>
      <w:r>
        <w:rPr>
          <w:rStyle w:val="Hervorhebung"/>
        </w:rPr>
        <w:t xml:space="preserve">Foundations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Measurement</w:t>
      </w:r>
      <w:r>
        <w:t>, Vol. I. New York: Academic Press, S. 20.</w:t>
      </w:r>
      <w:r>
        <w:br/>
        <w:t xml:space="preserve">[27] </w:t>
      </w:r>
      <w:proofErr w:type="spellStart"/>
      <w:r>
        <w:t>Sfard</w:t>
      </w:r>
      <w:proofErr w:type="spellEnd"/>
      <w:r>
        <w:t xml:space="preserve">, A. (2008): </w:t>
      </w:r>
      <w:proofErr w:type="spellStart"/>
      <w:r>
        <w:rPr>
          <w:rStyle w:val="Hervorhebung"/>
        </w:rPr>
        <w:t>Thinking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as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Communicating</w:t>
      </w:r>
      <w:proofErr w:type="spellEnd"/>
      <w:r>
        <w:t>. Cambridge: Cambridge University Press, Kap. 5.</w:t>
      </w:r>
      <w:r>
        <w:br/>
        <w:t xml:space="preserve">[28] Spencer-Brown, George (1969): </w:t>
      </w:r>
      <w:r>
        <w:rPr>
          <w:rStyle w:val="Hervorhebung"/>
        </w:rPr>
        <w:t xml:space="preserve">Laws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Form</w:t>
      </w:r>
      <w:r>
        <w:t xml:space="preserve">. George Allen &amp; </w:t>
      </w:r>
      <w:proofErr w:type="spellStart"/>
      <w:r>
        <w:t>Unwin</w:t>
      </w:r>
      <w:proofErr w:type="spellEnd"/>
      <w:r>
        <w:t>, Kap. 1.</w:t>
      </w:r>
      <w:r>
        <w:br/>
        <w:t>[29] Martin-</w:t>
      </w:r>
      <w:proofErr w:type="spellStart"/>
      <w:r>
        <w:t>Löf</w:t>
      </w:r>
      <w:proofErr w:type="spellEnd"/>
      <w:r>
        <w:t xml:space="preserve">, Per (1984): </w:t>
      </w:r>
      <w:proofErr w:type="spellStart"/>
      <w:r>
        <w:rPr>
          <w:rStyle w:val="Hervorhebung"/>
        </w:rPr>
        <w:t>Intuitionistic</w:t>
      </w:r>
      <w:proofErr w:type="spellEnd"/>
      <w:r>
        <w:rPr>
          <w:rStyle w:val="Hervorhebung"/>
        </w:rPr>
        <w:t xml:space="preserve"> Type Theory</w:t>
      </w:r>
      <w:r>
        <w:t xml:space="preserve">. </w:t>
      </w:r>
      <w:proofErr w:type="spellStart"/>
      <w:r>
        <w:t>Bibliopolis</w:t>
      </w:r>
      <w:proofErr w:type="spellEnd"/>
      <w:r>
        <w:t>, S. 5–6.</w:t>
      </w:r>
      <w:r>
        <w:br/>
        <w:t xml:space="preserve">[30] Knuth, Donald E. (1997): </w:t>
      </w:r>
      <w:r>
        <w:rPr>
          <w:rStyle w:val="Hervorhebung"/>
        </w:rPr>
        <w:t xml:space="preserve">The Art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Computer </w:t>
      </w:r>
      <w:proofErr w:type="spellStart"/>
      <w:r>
        <w:rPr>
          <w:rStyle w:val="Hervorhebung"/>
        </w:rPr>
        <w:t>Programming</w:t>
      </w:r>
      <w:proofErr w:type="spellEnd"/>
      <w:r>
        <w:t>, Bd. 1, S. 1.3.</w:t>
      </w:r>
      <w:r>
        <w:br/>
      </w:r>
      <w:r>
        <w:lastRenderedPageBreak/>
        <w:t xml:space="preserve">[31] Bruder, Regina / </w:t>
      </w:r>
      <w:proofErr w:type="spellStart"/>
      <w:r>
        <w:t>Käpnick</w:t>
      </w:r>
      <w:proofErr w:type="spellEnd"/>
      <w:r>
        <w:t xml:space="preserve">, Friedhelm (2005): </w:t>
      </w:r>
      <w:r>
        <w:rPr>
          <w:rStyle w:val="Hervorhebung"/>
        </w:rPr>
        <w:t>Denkwege zur Mathematik</w:t>
      </w:r>
      <w:r>
        <w:t>. Cornelsen, S. 12–14.</w:t>
      </w:r>
      <w:r>
        <w:br/>
        <w:t xml:space="preserve">[32] von Foerster, Heinz (2002): </w:t>
      </w:r>
      <w:r>
        <w:rPr>
          <w:rStyle w:val="Hervorhebung"/>
        </w:rPr>
        <w:t xml:space="preserve">Understanding </w:t>
      </w:r>
      <w:proofErr w:type="spellStart"/>
      <w:r>
        <w:rPr>
          <w:rStyle w:val="Hervorhebung"/>
        </w:rPr>
        <w:t>Understanding</w:t>
      </w:r>
      <w:proofErr w:type="spellEnd"/>
      <w:r>
        <w:t>. Springer, S. 8–11.</w:t>
      </w:r>
      <w:r>
        <w:br/>
        <w:t xml:space="preserve">[33] Baez, John / </w:t>
      </w:r>
      <w:proofErr w:type="spellStart"/>
      <w:r>
        <w:t>Stay</w:t>
      </w:r>
      <w:proofErr w:type="spellEnd"/>
      <w:r>
        <w:t xml:space="preserve">, Mike (2010): Physics, </w:t>
      </w:r>
      <w:proofErr w:type="spellStart"/>
      <w:r>
        <w:t>Topology</w:t>
      </w:r>
      <w:proofErr w:type="spellEnd"/>
      <w:r>
        <w:t xml:space="preserve">, </w:t>
      </w:r>
      <w:proofErr w:type="spellStart"/>
      <w:r>
        <w:t>Logic</w:t>
      </w:r>
      <w:proofErr w:type="spellEnd"/>
      <w:r>
        <w:t xml:space="preserve"> and </w:t>
      </w:r>
      <w:proofErr w:type="spellStart"/>
      <w:r>
        <w:t>Computation</w:t>
      </w:r>
      <w:proofErr w:type="spellEnd"/>
      <w:r>
        <w:t xml:space="preserve">: A Rosetta Stone. In: </w:t>
      </w:r>
      <w:proofErr w:type="spellStart"/>
      <w:r>
        <w:t>Coecke</w:t>
      </w:r>
      <w:proofErr w:type="spellEnd"/>
      <w:r>
        <w:t>, Bob (</w:t>
      </w:r>
      <w:proofErr w:type="spellStart"/>
      <w:r>
        <w:t>Hg</w:t>
      </w:r>
      <w:proofErr w:type="spellEnd"/>
      <w:r>
        <w:t xml:space="preserve">.): </w:t>
      </w:r>
      <w:r>
        <w:rPr>
          <w:rStyle w:val="Hervorhebung"/>
        </w:rPr>
        <w:t xml:space="preserve">New </w:t>
      </w:r>
      <w:proofErr w:type="spellStart"/>
      <w:r>
        <w:rPr>
          <w:rStyle w:val="Hervorhebung"/>
        </w:rPr>
        <w:t>Structures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Physics</w:t>
      </w:r>
      <w:r>
        <w:t>. Springer, S. 95.</w:t>
      </w:r>
      <w:r>
        <w:br/>
        <w:t xml:space="preserve">[34] </w:t>
      </w:r>
      <w:proofErr w:type="spellStart"/>
      <w:r>
        <w:t>Munkres</w:t>
      </w:r>
      <w:proofErr w:type="spellEnd"/>
      <w:r>
        <w:t xml:space="preserve">, James R. (2000): </w:t>
      </w:r>
      <w:proofErr w:type="spellStart"/>
      <w:r>
        <w:rPr>
          <w:rStyle w:val="Hervorhebung"/>
        </w:rPr>
        <w:t>Topology</w:t>
      </w:r>
      <w:proofErr w:type="spellEnd"/>
      <w:r>
        <w:t>. Prentice Hall, Kap. 2.</w:t>
      </w:r>
      <w:r>
        <w:br/>
        <w:t xml:space="preserve">[35] Einstein, Albert (1916): Die Grundlage der allgemeinen Relativitätstheorie. In: </w:t>
      </w:r>
      <w:r>
        <w:rPr>
          <w:rStyle w:val="Hervorhebung"/>
        </w:rPr>
        <w:t>Annalen der Physik</w:t>
      </w:r>
      <w:r>
        <w:t>, 49(7), § 3.</w:t>
      </w:r>
      <w:r>
        <w:br/>
        <w:t xml:space="preserve">[36] </w:t>
      </w:r>
      <w:proofErr w:type="spellStart"/>
      <w:r>
        <w:t>Rovelli</w:t>
      </w:r>
      <w:proofErr w:type="spellEnd"/>
      <w:r>
        <w:t xml:space="preserve">, Carlo (1996): Relational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. In: </w:t>
      </w:r>
      <w:r>
        <w:rPr>
          <w:rStyle w:val="Hervorhebung"/>
        </w:rPr>
        <w:t>IJTP</w:t>
      </w:r>
      <w:r>
        <w:t xml:space="preserve"> 35, S. 1652–1671.</w:t>
      </w:r>
      <w:r>
        <w:br/>
        <w:t xml:space="preserve">[37] Mac Lane, Saunders (1998): </w:t>
      </w:r>
      <w:proofErr w:type="spellStart"/>
      <w:r>
        <w:rPr>
          <w:rStyle w:val="Hervorhebung"/>
        </w:rPr>
        <w:t>Categories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Working </w:t>
      </w:r>
      <w:proofErr w:type="spellStart"/>
      <w:r>
        <w:rPr>
          <w:rStyle w:val="Hervorhebung"/>
        </w:rPr>
        <w:t>Mathematician</w:t>
      </w:r>
      <w:proofErr w:type="spellEnd"/>
      <w:r>
        <w:t>. Springer, S. 18–22.</w:t>
      </w:r>
      <w:r>
        <w:br/>
        <w:t xml:space="preserve">[38] </w:t>
      </w:r>
      <w:proofErr w:type="spellStart"/>
      <w:r>
        <w:t>Heelan</w:t>
      </w:r>
      <w:proofErr w:type="spellEnd"/>
      <w:r>
        <w:t xml:space="preserve">, Patrick A. (1983): </w:t>
      </w:r>
      <w:r>
        <w:rPr>
          <w:rStyle w:val="Hervorhebung"/>
        </w:rPr>
        <w:t>Space-</w:t>
      </w:r>
      <w:proofErr w:type="spellStart"/>
      <w:r>
        <w:rPr>
          <w:rStyle w:val="Hervorhebung"/>
        </w:rPr>
        <w:t>Perception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Philosophy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Science</w:t>
      </w:r>
      <w:r>
        <w:t xml:space="preserve">. University </w:t>
      </w:r>
      <w:proofErr w:type="spellStart"/>
      <w:r>
        <w:t>of</w:t>
      </w:r>
      <w:proofErr w:type="spellEnd"/>
      <w:r>
        <w:t xml:space="preserve"> California Press, Kap. 4.</w:t>
      </w:r>
      <w:r>
        <w:br/>
        <w:t xml:space="preserve">[39] van </w:t>
      </w:r>
      <w:proofErr w:type="spellStart"/>
      <w:r>
        <w:t>Fraassen</w:t>
      </w:r>
      <w:proofErr w:type="spellEnd"/>
      <w:r>
        <w:t xml:space="preserve">, Bas C. (1980): </w:t>
      </w:r>
      <w:r>
        <w:rPr>
          <w:rStyle w:val="Hervorhebung"/>
        </w:rPr>
        <w:t>The Scientific Image</w:t>
      </w:r>
      <w:r>
        <w:t>. Oxford University Press, S. 12–15.</w:t>
      </w:r>
      <w:r>
        <w:br/>
        <w:t xml:space="preserve">[40] Prediger, Susanne (2006): </w:t>
      </w:r>
      <w:r>
        <w:rPr>
          <w:rStyle w:val="Hervorhebung"/>
        </w:rPr>
        <w:t>Didaktische Rekonstruktion funktionaler Zusammenhänge</w:t>
      </w:r>
      <w:r>
        <w:t>. Dortmund: Institut für Didaktik der Mathematik (IDMI), S. 55–57.</w:t>
      </w:r>
      <w:r>
        <w:br/>
        <w:t xml:space="preserve">[41] Fischer, Hans E. &amp; Ralle, Bernd (2003): </w:t>
      </w:r>
      <w:r>
        <w:rPr>
          <w:rStyle w:val="Hervorhebung"/>
        </w:rPr>
        <w:t>Modellierung in der Chemiedidaktik</w:t>
      </w:r>
      <w:r>
        <w:t>. Berlin: Springer, S. 73–75.</w:t>
      </w:r>
      <w:r>
        <w:br/>
        <w:t xml:space="preserve">[42] </w:t>
      </w:r>
      <w:proofErr w:type="spellStart"/>
      <w:r>
        <w:t>Spivak</w:t>
      </w:r>
      <w:proofErr w:type="spellEnd"/>
      <w:r>
        <w:t xml:space="preserve">, M. (1999): </w:t>
      </w:r>
      <w:r>
        <w:rPr>
          <w:rStyle w:val="Hervorhebung"/>
        </w:rPr>
        <w:t xml:space="preserve">A </w:t>
      </w:r>
      <w:proofErr w:type="spellStart"/>
      <w:r>
        <w:rPr>
          <w:rStyle w:val="Hervorhebung"/>
        </w:rPr>
        <w:t>Comprehensive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Differential </w:t>
      </w:r>
      <w:proofErr w:type="spellStart"/>
      <w:r>
        <w:rPr>
          <w:rStyle w:val="Hervorhebung"/>
        </w:rPr>
        <w:t>Geometry</w:t>
      </w:r>
      <w:proofErr w:type="spellEnd"/>
      <w:r>
        <w:t xml:space="preserve">, Vol. 2. Houston: Publish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Perish</w:t>
      </w:r>
      <w:proofErr w:type="spellEnd"/>
      <w:r>
        <w:t>, Kap. 3.</w:t>
      </w:r>
      <w:r>
        <w:br/>
        <w:t xml:space="preserve">[43] Thiemann, T. (2007): </w:t>
      </w:r>
      <w:r>
        <w:rPr>
          <w:rStyle w:val="Hervorhebung"/>
        </w:rPr>
        <w:t xml:space="preserve">Modern </w:t>
      </w:r>
      <w:proofErr w:type="spellStart"/>
      <w:r>
        <w:rPr>
          <w:rStyle w:val="Hervorhebung"/>
        </w:rPr>
        <w:t>Canonical</w:t>
      </w:r>
      <w:proofErr w:type="spellEnd"/>
      <w:r>
        <w:rPr>
          <w:rStyle w:val="Hervorhebung"/>
        </w:rPr>
        <w:t xml:space="preserve"> Quantum General </w:t>
      </w:r>
      <w:proofErr w:type="spellStart"/>
      <w:r>
        <w:rPr>
          <w:rStyle w:val="Hervorhebung"/>
        </w:rPr>
        <w:t>Relativity</w:t>
      </w:r>
      <w:proofErr w:type="spellEnd"/>
      <w:r>
        <w:t>. Cambridge University Press, Kap. 5.</w:t>
      </w:r>
      <w:r>
        <w:br/>
        <w:t xml:space="preserve">[44] Weyl, H. (1949): </w:t>
      </w:r>
      <w:r>
        <w:rPr>
          <w:rStyle w:val="Hervorhebung"/>
        </w:rPr>
        <w:t xml:space="preserve">Philosophy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Mathematics</w:t>
      </w:r>
      <w:proofErr w:type="spellEnd"/>
      <w:r>
        <w:rPr>
          <w:rStyle w:val="Hervorhebung"/>
        </w:rPr>
        <w:t xml:space="preserve"> and Natural Science</w:t>
      </w:r>
      <w:r>
        <w:t>. Princeton: Princeton University Press, S. 42.</w:t>
      </w:r>
      <w:r>
        <w:br/>
        <w:t xml:space="preserve">[45] </w:t>
      </w:r>
      <w:proofErr w:type="spellStart"/>
      <w:r>
        <w:t>Duit</w:t>
      </w:r>
      <w:proofErr w:type="spellEnd"/>
      <w:r>
        <w:t xml:space="preserve">, R., Komorek, M., Wilke, H. &amp; </w:t>
      </w:r>
      <w:proofErr w:type="spellStart"/>
      <w:r>
        <w:t>Wilbers</w:t>
      </w:r>
      <w:proofErr w:type="spellEnd"/>
      <w:r>
        <w:t xml:space="preserve">, J. (2001): </w:t>
      </w:r>
      <w:r>
        <w:rPr>
          <w:rStyle w:val="Hervorhebung"/>
        </w:rPr>
        <w:t>Schülerkonzepte und Unterrichtswirklichkeit</w:t>
      </w:r>
      <w:r>
        <w:t>. Kiel: IPN, S. 34–38.</w:t>
      </w:r>
      <w:r>
        <w:br/>
        <w:t xml:space="preserve">[46] Ashby, N. (2003): </w:t>
      </w:r>
      <w:proofErr w:type="spellStart"/>
      <w:r>
        <w:t>Relativity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Positioning</w:t>
      </w:r>
      <w:proofErr w:type="spellEnd"/>
      <w:r>
        <w:t xml:space="preserve"> System. </w:t>
      </w:r>
      <w:r>
        <w:rPr>
          <w:rStyle w:val="Hervorhebung"/>
        </w:rPr>
        <w:t xml:space="preserve">Living Reviews in </w:t>
      </w:r>
      <w:proofErr w:type="spellStart"/>
      <w:r>
        <w:rPr>
          <w:rStyle w:val="Hervorhebung"/>
        </w:rPr>
        <w:t>Relativity</w:t>
      </w:r>
      <w:proofErr w:type="spellEnd"/>
      <w:r>
        <w:t>, 6(1), § 2.1.</w:t>
      </w:r>
      <w:r>
        <w:br/>
        <w:t xml:space="preserve">[47] </w:t>
      </w:r>
      <w:proofErr w:type="spellStart"/>
      <w:r>
        <w:t>Kauffman</w:t>
      </w:r>
      <w:proofErr w:type="spellEnd"/>
      <w:r>
        <w:t xml:space="preserve">, S. A. (1993): </w:t>
      </w:r>
      <w:r>
        <w:rPr>
          <w:rStyle w:val="Hervorhebung"/>
        </w:rPr>
        <w:t xml:space="preserve">The Origins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Order</w:t>
      </w:r>
      <w:r>
        <w:t>. Oxford: Oxford University Press, Kap. 5.</w:t>
      </w:r>
      <w:r>
        <w:br/>
        <w:t xml:space="preserve">[48] Klein, F. (1926): </w:t>
      </w:r>
      <w:r>
        <w:rPr>
          <w:rStyle w:val="Hervorhebung"/>
        </w:rPr>
        <w:t>Vorlesungen über die Entwicklung der Mathematik im 19. Jahrhundert</w:t>
      </w:r>
      <w:r>
        <w:t>, Bd. 2. Berlin: Springer, S. 71.</w:t>
      </w:r>
      <w:r>
        <w:br/>
        <w:t xml:space="preserve">[49] Holland, P. (1995): </w:t>
      </w:r>
      <w:r>
        <w:rPr>
          <w:rStyle w:val="Hervorhebung"/>
        </w:rPr>
        <w:t xml:space="preserve">The Quantum Theory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Motion</w:t>
      </w:r>
      <w:r>
        <w:t>. Cambridge University Press, Kap. 2.</w:t>
      </w:r>
      <w:r>
        <w:br/>
        <w:t xml:space="preserve">[50] </w:t>
      </w:r>
      <w:proofErr w:type="spellStart"/>
      <w:r>
        <w:t>Rumelhart</w:t>
      </w:r>
      <w:proofErr w:type="spellEnd"/>
      <w:r>
        <w:t xml:space="preserve">, D. E., McClelland, J. L. et al. (1986): </w:t>
      </w:r>
      <w:r>
        <w:rPr>
          <w:rStyle w:val="Hervorhebung"/>
        </w:rPr>
        <w:t>Parallel Distributed Processing</w:t>
      </w:r>
      <w:r>
        <w:t>. MIT Press, Kap. 3.</w:t>
      </w:r>
      <w:r>
        <w:br/>
        <w:t xml:space="preserve">[51] </w:t>
      </w:r>
      <w:proofErr w:type="spellStart"/>
      <w:r>
        <w:t>Churchland</w:t>
      </w:r>
      <w:proofErr w:type="spellEnd"/>
      <w:r>
        <w:t xml:space="preserve">, P. S. (1986): </w:t>
      </w:r>
      <w:proofErr w:type="spellStart"/>
      <w:r>
        <w:rPr>
          <w:rStyle w:val="Hervorhebung"/>
        </w:rPr>
        <w:t>Neurophilosophy</w:t>
      </w:r>
      <w:proofErr w:type="spellEnd"/>
      <w:r>
        <w:t>. MIT Press, Kap. 5.</w:t>
      </w:r>
      <w:r>
        <w:br/>
        <w:t xml:space="preserve">[52] </w:t>
      </w:r>
      <w:proofErr w:type="spellStart"/>
      <w:r>
        <w:t>Craver</w:t>
      </w:r>
      <w:proofErr w:type="spellEnd"/>
      <w:r>
        <w:t xml:space="preserve">, C. (2007): </w:t>
      </w:r>
      <w:proofErr w:type="spellStart"/>
      <w:r>
        <w:rPr>
          <w:rStyle w:val="Hervorhebung"/>
        </w:rPr>
        <w:t>Explaining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Brain – </w:t>
      </w:r>
      <w:proofErr w:type="spellStart"/>
      <w:r>
        <w:rPr>
          <w:rStyle w:val="Hervorhebung"/>
        </w:rPr>
        <w:t>Mechanisms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Mosaic</w:t>
      </w:r>
      <w:proofErr w:type="spellEnd"/>
      <w:r>
        <w:rPr>
          <w:rStyle w:val="Hervorhebung"/>
        </w:rPr>
        <w:t xml:space="preserve"> Unity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Neuroscience</w:t>
      </w:r>
      <w:proofErr w:type="spellEnd"/>
      <w:r>
        <w:t>. Oxford University Press, Kap. 7.</w:t>
      </w:r>
      <w:r>
        <w:br/>
        <w:t xml:space="preserve">[53] Ryder, L. (1996): </w:t>
      </w:r>
      <w:r>
        <w:rPr>
          <w:rStyle w:val="Hervorhebung"/>
        </w:rPr>
        <w:t>Quantum Field Theory</w:t>
      </w:r>
      <w:r>
        <w:t>. Cambridge University Press, Kap. 5–6.</w:t>
      </w:r>
      <w:r>
        <w:br/>
        <w:t xml:space="preserve">[54] </w:t>
      </w:r>
      <w:proofErr w:type="spellStart"/>
      <w:r>
        <w:t>Peskin</w:t>
      </w:r>
      <w:proofErr w:type="spellEnd"/>
      <w:r>
        <w:t xml:space="preserve">, M. E. &amp; Schroeder, D. V. (1995): </w:t>
      </w:r>
      <w:r>
        <w:rPr>
          <w:rStyle w:val="Hervorhebung"/>
        </w:rPr>
        <w:t xml:space="preserve">An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Quantum Field Theory</w:t>
      </w:r>
      <w:r>
        <w:t xml:space="preserve">. </w:t>
      </w:r>
      <w:proofErr w:type="spellStart"/>
      <w:r>
        <w:t>Westview</w:t>
      </w:r>
      <w:proofErr w:type="spellEnd"/>
      <w:r>
        <w:t xml:space="preserve"> Press, Kap. 2.</w:t>
      </w:r>
      <w:r>
        <w:br/>
        <w:t xml:space="preserve">[55] </w:t>
      </w:r>
      <w:proofErr w:type="spellStart"/>
      <w:r>
        <w:t>Manton</w:t>
      </w:r>
      <w:proofErr w:type="spellEnd"/>
      <w:r>
        <w:t xml:space="preserve">, N. &amp; </w:t>
      </w:r>
      <w:proofErr w:type="spellStart"/>
      <w:r>
        <w:t>Sutcliffe</w:t>
      </w:r>
      <w:proofErr w:type="spellEnd"/>
      <w:r>
        <w:t xml:space="preserve">, P. (2004): </w:t>
      </w:r>
      <w:proofErr w:type="spellStart"/>
      <w:r>
        <w:rPr>
          <w:rStyle w:val="Hervorhebung"/>
        </w:rPr>
        <w:t>Topological</w:t>
      </w:r>
      <w:proofErr w:type="spellEnd"/>
      <w:r>
        <w:rPr>
          <w:rStyle w:val="Hervorhebung"/>
        </w:rPr>
        <w:t xml:space="preserve"> Solitons</w:t>
      </w:r>
      <w:r>
        <w:t>. Cambridge University Press, Kap. 3.</w:t>
      </w:r>
      <w:r>
        <w:br/>
        <w:t xml:space="preserve">[56] Holland, J. H. (1995): </w:t>
      </w:r>
      <w:r>
        <w:rPr>
          <w:rStyle w:val="Hervorhebung"/>
        </w:rPr>
        <w:t xml:space="preserve">Hidden Order: </w:t>
      </w:r>
      <w:proofErr w:type="spellStart"/>
      <w:r>
        <w:rPr>
          <w:rStyle w:val="Hervorhebung"/>
        </w:rPr>
        <w:t>How</w:t>
      </w:r>
      <w:proofErr w:type="spellEnd"/>
      <w:r>
        <w:rPr>
          <w:rStyle w:val="Hervorhebung"/>
        </w:rPr>
        <w:t xml:space="preserve"> Adaptation </w:t>
      </w:r>
      <w:proofErr w:type="spellStart"/>
      <w:r>
        <w:rPr>
          <w:rStyle w:val="Hervorhebung"/>
        </w:rPr>
        <w:t>Builds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Complexity</w:t>
      </w:r>
      <w:proofErr w:type="spellEnd"/>
      <w:r>
        <w:t>. Perseus Books, Kap. 5.</w:t>
      </w:r>
      <w:r>
        <w:br/>
        <w:t xml:space="preserve">[57] </w:t>
      </w:r>
      <w:proofErr w:type="spellStart"/>
      <w:r>
        <w:t>Duit</w:t>
      </w:r>
      <w:proofErr w:type="spellEnd"/>
      <w:r>
        <w:t xml:space="preserve">, R., </w:t>
      </w:r>
      <w:proofErr w:type="spellStart"/>
      <w:r>
        <w:t>Gropengießer</w:t>
      </w:r>
      <w:proofErr w:type="spellEnd"/>
      <w:r>
        <w:t xml:space="preserve">, H., </w:t>
      </w:r>
      <w:proofErr w:type="spellStart"/>
      <w:r>
        <w:t>Kattmann</w:t>
      </w:r>
      <w:proofErr w:type="spellEnd"/>
      <w:r>
        <w:t xml:space="preserve">, U. (2001): </w:t>
      </w:r>
      <w:r>
        <w:rPr>
          <w:rStyle w:val="Hervorhebung"/>
        </w:rPr>
        <w:t>Schülerkonzepte und Unterrichtswirklichkeit</w:t>
      </w:r>
      <w:r>
        <w:t>. IPN Kiel, S. 52.</w:t>
      </w:r>
      <w:r>
        <w:br/>
        <w:t xml:space="preserve">[58] Russell, S. &amp; </w:t>
      </w:r>
      <w:proofErr w:type="spellStart"/>
      <w:r>
        <w:t>Norvig</w:t>
      </w:r>
      <w:proofErr w:type="spellEnd"/>
      <w:r>
        <w:t xml:space="preserve">, P. (2010):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 xml:space="preserve">. 3rd </w:t>
      </w:r>
      <w:proofErr w:type="spellStart"/>
      <w:r>
        <w:t>ed</w:t>
      </w:r>
      <w:proofErr w:type="spellEnd"/>
      <w:r>
        <w:t>., Prentice Hall, S. 34.</w:t>
      </w:r>
      <w:r>
        <w:br/>
        <w:t xml:space="preserve">[59] </w:t>
      </w:r>
      <w:proofErr w:type="spellStart"/>
      <w:r>
        <w:t>Haykin</w:t>
      </w:r>
      <w:proofErr w:type="spellEnd"/>
      <w:r>
        <w:t xml:space="preserve">, S. (2009):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 and Learning Machines</w:t>
      </w:r>
      <w:r>
        <w:t xml:space="preserve">. 3rd </w:t>
      </w:r>
      <w:proofErr w:type="spellStart"/>
      <w:r>
        <w:t>ed</w:t>
      </w:r>
      <w:proofErr w:type="spellEnd"/>
      <w:r>
        <w:t>., Pearson, Kap. 2.</w:t>
      </w:r>
      <w:r>
        <w:br/>
        <w:t xml:space="preserve">[60] </w:t>
      </w:r>
      <w:proofErr w:type="spellStart"/>
      <w:r>
        <w:t>Bratman</w:t>
      </w:r>
      <w:proofErr w:type="spellEnd"/>
      <w:r>
        <w:t xml:space="preserve">, M. (1987): </w:t>
      </w:r>
      <w:r>
        <w:rPr>
          <w:rStyle w:val="Hervorhebung"/>
        </w:rPr>
        <w:t xml:space="preserve">Intention, Plans, and </w:t>
      </w:r>
      <w:proofErr w:type="spellStart"/>
      <w:r>
        <w:rPr>
          <w:rStyle w:val="Hervorhebung"/>
        </w:rPr>
        <w:t>Practical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Reason</w:t>
      </w:r>
      <w:proofErr w:type="spellEnd"/>
      <w:r>
        <w:t>. Harvard University Press, S. 15.</w:t>
      </w:r>
      <w:r>
        <w:br/>
        <w:t xml:space="preserve">[61] Sutton, R. S. &amp; </w:t>
      </w:r>
      <w:proofErr w:type="spellStart"/>
      <w:r>
        <w:t>Barto</w:t>
      </w:r>
      <w:proofErr w:type="spellEnd"/>
      <w:r>
        <w:t xml:space="preserve">, A. G. (2018): </w:t>
      </w:r>
      <w:r>
        <w:rPr>
          <w:rStyle w:val="Hervorhebung"/>
        </w:rPr>
        <w:t xml:space="preserve">Reinforcement Learning: An </w:t>
      </w:r>
      <w:proofErr w:type="spellStart"/>
      <w:r>
        <w:rPr>
          <w:rStyle w:val="Hervorhebung"/>
        </w:rPr>
        <w:t>Introduction</w:t>
      </w:r>
      <w:proofErr w:type="spellEnd"/>
      <w:r>
        <w:t>. MIT Press, S. 13.</w:t>
      </w:r>
      <w:r>
        <w:br/>
        <w:t xml:space="preserve">[62] Axelrod, R. (1984): </w:t>
      </w:r>
      <w:r>
        <w:rPr>
          <w:rStyle w:val="Hervorhebung"/>
        </w:rPr>
        <w:t xml:space="preserve">The Evolution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Cooperation</w:t>
      </w:r>
      <w:proofErr w:type="spellEnd"/>
      <w:r>
        <w:t>. Basic Books, S. 3.</w:t>
      </w:r>
      <w:r>
        <w:br/>
        <w:t xml:space="preserve">[63] </w:t>
      </w:r>
      <w:proofErr w:type="spellStart"/>
      <w:r>
        <w:t>Dennett</w:t>
      </w:r>
      <w:proofErr w:type="spellEnd"/>
      <w:r>
        <w:t xml:space="preserve">, D. C. (1991): </w:t>
      </w:r>
      <w:r>
        <w:rPr>
          <w:rStyle w:val="Hervorhebung"/>
        </w:rPr>
        <w:t xml:space="preserve">Consciousness </w:t>
      </w:r>
      <w:proofErr w:type="spellStart"/>
      <w:r>
        <w:rPr>
          <w:rStyle w:val="Hervorhebung"/>
        </w:rPr>
        <w:t>Explained</w:t>
      </w:r>
      <w:proofErr w:type="spellEnd"/>
      <w:r>
        <w:t>. Little, Brown &amp; Co., Kap. 4.</w:t>
      </w:r>
      <w:r>
        <w:br/>
      </w:r>
    </w:p>
    <w:p w14:paraId="115ECCFF" w14:textId="77777777" w:rsidR="00843C1D" w:rsidRDefault="00843C1D" w:rsidP="00843C1D">
      <w:pPr>
        <w:pStyle w:val="berschrift3"/>
        <w:rPr>
          <w:sz w:val="27"/>
          <w:szCs w:val="27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ett"/>
          <w:b/>
          <w:bCs w:val="0"/>
        </w:rPr>
        <w:t>Echte Dopplungen</w:t>
      </w:r>
      <w:r>
        <w:t>:</w:t>
      </w:r>
    </w:p>
    <w:p w14:paraId="7CEB0609" w14:textId="77777777" w:rsidR="00843C1D" w:rsidRDefault="00843C1D" w:rsidP="00843C1D">
      <w:pPr>
        <w:pStyle w:val="StandardWeb"/>
        <w:numPr>
          <w:ilvl w:val="0"/>
          <w:numId w:val="9"/>
        </w:numPr>
      </w:pPr>
      <w:r>
        <w:rPr>
          <w:rStyle w:val="Fett"/>
        </w:rPr>
        <w:t>Heidegger, M. (1927): Sein und Zeit</w:t>
      </w:r>
    </w:p>
    <w:p w14:paraId="5F537856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[9] § 9</w:t>
      </w:r>
    </w:p>
    <w:p w14:paraId="203C58D4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[20] § 44</w:t>
      </w:r>
      <w:r>
        <w:br/>
        <w:t xml:space="preserve">→ </w:t>
      </w:r>
      <w:r>
        <w:rPr>
          <w:rStyle w:val="Hervorhebung"/>
        </w:rPr>
        <w:t>Gleiche Quelle, unterschiedliche Stellen.</w:t>
      </w:r>
    </w:p>
    <w:p w14:paraId="462891D6" w14:textId="77777777" w:rsidR="00843C1D" w:rsidRDefault="00843C1D" w:rsidP="00843C1D">
      <w:pPr>
        <w:pStyle w:val="StandardWeb"/>
        <w:numPr>
          <w:ilvl w:val="0"/>
          <w:numId w:val="9"/>
        </w:numPr>
      </w:pPr>
      <w:proofErr w:type="spellStart"/>
      <w:r>
        <w:rPr>
          <w:rStyle w:val="Fett"/>
        </w:rPr>
        <w:t>Spivak</w:t>
      </w:r>
      <w:proofErr w:type="spellEnd"/>
      <w:r>
        <w:rPr>
          <w:rStyle w:val="Fett"/>
        </w:rPr>
        <w:t xml:space="preserve">, M. (1999): A </w:t>
      </w:r>
      <w:proofErr w:type="spellStart"/>
      <w:r>
        <w:rPr>
          <w:rStyle w:val="Fett"/>
        </w:rPr>
        <w:t>Comprehensive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Introduction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t xml:space="preserve"> Differential </w:t>
      </w:r>
      <w:proofErr w:type="spellStart"/>
      <w:r>
        <w:rPr>
          <w:rStyle w:val="Fett"/>
        </w:rPr>
        <w:t>Geometry</w:t>
      </w:r>
      <w:proofErr w:type="spellEnd"/>
    </w:p>
    <w:p w14:paraId="1D6F89E6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[13] Vol. 1</w:t>
      </w:r>
    </w:p>
    <w:p w14:paraId="5B09F726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[42] Vol. 2</w:t>
      </w:r>
      <w:r>
        <w:br/>
        <w:t xml:space="preserve">→ </w:t>
      </w:r>
      <w:r>
        <w:rPr>
          <w:rStyle w:val="Hervorhebung"/>
        </w:rPr>
        <w:t xml:space="preserve">Formal andere Bände desselben Werks – </w:t>
      </w:r>
      <w:r>
        <w:rPr>
          <w:rStyle w:val="Fett"/>
          <w:i/>
          <w:iCs/>
        </w:rPr>
        <w:t>keine Dopplung</w:t>
      </w:r>
      <w:r>
        <w:rPr>
          <w:rStyle w:val="Hervorhebung"/>
        </w:rPr>
        <w:t>.</w:t>
      </w:r>
    </w:p>
    <w:p w14:paraId="285B484B" w14:textId="77777777" w:rsidR="00843C1D" w:rsidRDefault="00843C1D" w:rsidP="00843C1D">
      <w:pPr>
        <w:pStyle w:val="StandardWeb"/>
        <w:numPr>
          <w:ilvl w:val="0"/>
          <w:numId w:val="9"/>
        </w:numPr>
      </w:pPr>
      <w:proofErr w:type="spellStart"/>
      <w:r>
        <w:rPr>
          <w:rStyle w:val="Fett"/>
        </w:rPr>
        <w:t>Kauffman</w:t>
      </w:r>
      <w:proofErr w:type="spellEnd"/>
      <w:r>
        <w:rPr>
          <w:rStyle w:val="Fett"/>
        </w:rPr>
        <w:t xml:space="preserve">, S. A. (1993): The Origins </w:t>
      </w:r>
      <w:proofErr w:type="spellStart"/>
      <w:r>
        <w:rPr>
          <w:rStyle w:val="Fett"/>
        </w:rPr>
        <w:t>of</w:t>
      </w:r>
      <w:proofErr w:type="spellEnd"/>
      <w:r>
        <w:rPr>
          <w:rStyle w:val="Fett"/>
        </w:rPr>
        <w:t xml:space="preserve"> Order</w:t>
      </w:r>
    </w:p>
    <w:p w14:paraId="50F136C4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[23] Kap. 4</w:t>
      </w:r>
    </w:p>
    <w:p w14:paraId="50CEEF05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[47] Kap. 5</w:t>
      </w:r>
      <w:r>
        <w:br/>
        <w:t xml:space="preserve">→ </w:t>
      </w:r>
      <w:r>
        <w:rPr>
          <w:rStyle w:val="Hervorhebung"/>
        </w:rPr>
        <w:t xml:space="preserve">Gleiches Werk, unterschiedliche Kapitel – </w:t>
      </w:r>
      <w:r>
        <w:rPr>
          <w:rStyle w:val="Fett"/>
          <w:i/>
          <w:iCs/>
        </w:rPr>
        <w:t>echte Dopplung</w:t>
      </w:r>
      <w:r>
        <w:rPr>
          <w:rStyle w:val="Hervorhebung"/>
        </w:rPr>
        <w:t>.</w:t>
      </w:r>
    </w:p>
    <w:p w14:paraId="2DB46949" w14:textId="77777777" w:rsidR="00843C1D" w:rsidRDefault="00843C1D" w:rsidP="00843C1D">
      <w:pPr>
        <w:pStyle w:val="StandardWeb"/>
        <w:numPr>
          <w:ilvl w:val="0"/>
          <w:numId w:val="9"/>
        </w:numPr>
      </w:pPr>
      <w:proofErr w:type="spellStart"/>
      <w:r>
        <w:rPr>
          <w:rStyle w:val="Fett"/>
        </w:rPr>
        <w:t>Duit</w:t>
      </w:r>
      <w:proofErr w:type="spellEnd"/>
      <w:r>
        <w:rPr>
          <w:rStyle w:val="Fett"/>
        </w:rPr>
        <w:t>, R. et al.: Schülerkonzepte und Unterrichtswirklichkeit</w:t>
      </w:r>
    </w:p>
    <w:p w14:paraId="7D37E085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>[45] (2001): Komorek et al., S. 34–38</w:t>
      </w:r>
    </w:p>
    <w:p w14:paraId="63AD47B3" w14:textId="77777777" w:rsidR="00843C1D" w:rsidRDefault="00843C1D" w:rsidP="00843C1D">
      <w:pPr>
        <w:pStyle w:val="StandardWeb"/>
        <w:numPr>
          <w:ilvl w:val="1"/>
          <w:numId w:val="9"/>
        </w:numPr>
      </w:pPr>
      <w:r>
        <w:t xml:space="preserve">[57] (2001): </w:t>
      </w:r>
      <w:proofErr w:type="spellStart"/>
      <w:r>
        <w:t>Gropengießer</w:t>
      </w:r>
      <w:proofErr w:type="spellEnd"/>
      <w:r>
        <w:t xml:space="preserve"> et al., S. 52</w:t>
      </w:r>
      <w:r>
        <w:br/>
        <w:t xml:space="preserve">→ </w:t>
      </w:r>
      <w:r>
        <w:rPr>
          <w:rStyle w:val="Hervorhebung"/>
        </w:rPr>
        <w:t xml:space="preserve">Gleiche Herausgeberschaft, andere Beiträge – </w:t>
      </w:r>
      <w:r>
        <w:rPr>
          <w:rStyle w:val="Fett"/>
          <w:i/>
          <w:iCs/>
        </w:rPr>
        <w:t>wahrscheinlich eine Dopplung</w:t>
      </w:r>
      <w:r>
        <w:rPr>
          <w:rStyle w:val="Hervorhebung"/>
        </w:rPr>
        <w:t>, wenn nicht getrennt zitiert.</w:t>
      </w:r>
    </w:p>
    <w:p w14:paraId="09A481C3" w14:textId="77777777" w:rsidR="00843C1D" w:rsidRDefault="00843C1D" w:rsidP="00843C1D">
      <w:r>
        <w:pict w14:anchorId="7DBA7940">
          <v:rect id="_x0000_i1029" style="width:0;height:1.5pt" o:hralign="center" o:hrstd="t" o:hr="t" fillcolor="#a0a0a0" stroked="f"/>
        </w:pict>
      </w:r>
    </w:p>
    <w:p w14:paraId="0712C041" w14:textId="77777777" w:rsidR="00843C1D" w:rsidRDefault="00843C1D" w:rsidP="00843C1D">
      <w:pPr>
        <w:pStyle w:val="berschrift3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Fett"/>
          <w:b/>
          <w:bCs w:val="0"/>
        </w:rPr>
        <w:t>Prüfung deiner genannten Fälle</w:t>
      </w:r>
      <w:r>
        <w:t>:</w:t>
      </w:r>
    </w:p>
    <w:p w14:paraId="756629BE" w14:textId="77777777" w:rsidR="00843C1D" w:rsidRDefault="00843C1D" w:rsidP="00843C1D">
      <w:pPr>
        <w:pStyle w:val="StandardWeb"/>
        <w:numPr>
          <w:ilvl w:val="0"/>
          <w:numId w:val="10"/>
        </w:numPr>
      </w:pPr>
      <w:r>
        <w:rPr>
          <w:rStyle w:val="Fett"/>
        </w:rPr>
        <w:t xml:space="preserve">[27] </w:t>
      </w:r>
      <w:proofErr w:type="spellStart"/>
      <w:r>
        <w:rPr>
          <w:rStyle w:val="Fett"/>
        </w:rPr>
        <w:t>Sfard</w:t>
      </w:r>
      <w:proofErr w:type="spellEnd"/>
      <w:r>
        <w:rPr>
          <w:rStyle w:val="Fett"/>
        </w:rPr>
        <w:t xml:space="preserve">, A. (2008): </w:t>
      </w:r>
      <w:proofErr w:type="spellStart"/>
      <w:r>
        <w:rPr>
          <w:rStyle w:val="Fett"/>
        </w:rPr>
        <w:t>Thinking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as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Communicating</w:t>
      </w:r>
      <w:proofErr w:type="spellEnd"/>
      <w:r>
        <w:t xml:space="preserve"> ist </w:t>
      </w:r>
      <w:r>
        <w:rPr>
          <w:rStyle w:val="Fett"/>
        </w:rPr>
        <w:t>nicht doppelt</w:t>
      </w:r>
      <w:r>
        <w:t xml:space="preserve"> vorhanden.</w:t>
      </w:r>
    </w:p>
    <w:p w14:paraId="6B5C5DB3" w14:textId="77777777" w:rsidR="00843C1D" w:rsidRDefault="00843C1D" w:rsidP="00843C1D">
      <w:pPr>
        <w:pStyle w:val="StandardWeb"/>
        <w:numPr>
          <w:ilvl w:val="0"/>
          <w:numId w:val="10"/>
        </w:numPr>
      </w:pPr>
      <w:r>
        <w:rPr>
          <w:rStyle w:val="Fett"/>
        </w:rPr>
        <w:t>[74] gibt es nicht mehr</w:t>
      </w:r>
      <w:r>
        <w:t>, da die Liste laut deinem Entwurf aktuell nur bis [63] geht.</w:t>
      </w:r>
    </w:p>
    <w:p w14:paraId="518389A6" w14:textId="77777777" w:rsidR="00843C1D" w:rsidRDefault="00843C1D" w:rsidP="00843C1D">
      <w:r>
        <w:pict w14:anchorId="75CA840F">
          <v:rect id="_x0000_i1030" style="width:0;height:1.5pt" o:hralign="center" o:hrstd="t" o:hr="t" fillcolor="#a0a0a0" stroked="f"/>
        </w:pict>
      </w:r>
    </w:p>
    <w:p w14:paraId="3E447541" w14:textId="77777777" w:rsidR="00843C1D" w:rsidRDefault="00843C1D" w:rsidP="00843C1D">
      <w:pPr>
        <w:pStyle w:val="berschrift3"/>
      </w:pPr>
      <w:r>
        <w:rPr>
          <w:rFonts w:ascii="Segoe UI Emoji" w:hAnsi="Segoe UI Emoji" w:cs="Segoe UI Emoji"/>
        </w:rPr>
        <w:t>🔁</w:t>
      </w:r>
      <w:r>
        <w:t xml:space="preserve"> Empfehlung:</w:t>
      </w:r>
    </w:p>
    <w:p w14:paraId="6353112F" w14:textId="77777777" w:rsidR="00843C1D" w:rsidRDefault="00843C1D" w:rsidP="00843C1D">
      <w:pPr>
        <w:pStyle w:val="StandardWeb"/>
        <w:numPr>
          <w:ilvl w:val="0"/>
          <w:numId w:val="11"/>
        </w:numPr>
      </w:pPr>
      <w:r>
        <w:rPr>
          <w:rStyle w:val="Fett"/>
        </w:rPr>
        <w:t>Heidegger</w:t>
      </w:r>
      <w:r>
        <w:t xml:space="preserve"> sollte nur einmal aufgenommen werden – am besten mit einer einheitlichen §-Angabe oder einer Anmerkung, dass unterschiedliche Paragraphen zitiert werden.</w:t>
      </w:r>
    </w:p>
    <w:p w14:paraId="04C7185C" w14:textId="77777777" w:rsidR="00843C1D" w:rsidRDefault="00843C1D" w:rsidP="00843C1D">
      <w:pPr>
        <w:pStyle w:val="StandardWeb"/>
        <w:numPr>
          <w:ilvl w:val="0"/>
          <w:numId w:val="11"/>
        </w:numPr>
      </w:pPr>
      <w:proofErr w:type="spellStart"/>
      <w:r>
        <w:rPr>
          <w:rStyle w:val="Fett"/>
        </w:rPr>
        <w:t>Kauffman</w:t>
      </w:r>
      <w:proofErr w:type="spellEnd"/>
      <w:r>
        <w:rPr>
          <w:rStyle w:val="Fett"/>
        </w:rPr>
        <w:t xml:space="preserve"> (1993)</w:t>
      </w:r>
      <w:r>
        <w:t xml:space="preserve"> kann zusammengeführt werden, etwa:</w:t>
      </w:r>
    </w:p>
    <w:p w14:paraId="64FE448E" w14:textId="77777777" w:rsidR="00843C1D" w:rsidRDefault="00843C1D" w:rsidP="00843C1D">
      <w:pPr>
        <w:pStyle w:val="StandardWeb"/>
        <w:ind w:left="720"/>
      </w:pPr>
      <w:proofErr w:type="spellStart"/>
      <w:r>
        <w:rPr>
          <w:rStyle w:val="Hervorhebung"/>
        </w:rPr>
        <w:t>Kauffman</w:t>
      </w:r>
      <w:proofErr w:type="spellEnd"/>
      <w:r>
        <w:rPr>
          <w:rStyle w:val="Hervorhebung"/>
        </w:rPr>
        <w:t xml:space="preserve">, S. A. (1993): The Origins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Order. Oxford: Oxford University Press, Kap. 4–5.</w:t>
      </w:r>
    </w:p>
    <w:p w14:paraId="0998F233" w14:textId="77777777" w:rsidR="00843C1D" w:rsidRDefault="00843C1D" w:rsidP="00843C1D">
      <w:pPr>
        <w:pStyle w:val="StandardWeb"/>
        <w:numPr>
          <w:ilvl w:val="0"/>
          <w:numId w:val="11"/>
        </w:numPr>
      </w:pPr>
      <w:proofErr w:type="spellStart"/>
      <w:r>
        <w:rPr>
          <w:rStyle w:val="Fett"/>
        </w:rPr>
        <w:t>Duit</w:t>
      </w:r>
      <w:proofErr w:type="spellEnd"/>
      <w:r>
        <w:rPr>
          <w:rStyle w:val="Fett"/>
        </w:rPr>
        <w:t xml:space="preserve"> et al. (2001)</w:t>
      </w:r>
      <w:r>
        <w:t xml:space="preserve">: Wenn beide Kapitel </w:t>
      </w:r>
      <w:proofErr w:type="gramStart"/>
      <w:r>
        <w:t>von getrenntem wissenschaftlichen Wert</w:t>
      </w:r>
      <w:proofErr w:type="gramEnd"/>
      <w:r>
        <w:t xml:space="preserve"> sind, könnten sie </w:t>
      </w:r>
      <w:r>
        <w:rPr>
          <w:rStyle w:val="Fett"/>
        </w:rPr>
        <w:t>mit Zusatzbezeichnungen</w:t>
      </w:r>
      <w:r>
        <w:t xml:space="preserve"> wie [45a], [45b] getrennt bleiben – andernfalls zusammenführen.</w:t>
      </w:r>
    </w:p>
    <w:p w14:paraId="4B90569C" w14:textId="77777777" w:rsidR="00843C1D" w:rsidRPr="00FF0475" w:rsidRDefault="00843C1D" w:rsidP="00843C1D">
      <w:pPr>
        <w:pStyle w:val="StandardWeb"/>
        <w:ind w:left="720"/>
        <w:rPr>
          <w:rStyle w:val="IntensiveHervorhebung"/>
          <w:i w:val="0"/>
          <w:iCs w:val="0"/>
          <w:color w:val="auto"/>
        </w:rPr>
      </w:pPr>
    </w:p>
    <w:p w14:paraId="53D9B62C" w14:textId="77777777" w:rsidR="00106528" w:rsidRPr="00843C1D" w:rsidRDefault="00106528" w:rsidP="00843C1D">
      <w:pPr>
        <w:rPr>
          <w:rStyle w:val="IntensiveHervorhebung"/>
          <w:i w:val="0"/>
          <w:iCs w:val="0"/>
          <w:color w:val="auto"/>
        </w:rPr>
      </w:pPr>
    </w:p>
    <w:sectPr w:rsidR="00106528" w:rsidRPr="00843C1D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3C42"/>
    <w:multiLevelType w:val="multilevel"/>
    <w:tmpl w:val="CF2E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5102A"/>
    <w:multiLevelType w:val="multilevel"/>
    <w:tmpl w:val="9E2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42C8F"/>
    <w:multiLevelType w:val="multilevel"/>
    <w:tmpl w:val="54A47D6A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DB85F92"/>
    <w:multiLevelType w:val="multilevel"/>
    <w:tmpl w:val="427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321F3"/>
    <w:multiLevelType w:val="multilevel"/>
    <w:tmpl w:val="2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763C7"/>
    <w:multiLevelType w:val="multilevel"/>
    <w:tmpl w:val="481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472D0"/>
    <w:multiLevelType w:val="multilevel"/>
    <w:tmpl w:val="D3E4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8"/>
  </w:num>
  <w:num w:numId="1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3B"/>
    <w:rsid w:val="000467F2"/>
    <w:rsid w:val="00082214"/>
    <w:rsid w:val="00106528"/>
    <w:rsid w:val="001830F2"/>
    <w:rsid w:val="0019229D"/>
    <w:rsid w:val="001D6F3B"/>
    <w:rsid w:val="001F66DB"/>
    <w:rsid w:val="002B03D4"/>
    <w:rsid w:val="002D4202"/>
    <w:rsid w:val="00324306"/>
    <w:rsid w:val="00430188"/>
    <w:rsid w:val="00433ECB"/>
    <w:rsid w:val="00436FC4"/>
    <w:rsid w:val="00446557"/>
    <w:rsid w:val="00500020"/>
    <w:rsid w:val="005454E6"/>
    <w:rsid w:val="005B3C41"/>
    <w:rsid w:val="005B5EFD"/>
    <w:rsid w:val="005E4CED"/>
    <w:rsid w:val="006016DC"/>
    <w:rsid w:val="0068118B"/>
    <w:rsid w:val="007A3369"/>
    <w:rsid w:val="007B7DE7"/>
    <w:rsid w:val="007E333F"/>
    <w:rsid w:val="00843C1D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55669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938F"/>
  <w15:chartTrackingRefBased/>
  <w15:docId w15:val="{70EC172C-CFBC-49C2-9B9B-0564E2BD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3C1D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7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1D6F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1064</Words>
  <Characters>6707</Characters>
  <Application>Microsoft Office Word</Application>
  <DocSecurity>0</DocSecurity>
  <Lines>55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</vt:i4>
      </vt:variant>
    </vt:vector>
  </HeadingPairs>
  <TitlesOfParts>
    <vt:vector size="5" baseType="lpstr">
      <vt:lpstr/>
      <vt:lpstr>        Quellenverzeichnis (Einleitung–3.11)</vt:lpstr>
      <vt:lpstr>        ✅ Doppelte Quellen im Verzeichnis (gleiche Werke mit unterschiedlichen Nummern):</vt:lpstr>
      <vt:lpstr>        🔁 Mögliche Fälle (gleiche Autorenschaft, aber unterschiedliche Werke):</vt:lpstr>
      <vt:lpstr>        ✅ Fazit</vt:lpstr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2025-06-23T06:36:00Z</dcterms:created>
  <dcterms:modified xsi:type="dcterms:W3CDTF">2025-06-23T06:36:00Z</dcterms:modified>
</cp:coreProperties>
</file>