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8E8F" w14:textId="77777777" w:rsidR="00121132" w:rsidRDefault="00121132" w:rsidP="00121132">
      <w:pPr>
        <w:pStyle w:val="berschrift1"/>
      </w:pPr>
      <w:r>
        <w:t xml:space="preserve">4. Vorhersagen </w:t>
      </w:r>
      <w:proofErr w:type="gramStart"/>
      <w:r>
        <w:t>des  Funktionales</w:t>
      </w:r>
      <w:proofErr w:type="gramEnd"/>
      <w:r>
        <w:t xml:space="preserve"> Raum-Zeit-Kohärenzsystem (FRZK)</w:t>
      </w:r>
    </w:p>
    <w:p w14:paraId="79076DB7" w14:textId="77777777" w:rsidR="00DD5A28" w:rsidRDefault="00DD5A28" w:rsidP="00CE2E9F">
      <w:r>
        <w:t>Das Funktionale Raum-Zeit-Kohärenzsystem (FRZK) formuliert keine Vorhersagen im Sinne empirischer Theorien, wie sie etwa in der klassischen Naturwissenschaft üblich sind – also keine spezifischen Aussagen über zukünftige Einzelereignisse mit probabilistischer Absicherung. Stattdessen handelt es sich um modelllogische Konsequenzen, die sich aus der inneren Struktur des FRZK systematisch ableiten lassen. Solche Konsequenzen sind epistemologisch als „Vorhersagen“ zu verstehen, sofern sie sich als notwendig aus der spezifischen Konstruktion des funktionalen Bezugssystems ergeben und bestimmte formale Eigenschaften für mögliche Systeme oder Prozesse determinieren [1].</w:t>
      </w:r>
    </w:p>
    <w:p w14:paraId="2D09102D" w14:textId="77777777" w:rsidR="00DD5A28" w:rsidRDefault="00DD5A28" w:rsidP="00CE2E9F">
      <w:r>
        <w:t>Diese Form von Vorhersage gründet auf einer spezifischen Form erkenntnistheoretischer Modellierung: Das FRZK operiert nicht mit ontologischen Grundannahmen über Raum, Zeit, Objektivität oder Kausalität, sondern entwickelt diese Begriffe selbst aus der iterativen Anwendung funktionaler Operationen – beginnend mit der Unterscheidung eines Initialpunkts (I) aus dem strukturlosen Zustand (∅) [2]. In diesem Sinne beschreibt das Modell nicht nur die Welt, sondern erzeugt systemisch die konzeptuellen Bedingungen, unter denen überhaupt sinnvoll von „Welt“, „Beobachtung“, „Ordnung“ oder „Bedeutung“ gesprochen werden kann [3].</w:t>
      </w:r>
    </w:p>
    <w:p w14:paraId="4FBE4A37" w14:textId="77777777" w:rsidR="00DD5A28" w:rsidRDefault="00DD5A28" w:rsidP="00CE2E9F">
      <w:r>
        <w:t>Diese emergente Struktur orientiert sich methodisch an formalen Fixpunktverfahren, Operatorlogiken und rekursiven Konstruktionsprinzipien, wie sie etwa in der mathematischen Systemtheorie, der funktionalen Physik (z. B. Feldtheorie, Stringtheorie) und der konstruktiven Erkenntnistheorie (z. B. bei Spencer-Brown, Varela, von Foerster) etabliert sind [4][5]. Vorhersagen im Sinne des FRZK sind daher das Resultat einer strukturgenerierenden Architektur: Sie beziehen sich auf die internen Bedingungen der Modellbildung selbst und zielen auf Aussagen über die Form, Dynamik und Differenzierungslogik von Realität.</w:t>
      </w:r>
    </w:p>
    <w:p w14:paraId="5231FED7" w14:textId="0089F6AB" w:rsidR="00DD5A28" w:rsidRDefault="00DD5A28" w:rsidP="00CE2E9F">
      <w:r>
        <w:t xml:space="preserve">Im Folgenden werden jene modellinternen Konsequenzen als „Vorhersagen“ des FRZK ausgewiesen, die sich mit systematischer Strenge aus den zugrunde gelegten Operationen und Funktionsprinzipien ableiten lassen. Jeder Abschnitt behandelt dabei ein spezifisches emergentes Phänomen (z. B. Raumzeit, Kausalität, Beobachtung, Bedeutung), dessen Entstehung, Struktur und Modifizierbarkeit innerhalb des funktionalen Rahmens rekonstruiert wird. Das Ziel ist keine empirische Verifikation im klassischen Sinn, sondern die </w:t>
      </w:r>
      <w:r>
        <w:rPr>
          <w:rStyle w:val="Fett"/>
        </w:rPr>
        <w:t>Begründung struktureller Notwendigkeit</w:t>
      </w:r>
      <w:r>
        <w:t xml:space="preserve"> innerhalb eines geschlossenen, aber anschlussfähigen Modells.</w:t>
      </w:r>
    </w:p>
    <w:p w14:paraId="1D420CF5" w14:textId="77777777" w:rsidR="00CB6546" w:rsidRPr="00CB6546" w:rsidRDefault="00CB6546" w:rsidP="00CE2E9F">
      <w:pPr>
        <w:rPr>
          <w:rFonts w:ascii="Times New Roman" w:eastAsia="Times New Roman" w:hAnsi="Times New Roman"/>
          <w:szCs w:val="24"/>
          <w:lang w:eastAsia="de-DE"/>
        </w:rPr>
      </w:pPr>
      <w:r w:rsidRPr="00CB6546">
        <w:rPr>
          <w:rFonts w:ascii="Times New Roman" w:eastAsia="Times New Roman" w:hAnsi="Times New Roman"/>
          <w:szCs w:val="24"/>
          <w:lang w:eastAsia="de-DE"/>
        </w:rPr>
        <w:t>Die nachfolgenden Abschnitte strukturieren diese Vorhersagen systematisch und erläutern die jeweilige Ableitung, ihre erkenntnistheoretische Bedeutung sowie ihre interdisziplinäre Relevanz.</w:t>
      </w:r>
    </w:p>
    <w:p w14:paraId="7F903435" w14:textId="0B10C736" w:rsidR="0050473A" w:rsidRPr="00CE2E9F" w:rsidRDefault="00CB6546" w:rsidP="00CE2E9F">
      <w:pPr>
        <w:rPr>
          <w:rFonts w:ascii="Times New Roman" w:eastAsia="Times New Roman" w:hAnsi="Times New Roman"/>
          <w:szCs w:val="24"/>
          <w:lang w:eastAsia="de-DE"/>
        </w:rPr>
      </w:pPr>
      <w:r w:rsidRPr="00CB6546">
        <w:rPr>
          <w:rFonts w:ascii="Times New Roman" w:eastAsia="Times New Roman" w:hAnsi="Times New Roman"/>
          <w:b/>
          <w:bCs/>
          <w:szCs w:val="24"/>
          <w:lang w:eastAsia="de-DE"/>
        </w:rPr>
        <w:t>Die erste modelllogische Konsequenz betrifft die strukturelle Emergenz von Raum, Zeit, Objektivität und Kausalität durch funktionale Zuweisungen</w:t>
      </w:r>
      <w:r>
        <w:rPr>
          <w:rFonts w:ascii="Times New Roman" w:eastAsia="Times New Roman" w:hAnsi="Times New Roman"/>
          <w:b/>
          <w:bCs/>
          <w:szCs w:val="24"/>
          <w:lang w:eastAsia="de-DE"/>
        </w:rPr>
        <w:t>.</w:t>
      </w:r>
    </w:p>
    <w:p w14:paraId="4A2D2939" w14:textId="77777777" w:rsidR="00121132" w:rsidRDefault="00CE2E9F" w:rsidP="00121132">
      <w:bookmarkStart w:id="0" w:name="_qfz912g5z21i" w:colFirst="0" w:colLast="0"/>
      <w:bookmarkEnd w:id="0"/>
      <w:r>
        <w:lastRenderedPageBreak/>
        <w:pict w14:anchorId="7117D108">
          <v:rect id="_x0000_i1025" style="width:0;height:1.5pt" o:hralign="center" o:hrstd="t" o:hr="t" fillcolor="#a0a0a0" stroked="f"/>
        </w:pict>
      </w:r>
    </w:p>
    <w:p w14:paraId="41934F2A" w14:textId="77777777" w:rsidR="00121132" w:rsidRDefault="00121132" w:rsidP="00121132">
      <w:pPr>
        <w:pStyle w:val="berschrift1"/>
      </w:pPr>
      <w:r>
        <w:t>4.1 Emergenz von Realität durch funktionale Zuweisungen</w:t>
      </w:r>
    </w:p>
    <w:p w14:paraId="6FC0B9B7" w14:textId="78D227E4" w:rsidR="00DD5A28" w:rsidRDefault="00DD5A28" w:rsidP="0062001A">
      <w:pPr>
        <w:pStyle w:val="berschrift2"/>
        <w:rPr>
          <w:rStyle w:val="Fett"/>
          <w:b/>
          <w:bCs w:val="0"/>
        </w:rPr>
      </w:pPr>
      <w:bookmarkStart w:id="1" w:name="_adwbs3eaxvvf" w:colFirst="0" w:colLast="0"/>
      <w:bookmarkEnd w:id="1"/>
      <w:r>
        <w:rPr>
          <w:rStyle w:val="Fett"/>
          <w:b/>
          <w:bCs w:val="0"/>
        </w:rPr>
        <w:t>4.1 Emergenz von Realität durch funktionale Zuweisungen</w:t>
      </w:r>
    </w:p>
    <w:p w14:paraId="52914662" w14:textId="77777777" w:rsidR="0062001A" w:rsidRDefault="00CB6546" w:rsidP="0062001A">
      <w:r>
        <w:t>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w:t>
      </w:r>
    </w:p>
    <w:p w14:paraId="60D143FE" w14:textId="77777777" w:rsidR="00CE2E9F" w:rsidRDefault="00CE2E9F" w:rsidP="00CE2E9F">
      <w:r>
        <w:pict w14:anchorId="7049F88E">
          <v:rect id="_x0000_i1038" style="width:0;height:1.5pt" o:hralign="center" o:hrstd="t" o:hr="t" fillcolor="#a0a0a0" stroked="f"/>
        </w:pict>
      </w:r>
    </w:p>
    <w:p w14:paraId="4FA1A1C2" w14:textId="3A831A35" w:rsidR="00DD5A28" w:rsidRPr="00A972C1" w:rsidRDefault="00DD5A28" w:rsidP="00A972C1">
      <w:pPr>
        <w:pStyle w:val="berschrift3"/>
      </w:pPr>
      <w:r w:rsidRPr="00A972C1">
        <w:rPr>
          <w:rStyle w:val="Fett"/>
          <w:b/>
          <w:bCs w:val="0"/>
        </w:rPr>
        <w:t>4.1.1 Ontologische Zurückhaltung als Modellprinzip</w:t>
      </w:r>
    </w:p>
    <w:p w14:paraId="06C7681F" w14:textId="7DF75243" w:rsidR="00DD5A28" w:rsidRDefault="00DD5A28" w:rsidP="00CE2E9F">
      <w:r>
        <w:t>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w:t>
      </w:r>
    </w:p>
    <w:p w14:paraId="141BC243" w14:textId="74DFF2BA" w:rsidR="00CB6546" w:rsidRDefault="00CE2E9F" w:rsidP="00CB6546">
      <w:r>
        <w:pict w14:anchorId="07F849CD">
          <v:rect id="_x0000_i1026" style="width:0;height:1.5pt" o:hralign="center" o:hrstd="t" o:hr="t" fillcolor="#a0a0a0" stroked="f"/>
        </w:pict>
      </w:r>
    </w:p>
    <w:p w14:paraId="2AF21C2B" w14:textId="77777777" w:rsidR="00DD5A28" w:rsidRDefault="00DD5A28" w:rsidP="00A972C1">
      <w:pPr>
        <w:pStyle w:val="berschrift3"/>
      </w:pPr>
      <w:r>
        <w:rPr>
          <w:rStyle w:val="Fett"/>
          <w:bCs w:val="0"/>
        </w:rPr>
        <w:t>4.1.2 Initialpunkt und strukturloser Zustand (</w:t>
      </w:r>
      <w:r>
        <w:rPr>
          <w:rStyle w:val="Fett"/>
          <w:rFonts w:ascii="Cambria Math" w:hAnsi="Cambria Math" w:cs="Cambria Math"/>
          <w:bCs w:val="0"/>
        </w:rPr>
        <w:t>∅</w:t>
      </w:r>
      <w:r>
        <w:rPr>
          <w:rStyle w:val="Fett"/>
          <w:bCs w:val="0"/>
        </w:rPr>
        <w:t>)</w:t>
      </w:r>
    </w:p>
    <w:p w14:paraId="252F6C39" w14:textId="77777777" w:rsidR="00DD5A28" w:rsidRDefault="00DD5A28" w:rsidP="00CE2E9F">
      <w:r>
        <w:t>Der erste funktionale Schritt des FRZK besteht in der Setzung eines Initialpunkts (I), der sich von einem strukturlosen Zustand ∅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und der Konstitution durch Unterscheidung [2].</w:t>
      </w:r>
    </w:p>
    <w:p w14:paraId="31D8DFE3" w14:textId="77777777" w:rsidR="00CB6546" w:rsidRDefault="00CE2E9F" w:rsidP="00CB6546">
      <w:r>
        <w:pict w14:anchorId="4E6FCB58">
          <v:rect id="_x0000_i1027" style="width:0;height:1.5pt" o:hralign="center" o:hrstd="t" o:hr="t" fillcolor="#a0a0a0" stroked="f"/>
        </w:pict>
      </w:r>
    </w:p>
    <w:p w14:paraId="27578EF1" w14:textId="77777777" w:rsidR="00DD5A28" w:rsidRDefault="00DD5A28" w:rsidP="00A972C1">
      <w:pPr>
        <w:pStyle w:val="berschrift3"/>
      </w:pPr>
      <w:r>
        <w:rPr>
          <w:rStyle w:val="Fett"/>
          <w:bCs w:val="0"/>
        </w:rPr>
        <w:t>4.1.3 Funktionale Entstehung von Raum und Zeit</w:t>
      </w:r>
    </w:p>
    <w:p w14:paraId="65136AEC" w14:textId="77777777" w:rsidR="00DD5A28" w:rsidRDefault="00DD5A28" w:rsidP="00DD5A28">
      <w:pPr>
        <w:pStyle w:val="StandardWeb"/>
      </w:pPr>
      <w:r>
        <w:t>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[5].</w:t>
      </w:r>
    </w:p>
    <w:p w14:paraId="0F7370BB" w14:textId="77777777" w:rsidR="00CB6546" w:rsidRDefault="00CE2E9F" w:rsidP="00CB6546">
      <w:r>
        <w:pict w14:anchorId="6811D709">
          <v:rect id="_x0000_i1028" style="width:0;height:1.5pt" o:hralign="center" o:hrstd="t" o:hr="t" fillcolor="#a0a0a0" stroked="f"/>
        </w:pict>
      </w:r>
    </w:p>
    <w:p w14:paraId="34F9C27E" w14:textId="77777777" w:rsidR="00DD5A28" w:rsidRDefault="00DD5A28" w:rsidP="00A972C1">
      <w:pPr>
        <w:pStyle w:val="berschrift3"/>
      </w:pPr>
      <w:r>
        <w:rPr>
          <w:rStyle w:val="Fett"/>
          <w:bCs w:val="0"/>
        </w:rPr>
        <w:t xml:space="preserve">4.1.4 Konsistenz mit physikalischen </w:t>
      </w:r>
      <w:proofErr w:type="spellStart"/>
      <w:r>
        <w:rPr>
          <w:rStyle w:val="Fett"/>
          <w:bCs w:val="0"/>
        </w:rPr>
        <w:t>Emergenztheorien</w:t>
      </w:r>
      <w:proofErr w:type="spellEnd"/>
    </w:p>
    <w:p w14:paraId="6CA71EAF" w14:textId="77777777" w:rsidR="00DD5A28" w:rsidRDefault="00DD5A28" w:rsidP="00DD5A28">
      <w:pPr>
        <w:pStyle w:val="StandardWeb"/>
      </w:pPr>
      <w:r>
        <w:t>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w:t>
      </w:r>
    </w:p>
    <w:p w14:paraId="6DFEA658" w14:textId="77777777" w:rsidR="00CB6546" w:rsidRDefault="00CE2E9F" w:rsidP="00CB6546">
      <w:r>
        <w:pict w14:anchorId="5AB85E18">
          <v:rect id="_x0000_i1029" style="width:0;height:1.5pt" o:hralign="center" o:hrstd="t" o:hr="t" fillcolor="#a0a0a0" stroked="f"/>
        </w:pict>
      </w:r>
    </w:p>
    <w:p w14:paraId="62510147" w14:textId="77777777" w:rsidR="00DD5A28" w:rsidRPr="00A972C1" w:rsidRDefault="00DD5A28" w:rsidP="00A972C1">
      <w:pPr>
        <w:pStyle w:val="berschrift3"/>
      </w:pPr>
      <w:r w:rsidRPr="00A972C1">
        <w:rPr>
          <w:rStyle w:val="Fett"/>
          <w:b/>
          <w:bCs w:val="0"/>
        </w:rPr>
        <w:t>4.1.5 Epistemische Position der Vorhersage</w:t>
      </w:r>
    </w:p>
    <w:p w14:paraId="58AAFB99" w14:textId="5248620E" w:rsidR="00DD5A28" w:rsidRDefault="00DD5A28" w:rsidP="00DD5A28">
      <w:pPr>
        <w:pStyle w:val="StandardWeb"/>
      </w:pPr>
      <w:r>
        <w:t>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w:t>
      </w:r>
    </w:p>
    <w:p w14:paraId="09A90430" w14:textId="77777777" w:rsidR="00CB6546" w:rsidRDefault="00CE2E9F" w:rsidP="00CB6546">
      <w:r>
        <w:pict w14:anchorId="5D405FD3">
          <v:rect id="_x0000_i1030" style="width:0;height:1.5pt" o:hralign="center" o:hrstd="t" o:hr="t" fillcolor="#a0a0a0" stroked="f"/>
        </w:pict>
      </w:r>
    </w:p>
    <w:p w14:paraId="447D6B8A" w14:textId="0537E1ED" w:rsidR="00DD5A28" w:rsidRDefault="00121132" w:rsidP="00A972C1">
      <w:pPr>
        <w:pStyle w:val="berschrift1"/>
      </w:pPr>
      <w:r>
        <w:t>4.2 Hierarchische und emergente Struktur von Gleichungstypen</w:t>
      </w:r>
      <w:bookmarkStart w:id="2" w:name="_5ourynwsicbx" w:colFirst="0" w:colLast="0"/>
      <w:bookmarkEnd w:id="2"/>
    </w:p>
    <w:p w14:paraId="761CCDF2" w14:textId="5F24B70B" w:rsidR="00DD5A28" w:rsidRDefault="00DD5A28" w:rsidP="00DD5A28">
      <w:pPr>
        <w:pStyle w:val="berschrift3"/>
        <w:rPr>
          <w:rStyle w:val="Fett"/>
          <w:b/>
          <w:bCs w:val="0"/>
        </w:rPr>
      </w:pPr>
      <w:r>
        <w:rPr>
          <w:rStyle w:val="Fett"/>
          <w:b/>
          <w:bCs w:val="0"/>
        </w:rPr>
        <w:t>4.2 Hierarchische und emergente Struktur von Gleichungstypen</w:t>
      </w:r>
    </w:p>
    <w:p w14:paraId="1E8F1643" w14:textId="27BC6FE1" w:rsidR="00A972C1" w:rsidRPr="00A972C1" w:rsidRDefault="00A972C1" w:rsidP="00A972C1">
      <w:r>
        <w:t xml:space="preserve">Das FRZK macht die modellinterne Vorhersage, dass die grundlegenden Strukturelemente eines funktionalen Systems – etwa Raum, Dynamik, Handlung oder Reflexion – nicht als gleichrangige Parameter </w:t>
      </w:r>
      <w:proofErr w:type="gramStart"/>
      <w:r>
        <w:t>nebeneinander stehen</w:t>
      </w:r>
      <w:proofErr w:type="gramEnd"/>
      <w:r>
        <w:t>, sondern sich in einer logisch notwendigen, hierarchisch geschichteten Struktur funktionaler Gleichungstypen organisieren. Diese Gleichungstypen bilden eine Abfolge von Operatoren, in der jede Ebene aus der vorangegangenen hervorgeht, funktional bedingt ist und eine zunehmende Differenzierungs- und Reflexionsfähigkeit des Systems ermöglicht. Das Modell prognostiziert somit, dass sich komplexe Phänomene wie Handlung, Bedeutung oder Selbstbeobachtung nur innerhalb eines schichtweise aufgebauten, emergenten Gleichungssystems stabil erzeugen lassen.</w:t>
      </w:r>
    </w:p>
    <w:p w14:paraId="4A15B28D" w14:textId="77777777" w:rsidR="00DD5A28" w:rsidRDefault="00DD5A28" w:rsidP="00DD5A28">
      <w:pPr>
        <w:pStyle w:val="berschrift4"/>
      </w:pPr>
      <w:r>
        <w:rPr>
          <w:rStyle w:val="Fett"/>
          <w:b w:val="0"/>
          <w:bCs w:val="0"/>
        </w:rPr>
        <w:t>4.2.1 Gleichungstypen als funktionale Ebenen</w:t>
      </w:r>
    </w:p>
    <w:p w14:paraId="3D6FABF5" w14:textId="77777777" w:rsidR="00DD5A28" w:rsidRDefault="00DD5A28" w:rsidP="00DD5A28">
      <w:pPr>
        <w:pStyle w:val="StandardWeb"/>
      </w:pPr>
      <w:r>
        <w:t>Das FRZK beschreibt Gleichungstypen nicht als formale Ausdrücke zur Modellierung gegebener Zustände, sondern als funktionale Operatoren, die selbst Realität strukturieren. Dabei folgt das Modell einer schichtweisen Systemarchitektur: Initialpunkt, Raumfunktion, Brane-Funktion, Metrik, Dynamik, Akteur-Funktion und Meta-Funktion stellen strukturell gestufte Operatoren dar, die sich wechselseitig voraussetzen und erzeugen [16]. Die Gleichungstypen bilden somit nicht nur mathematische Formulierungen ab, sondern kodieren systemische Übergänge zwischen Beobachtungs-, Interaktions- und Reflexionsebenen.</w:t>
      </w:r>
    </w:p>
    <w:p w14:paraId="00249C97" w14:textId="77777777" w:rsidR="00DD5A28" w:rsidRDefault="00DD5A28" w:rsidP="00DD5A28">
      <w:pPr>
        <w:pStyle w:val="berschrift4"/>
      </w:pPr>
      <w:r>
        <w:rPr>
          <w:rStyle w:val="Fett"/>
          <w:b w:val="0"/>
          <w:bCs w:val="0"/>
        </w:rPr>
        <w:t>4.2.2 Iterative Ableitbarkeit und funktionale Emergenz</w:t>
      </w:r>
    </w:p>
    <w:p w14:paraId="17980461" w14:textId="77777777" w:rsidR="00DD5A28" w:rsidRDefault="00DD5A28" w:rsidP="00DD5A28">
      <w:pPr>
        <w:pStyle w:val="StandardWeb"/>
      </w:pPr>
      <w:r>
        <w:t>Die Entstehung dieser Gleichungstypen erfolgt iterativ ausgehend vom strukturlosen Zustand (∅). Aus der ersten funktionalen Unterscheidung entsteht ein Initialpunkt, auf dessen Basis eine Raumfunktion als Koordinationsstruktur generiert wird. Daraus entwickelt sich eine Brane-Funktion, welche die interne Feldstruktur beschreibt. Erst darauf aufbauend kann eine Metrik definiert werden, die Entfernungen, Krümmungen und Richtungen operationalisiert. Diese Metrik ermöglicht in Kombination mit der Brane-Funktion die Formulierung von Dynamiken (z. B. Bewegung, Wechselwirkung), auf denen wiederum Handlungs- und Akteursfunktionen sowie deren reflexive Meta-Ebenen aufbauen [17].</w:t>
      </w:r>
    </w:p>
    <w:p w14:paraId="3DECC792" w14:textId="77777777" w:rsidR="00DD5A28" w:rsidRDefault="00DD5A28" w:rsidP="00DD5A28">
      <w:pPr>
        <w:pStyle w:val="StandardWeb"/>
      </w:pPr>
      <w:r>
        <w:t>Diese Abfolge entspricht einem emergenten Funktionsgefüge, in dem jede neue Schicht systematisch aus den strukturellen Freiheitsgraden der vorherigen hervorgeht – vergleichbar mit iterativen Fixpunktverfahren in der nichtlinearen Systemdynamik [18].</w:t>
      </w:r>
    </w:p>
    <w:p w14:paraId="3FB0F513" w14:textId="77777777" w:rsidR="00DD5A28" w:rsidRDefault="00DD5A28" w:rsidP="00DD5A28">
      <w:pPr>
        <w:pStyle w:val="berschrift4"/>
      </w:pPr>
      <w:r>
        <w:rPr>
          <w:rStyle w:val="Fett"/>
          <w:b w:val="0"/>
          <w:bCs w:val="0"/>
        </w:rPr>
        <w:t>4.2.3 Formale Kohärenz und interne Beweisbarkeit</w:t>
      </w:r>
    </w:p>
    <w:p w14:paraId="02B6BF6F" w14:textId="77777777" w:rsidR="00DD5A28" w:rsidRDefault="00DD5A28" w:rsidP="00DD5A28">
      <w:pPr>
        <w:pStyle w:val="StandardWeb"/>
      </w:pPr>
      <w:r>
        <w:t>Die Validität dieser Struktur ergibt sich aus der konstruktiven Kohärenz der Modellarchitektur selbst: Jeder Übergang ist als Operator auf vorherige Funktionsebenen mathematisch definierbar und systemisch notwendig. Anstatt empirischer Belege tritt hier die interne Beweisbarkeit als Geltungskriterium auf – ein Ansatz, der mit axiombasierten formalen Systemen, aber auch mit konstruktiven Logiken verwandt ist [19]. Damit weist das FRZK eine formale Selbststimmigkeit auf, die in sich geschlossene Funktionalität mit struktureller Offenheit für Erweiterung verbindet.</w:t>
      </w:r>
    </w:p>
    <w:p w14:paraId="37DABD85" w14:textId="77777777" w:rsidR="00DD5A28" w:rsidRDefault="00DD5A28" w:rsidP="00DD5A28">
      <w:pPr>
        <w:pStyle w:val="berschrift4"/>
      </w:pPr>
      <w:r>
        <w:rPr>
          <w:rStyle w:val="Fett"/>
          <w:b w:val="0"/>
          <w:bCs w:val="0"/>
        </w:rPr>
        <w:t>4.2.4 Rekursive Strukturlogik und Reflexion</w:t>
      </w:r>
    </w:p>
    <w:p w14:paraId="5DA579FF" w14:textId="77777777" w:rsidR="00DD5A28" w:rsidRDefault="00DD5A28" w:rsidP="00DD5A28">
      <w:pPr>
        <w:pStyle w:val="StandardWeb"/>
      </w:pPr>
      <w:r>
        <w:t>Ab der Ebene der Akteur-Funktion tritt eine neue Qualität ein: Systeme können nicht nur mit sich selbst, sondern über sich selbst operieren. Die Meta-Funktion stellt eine Reflexionsstruktur dar, durch die Beobachtungs- und Zuweisungsvorgänge selbst Gegenstand weiterer funktionaler Operationen werden können. Damit besitzt das FRZK eine inhärente rekursive Systemlogik, wie sie auch in selbstbeschreibenden Systemen in der theoretischen Informatik oder in Beobachtung zweiter Ordnung nach Luhmann vorkommt [20][19].</w:t>
      </w:r>
    </w:p>
    <w:p w14:paraId="304624F2" w14:textId="77777777" w:rsidR="00DD5A28" w:rsidRDefault="00DD5A28" w:rsidP="00DD5A28">
      <w:pPr>
        <w:pStyle w:val="berschrift4"/>
      </w:pPr>
      <w:r>
        <w:rPr>
          <w:rStyle w:val="Fett"/>
          <w:b w:val="0"/>
          <w:bCs w:val="0"/>
        </w:rPr>
        <w:t>4.2.5 Vergleich zu etablierten Systemtheorien</w:t>
      </w:r>
    </w:p>
    <w:p w14:paraId="1C8C14A3" w14:textId="5CEA52C6" w:rsidR="0050473A" w:rsidRDefault="00DD5A28" w:rsidP="00A972C1">
      <w:pPr>
        <w:pStyle w:val="StandardWeb"/>
      </w:pPr>
      <w:r>
        <w:t>Diese hierarchische Gliederung von Operatoren unterscheidet sich von klassischen Systemtheorien, die oft lediglich Input-Output-Strukturen oder Feedback-Schleifen modellieren. Das FRZK macht sichtbar, wie komplexe kognitive, physikalische oder gesellschaftliche Phänomene durch rekursiv geschichtete Funktionsebenen generiert und differenziert werden können. Ähnliche Strukturkonzepte finden sich etwa in der mehrstufigen Semantik nach Barwise, der kategorialen Modellierung in der Mathematik oder in der Selbstorganisation in dissipativen Systemen [22][23].</w:t>
      </w:r>
    </w:p>
    <w:p w14:paraId="054665DB" w14:textId="1A572751" w:rsidR="00121132" w:rsidRDefault="00CE2E9F" w:rsidP="00121132">
      <w:r>
        <w:pict w14:anchorId="58506093">
          <v:rect id="_x0000_i1031" style="width:0;height:1.5pt" o:hralign="center" o:hrstd="t" o:hr="t" fillcolor="#a0a0a0" stroked="f"/>
        </w:pict>
      </w:r>
    </w:p>
    <w:p w14:paraId="78BE422B" w14:textId="7D6E8F7C" w:rsidR="00121132" w:rsidRDefault="00121132" w:rsidP="00121132">
      <w:pPr>
        <w:pStyle w:val="berschrift1"/>
      </w:pPr>
      <w:r>
        <w:t>4.3 Rekursivität und Selbstbezüglichkeit von Beobachtung</w:t>
      </w:r>
    </w:p>
    <w:p w14:paraId="15837405" w14:textId="689EC9C6" w:rsidR="00A972C1" w:rsidRPr="00A972C1" w:rsidRDefault="00A972C1" w:rsidP="00A972C1">
      <w:r>
        <w:t>Das FRZK prognostiziert, dass Beobachtung nicht als passiver Zugriff auf eine vorgegebene Realität zu verstehen ist, sondern als rekursive, strukturabhängige Operation, die aktiv an der Konstitution von Realität beteiligt ist. Beobachtungen entstehen innerhalb des Systems durch funktionale Operatoren, die nicht nur externe Zustände erfassen, sondern auf das System selbst zurückwirken können. Das Modell sagt daher voraus, dass jede hinreichend komplexe Beobachtungsstruktur zur Selbstbezüglichkeit tendiert und Beobachtung zweiter Ordnung – also die Beobachtung der eigenen Beobachtungen – eine systemimmanente Notwendigkeit darstellt. Diese Form der Beobachtung ist nicht optional, sondern ein strukturelles Resultat funktionaler Organisation.</w:t>
      </w:r>
    </w:p>
    <w:p w14:paraId="74441A30" w14:textId="77777777" w:rsidR="00DD5A28" w:rsidRDefault="00DD5A28" w:rsidP="00DD5A28">
      <w:pPr>
        <w:pStyle w:val="berschrift4"/>
      </w:pPr>
      <w:bookmarkStart w:id="3" w:name="_reon0l8ybxra" w:colFirst="0" w:colLast="0"/>
      <w:bookmarkEnd w:id="3"/>
      <w:r>
        <w:rPr>
          <w:rStyle w:val="Fett"/>
          <w:b w:val="0"/>
          <w:bCs w:val="0"/>
        </w:rPr>
        <w:t>4.3.1 Beobachtung als Systemfunktion</w:t>
      </w:r>
    </w:p>
    <w:p w14:paraId="73AD9D0B" w14:textId="77777777" w:rsidR="00DD5A28" w:rsidRDefault="00DD5A28" w:rsidP="00DD5A28">
      <w:pPr>
        <w:pStyle w:val="StandardWeb"/>
      </w:pPr>
      <w:r>
        <w:t>Das FRZK modelliert Beobachtung nicht als externen Zugriff eines unabhängigen Subjekts auf eine objektive Welt, sondern als systeminterne Operation, durch die Strukturen generiert und unterschieden werden. Beobachtung ist im funktionalen Rahmen eine spezielle Form funktionaler Zuweisung, bei der nicht nur Relationen gebildet, sondern auch Selektionsprozesse gesteuert und interpretativ gerahmt werden [24]. Diese Funktion ist an kein „Bewusstsein“ gebunden, sondern kann von kognitiven, sozialen oder technischen Systemen gleichermaßen realisiert werden.</w:t>
      </w:r>
    </w:p>
    <w:p w14:paraId="666EA7B4" w14:textId="77777777" w:rsidR="00DD5A28" w:rsidRDefault="00DD5A28" w:rsidP="00DD5A28">
      <w:pPr>
        <w:pStyle w:val="berschrift4"/>
      </w:pPr>
      <w:r>
        <w:rPr>
          <w:rStyle w:val="Fett"/>
          <w:b w:val="0"/>
          <w:bCs w:val="0"/>
        </w:rPr>
        <w:t>4.3.2 Rekursion und funktionale Selbstanwendung</w:t>
      </w:r>
    </w:p>
    <w:p w14:paraId="3E249635" w14:textId="77777777" w:rsidR="00DD5A28" w:rsidRDefault="00DD5A28" w:rsidP="00DD5A28">
      <w:pPr>
        <w:pStyle w:val="StandardWeb"/>
      </w:pPr>
      <w:r>
        <w:t>Beobachtung im FRZK ist rekursiv, das heißt, sie kann auf sich selbst angewendet werden. Diese Eigenschaft wird durch die Einführung sogenannter Meta-Funktionen operationalisiert, die es erlauben, Beobachtungen nicht nur zu tätigen, sondern auch zu beobachten, dass beobachtet wird. Solche Operationen sind notwendig, sobald Systeme mit mehr als einer Beobachtungsebene agieren – etwa bei der Unterscheidung von Fakt und Interpretation, erster und zweiter Ordnung oder Handlung und Metareflexion [25].</w:t>
      </w:r>
    </w:p>
    <w:p w14:paraId="1CA345B9" w14:textId="77777777" w:rsidR="00DD5A28" w:rsidRDefault="00DD5A28" w:rsidP="00DD5A28">
      <w:pPr>
        <w:pStyle w:val="StandardWeb"/>
      </w:pPr>
      <w:r>
        <w:t>Diese Rekursivität wird formal als funktionale Selbstanwendung modelliert: Ein System bezieht sich auf die Operatoren, die es selbst generiert hat, und modifiziert sie unter bestimmten Bedingungen. Vergleichbare Konzepte finden sich in der theoretischen Informatik (z. B. λ-Kalkül), der mathematischen Logik (z. B. Gödels Selbstreferenzprinzip) und der soziologischen Systemtheorie [26].</w:t>
      </w:r>
    </w:p>
    <w:p w14:paraId="3EB69536" w14:textId="77777777" w:rsidR="00DD5A28" w:rsidRDefault="00DD5A28" w:rsidP="00DD5A28">
      <w:pPr>
        <w:pStyle w:val="berschrift4"/>
      </w:pPr>
      <w:r>
        <w:rPr>
          <w:rStyle w:val="Fett"/>
          <w:b w:val="0"/>
          <w:bCs w:val="0"/>
        </w:rPr>
        <w:t>4.3.3 Beobachtung zweiter Ordnung als Modellprinzip</w:t>
      </w:r>
    </w:p>
    <w:p w14:paraId="7D870BA2" w14:textId="77777777" w:rsidR="00DD5A28" w:rsidRDefault="00DD5A28" w:rsidP="00DD5A28">
      <w:pPr>
        <w:pStyle w:val="StandardWeb"/>
      </w:pPr>
      <w:r>
        <w:t>Die Unterscheidung zwischen Beobachtung erster und zweiter Ordnung wird im FRZK nicht nur als erkenntnistheoretisches Konzept übernommen, sondern strukturell in das Modell eingebettet. Beobachtung erster Ordnung betrifft die Unterscheidung von Systemelementen (z. B. „dies ist Objekt A“), während Beobachtung zweiter Ordnung sich auf die Unterscheidung von Unterscheidungen bezieht (z. B. „diese Beobachtung wurde unter einer bestimmten Perspektive vorgenommen“) [27].</w:t>
      </w:r>
    </w:p>
    <w:p w14:paraId="40D64FF2" w14:textId="77777777" w:rsidR="00DD5A28" w:rsidRDefault="00DD5A28" w:rsidP="00DD5A28">
      <w:pPr>
        <w:pStyle w:val="StandardWeb"/>
      </w:pPr>
      <w:r>
        <w:t>Diese Unterscheidung erlaubt es, kontextabhängige, perspektivische und reflexive Modelloperationen zu beschreiben – eine Eigenschaft, die für alle Systeme mit mehrschichtiger Semantik oder adaptiver Steuerung unverzichtbar ist. Das FRZK bietet hier ein formalisiertes Rahmenmodell, das diese Tiefenstruktur funktional konsistent beschreibt.</w:t>
      </w:r>
    </w:p>
    <w:p w14:paraId="78C5C7C2" w14:textId="77777777" w:rsidR="00DD5A28" w:rsidRDefault="00DD5A28" w:rsidP="00DD5A28">
      <w:pPr>
        <w:pStyle w:val="berschrift4"/>
      </w:pPr>
      <w:r>
        <w:rPr>
          <w:rStyle w:val="Fett"/>
          <w:b w:val="0"/>
          <w:bCs w:val="0"/>
        </w:rPr>
        <w:t>4.3.4 Beobachtereffekte und strukturabhängige Erkenntnis</w:t>
      </w:r>
    </w:p>
    <w:p w14:paraId="568D5D4E" w14:textId="77777777" w:rsidR="00DD5A28" w:rsidRDefault="00DD5A28" w:rsidP="00DD5A28">
      <w:pPr>
        <w:pStyle w:val="StandardWeb"/>
      </w:pPr>
      <w:r>
        <w:t>Im Sinne der Quantenphysik tritt mit dem sogenannten Beobachtereffekt ein Prinzip in Erscheinung, das auch im FRZK grundlegend ist: Jede Beobachtung verändert das Beobachtete – oder genauer: das Beobachtete ist nur in Relation zur Beobachtungsoperation bestimmbar [28]. Das FRZK generalisiert dieses Prinzip und wendet es auf alle funktionalen Beobachtungssysteme an. Erkenntnis ist nicht unabhängig von ihrer Struktur möglich, sondern durch diese strukturell begrenzt und geformt. Diese Form der Einschränkung ist keine Schwäche, sondern ein systemimmanenter Konstruktionsmechanismus.</w:t>
      </w:r>
    </w:p>
    <w:p w14:paraId="08414EAF" w14:textId="77777777" w:rsidR="00DD5A28" w:rsidRDefault="00DD5A28" w:rsidP="00DD5A28">
      <w:pPr>
        <w:pStyle w:val="berschrift4"/>
      </w:pPr>
      <w:r>
        <w:rPr>
          <w:rStyle w:val="Fett"/>
          <w:b w:val="0"/>
          <w:bCs w:val="0"/>
        </w:rPr>
        <w:t>4.3.5 Beobachtung als dynamische Steuergröße</w:t>
      </w:r>
    </w:p>
    <w:p w14:paraId="64510FCD" w14:textId="10187862" w:rsidR="0050473A" w:rsidRDefault="00DD5A28" w:rsidP="00A972C1">
      <w:pPr>
        <w:pStyle w:val="StandardWeb"/>
      </w:pPr>
      <w:r>
        <w:t xml:space="preserve">Beobachtung ist im FRZK nicht nur erkenntnistheoretisch relevant, sondern auch operativ: Sie steuert die Auswahl von Zuweisungen, aktiviert bestimmte semantische Felder und ist an der Bewertung und Transformation symbolischer Ordnungen beteiligt. Insofern ist Beobachtung eine </w:t>
      </w:r>
      <w:r>
        <w:rPr>
          <w:rStyle w:val="Fett"/>
        </w:rPr>
        <w:t>dynamische Steuergröße</w:t>
      </w:r>
      <w:r>
        <w:t>, die den Funktionsverlauf des Gesamtsystems mitbestimmt. Ihre Rekursivität erlaubt es, auch auf Veränderungen im eigenen Funktionsmodus zu reagieren – ein zentrales Merkmal für adaptive, lernfähige oder selbstreferenzielle Systeme.</w:t>
      </w:r>
    </w:p>
    <w:p w14:paraId="241C3826" w14:textId="77777777" w:rsidR="00121132" w:rsidRDefault="00CE2E9F" w:rsidP="00121132">
      <w:r>
        <w:pict w14:anchorId="1E95C4C4">
          <v:rect id="_x0000_i1032" style="width:0;height:1.5pt" o:hralign="center" o:hrstd="t" o:hr="t" fillcolor="#a0a0a0" stroked="f"/>
        </w:pict>
      </w:r>
    </w:p>
    <w:p w14:paraId="69A2D0AF" w14:textId="77777777" w:rsidR="00121132" w:rsidRDefault="00121132" w:rsidP="00121132">
      <w:pPr>
        <w:pStyle w:val="berschrift1"/>
      </w:pPr>
      <w:r>
        <w:t>4.4 Funktionale Abhängigkeit von Kausalität und Energie</w:t>
      </w:r>
    </w:p>
    <w:p w14:paraId="42D3254C" w14:textId="52431638" w:rsidR="00A972C1" w:rsidRDefault="00A972C1" w:rsidP="00A972C1">
      <w:pPr>
        <w:rPr>
          <w:rStyle w:val="Fett"/>
          <w:b w:val="0"/>
          <w:bCs w:val="0"/>
        </w:rPr>
      </w:pPr>
      <w:bookmarkStart w:id="4" w:name="_xi48z0q7hv9" w:colFirst="0" w:colLast="0"/>
      <w:bookmarkEnd w:id="4"/>
      <w:r>
        <w:t>Das FRZK formuliert die strukturelle Vorhersage, dass Kausalität und Energie nicht als grundlegende ontologische Prinzipien vorausgesetzt werden müssen, sondern als abgeleitete Funktionen innerhalb einer dynamischen Feldstruktur erscheinen. Kausalzusammenhänge entstehen demnach nicht aus extern gesetzten Ursache-Wirkungs-Relationen, sondern aus systeminternen Veränderungen von Feldkonfigurationen, die sich über metrische und topologische Operatoren beschreiben lassen. Energie wiederum wird nicht als eigenständige Größe eingeführt, sondern ergibt sich aus der Veränderungsrate strukturierter Felder im Zeitverlauf. Das Modell macht damit die Prognose, dass sowohl Kausalität als auch Energie im funktionalen Rahmen emergente Effekte koordinierter Operatorverhältnisse sind – feldabhängig, kontextuell und formal rekonstruierbar.</w:t>
      </w:r>
    </w:p>
    <w:p w14:paraId="6BA4AF25" w14:textId="15CF0A84" w:rsidR="00DD5A28" w:rsidRDefault="00DD5A28" w:rsidP="00DD5A28">
      <w:pPr>
        <w:pStyle w:val="berschrift4"/>
      </w:pPr>
      <w:r>
        <w:rPr>
          <w:rStyle w:val="Fett"/>
          <w:b w:val="0"/>
          <w:bCs w:val="0"/>
        </w:rPr>
        <w:t>4.4.1 Kausalität als strukturabhängige Funktion</w:t>
      </w:r>
    </w:p>
    <w:p w14:paraId="27E00DA3" w14:textId="77777777" w:rsidR="00DD5A28" w:rsidRDefault="00DD5A28" w:rsidP="00DD5A28">
      <w:pPr>
        <w:pStyle w:val="StandardWeb"/>
      </w:pPr>
      <w:r>
        <w:t>Im FRZK wird Kausalität nicht als gegebene Ordnung zwischen Ursachen und Wirkungen verstanden, sondern als emergente Struktur, die aus feldabhängigen Raumkonfigurationen resultiert. Kausalrelationen erscheinen als Folgen spezifischer Feldzustände, deren Veränderungsrichtungen systemisch interpretierbar sind. Damit ist Kausalität nicht vorausgesetzt, sondern funktional ableitbar – als Differenzstruktur zwischen Feldwerten über Zeitfolgen [29].</w:t>
      </w:r>
    </w:p>
    <w:p w14:paraId="5977EEF8" w14:textId="77777777" w:rsidR="00DD5A28" w:rsidRDefault="00DD5A28" w:rsidP="00DD5A28">
      <w:pPr>
        <w:pStyle w:val="berschrift4"/>
      </w:pPr>
      <w:r>
        <w:rPr>
          <w:rStyle w:val="Fett"/>
          <w:b w:val="0"/>
          <w:bCs w:val="0"/>
        </w:rPr>
        <w:t>4.4.2 Dynamik als Resultat metrischer und topologischer Operatoren</w:t>
      </w:r>
    </w:p>
    <w:p w14:paraId="6917883E" w14:textId="77777777" w:rsidR="00DD5A28" w:rsidRDefault="00DD5A28" w:rsidP="00DD5A28">
      <w:pPr>
        <w:pStyle w:val="StandardWeb"/>
      </w:pPr>
      <w:r>
        <w:t>Die Modellarchitektur des FRZK generiert Dynamik als Kombination von Metrik und Brane-Funktion. Letztere kodiert die materielle und strukturelle Verteilung im Raum, während die Metrik deren geometrische Relationen bestimmt. Erst durch die Ableitung aus diesen beiden Operatoren entstehen dynamische Gleichungen, die zeitabhängige Veränderung von Zuständen beschreiben – vergleichbar dem Lagrange- oder Hamilton-Formalismus in der klassischen Mechanik [30]. Diese Gleichungen treten jedoch nicht als externe Formeln auf, sondern als Konsequenzen funktionaler Operatorverknüpfung.</w:t>
      </w:r>
    </w:p>
    <w:p w14:paraId="46D29ECB" w14:textId="77777777" w:rsidR="00DD5A28" w:rsidRDefault="00DD5A28" w:rsidP="00DD5A28">
      <w:pPr>
        <w:pStyle w:val="berschrift4"/>
      </w:pPr>
      <w:r>
        <w:rPr>
          <w:rStyle w:val="Fett"/>
          <w:b w:val="0"/>
          <w:bCs w:val="0"/>
        </w:rPr>
        <w:t>4.4.3 Energie und Impuls als abgeleitete Systemgrößen</w:t>
      </w:r>
    </w:p>
    <w:p w14:paraId="1922BDA5" w14:textId="77777777" w:rsidR="00DD5A28" w:rsidRDefault="00DD5A28" w:rsidP="00DD5A28">
      <w:pPr>
        <w:pStyle w:val="StandardWeb"/>
      </w:pPr>
      <w:r>
        <w:t>Im funktionalen Bezugssystem werden Energie und Impuls nicht als ontologisch festgelegte Erhaltungsgrößen eingeführt, sondern als abgeleitete Systemgrößen, die aus der spezifischen Veränderung des Raum-Zeit-Feldes entstehen. So wird Energie im FRZK als Maß für die Rate der strukturellen Feldmodifikation und Impuls als gerichtete Strukturverschiebung im metrisch organisierten Raum interpretiert [31]. Diese Begriffe ergeben sich aus der Analyse systemischer Bewegungsrelationen innerhalb eines dynamischen Feldhintergrunds.</w:t>
      </w:r>
    </w:p>
    <w:p w14:paraId="64D22BFF" w14:textId="77777777" w:rsidR="00DD5A28" w:rsidRDefault="00DD5A28" w:rsidP="00DD5A28">
      <w:pPr>
        <w:pStyle w:val="berschrift4"/>
      </w:pPr>
      <w:r>
        <w:rPr>
          <w:rStyle w:val="Fett"/>
          <w:b w:val="0"/>
          <w:bCs w:val="0"/>
        </w:rPr>
        <w:t>4.4.4 Vergleich mit Feld- und Quantentheorien</w:t>
      </w:r>
    </w:p>
    <w:p w14:paraId="6DEEB34B" w14:textId="77777777" w:rsidR="00DD5A28" w:rsidRDefault="00DD5A28" w:rsidP="00DD5A28">
      <w:pPr>
        <w:pStyle w:val="StandardWeb"/>
      </w:pPr>
      <w:r>
        <w:t>Diese Sichtweise steht in enger Beziehung zu modernen physikalischen Theorien: In der Feldtheorie werden Teilchen als lokale Anregungen eines zugrunde liegenden Feldes interpretiert – also nicht als Substanzen, sondern als strukturelle Muster [32]. In der Quantenfeldtheorie verschärft sich dieser Gedanke, da alle beobachtbaren Größen aus Operatoren über Zustandsfunktionen konstruiert werden. Das FRZK schließt daran an, indem es zeigt, dass selbst Kausalität und Energie nicht substanzbasiert, sondern funktional rekonstruierbar sind [33].</w:t>
      </w:r>
    </w:p>
    <w:p w14:paraId="79614665" w14:textId="77777777" w:rsidR="00DD5A28" w:rsidRDefault="00DD5A28" w:rsidP="00DD5A28">
      <w:pPr>
        <w:pStyle w:val="berschrift4"/>
      </w:pPr>
      <w:r>
        <w:rPr>
          <w:rStyle w:val="Fett"/>
          <w:b w:val="0"/>
          <w:bCs w:val="0"/>
        </w:rPr>
        <w:t>4.4.5 Kausalstruktur als modellinterner Effekt</w:t>
      </w:r>
    </w:p>
    <w:p w14:paraId="199E4A5A" w14:textId="4AF856A2" w:rsidR="00DD5A28" w:rsidRPr="00CC0275" w:rsidRDefault="00DD5A28" w:rsidP="00723F92">
      <w:pPr>
        <w:pStyle w:val="StandardWeb"/>
      </w:pPr>
      <w:r>
        <w:t>Die Vorhersage des FRZK besteht darin, dass Kausalstruktur nicht global gegeben, sondern innerhalb des Modells erzeugt wird. Es handelt sich um einen systeminternen Effekt: Erst durch funktionale Zuweisungen im Raum-Zeit-Feld – insbesondere über die Differenzierung von Vorher/Nachher und die Konstanz strukturierter Übergänge – entstehen stabile Kausalpfade. Diese sind nicht universal, sondern situations- und feldabhängig, was insbesondere für nichtlineare, adaptive oder interaktive Systeme von Bedeutung ist [34].</w:t>
      </w:r>
    </w:p>
    <w:p w14:paraId="72E86C47" w14:textId="77777777" w:rsidR="00121132" w:rsidRDefault="00CE2E9F" w:rsidP="00121132">
      <w:r>
        <w:pict w14:anchorId="72AA531D">
          <v:rect id="_x0000_i1033" style="width:0;height:1.5pt" o:hralign="center" o:hrstd="t" o:hr="t" fillcolor="#a0a0a0" stroked="f"/>
        </w:pict>
      </w:r>
    </w:p>
    <w:p w14:paraId="598EDF65" w14:textId="77777777" w:rsidR="00121132" w:rsidRDefault="00121132" w:rsidP="00121132">
      <w:pPr>
        <w:pStyle w:val="berschrift1"/>
      </w:pPr>
      <w:r>
        <w:t>4.5 Dynamische und anpassungsfähige Bedeutungsfelder</w:t>
      </w:r>
    </w:p>
    <w:p w14:paraId="1FE41484" w14:textId="03C798A7" w:rsidR="00A972C1" w:rsidRDefault="00723F92" w:rsidP="00A972C1">
      <w:pPr>
        <w:rPr>
          <w:rStyle w:val="Fett"/>
          <w:b w:val="0"/>
          <w:bCs w:val="0"/>
        </w:rPr>
      </w:pPr>
      <w:bookmarkStart w:id="5" w:name="_9d2zvyka6uj6" w:colFirst="0" w:colLast="0"/>
      <w:bookmarkEnd w:id="5"/>
      <w:r>
        <w:t>Das FRZK prognostiziert, dass Bedeutung nicht als statisches, ortsunabhängiges Attribut von Zeichen verstanden werden kann, sondern als dynamisches Feld, das durch funktionale Zuweisungen innerhalb eines operativ geschlossenen Systems erzeugt und verändert wird. Bedeutungen entstehen aus relationalen Differenzierungen, stabilisieren sich temporär durch Attraktoren in semantischen Feldern und sind kontinuierlich modifizierbar durch Kontext, Diskurs und Metaprozesse. Die Vorhersage besteht darin, dass solche Bedeutungsfelder nicht extern hinzugefügt, sondern systemintern konstruiert werden und strukturellen Regeln folgen, die ihre Entstehung, Stabilisierung und Transformation formal beschreibbar machen. Bedeutung wird im FRZK damit zur modellierbaren, dynamischen Systemgröße.</w:t>
      </w:r>
    </w:p>
    <w:p w14:paraId="0657B5E6" w14:textId="72B8355D" w:rsidR="00DD5A28" w:rsidRDefault="00DD5A28" w:rsidP="00DD5A28">
      <w:pPr>
        <w:pStyle w:val="berschrift4"/>
      </w:pPr>
      <w:r>
        <w:rPr>
          <w:rStyle w:val="Fett"/>
          <w:b w:val="0"/>
          <w:bCs w:val="0"/>
        </w:rPr>
        <w:t>4.5.1 Bedeutung als Systemleistung</w:t>
      </w:r>
    </w:p>
    <w:p w14:paraId="6DE9F6AB" w14:textId="77777777" w:rsidR="00DD5A28" w:rsidRDefault="00DD5A28" w:rsidP="00DD5A28">
      <w:pPr>
        <w:pStyle w:val="StandardWeb"/>
      </w:pPr>
      <w:r>
        <w:t>Das FRZK betrachtet Bedeutung nicht als gegebene oder fixierte Eigenschaft sprachlicher Zeichen, sondern als emergente Systemleistung, die durch funktionale Zuweisung innerhalb eines semantischen Raums erzeugt wird. Bedeutungen entstehen aus relationalen Differenzen, die innerhalb eines dynamischen Feldes koordiniert und stabilisiert werden. Sie sind das Resultat strukturierter Verknüpfungen zwischen Operatoren, Kontexten und systeminternen Funktionszuständen [35].</w:t>
      </w:r>
    </w:p>
    <w:p w14:paraId="43A8EE37" w14:textId="77777777" w:rsidR="00DD5A28" w:rsidRDefault="00DD5A28" w:rsidP="00DD5A28">
      <w:pPr>
        <w:pStyle w:val="berschrift4"/>
      </w:pPr>
      <w:r>
        <w:rPr>
          <w:rStyle w:val="Fett"/>
          <w:b w:val="0"/>
          <w:bCs w:val="0"/>
        </w:rPr>
        <w:t>4.5.2 Semantische Felder als dynamische Strukturen</w:t>
      </w:r>
    </w:p>
    <w:p w14:paraId="42C783A1" w14:textId="77777777" w:rsidR="00DD5A28" w:rsidRDefault="00DD5A28" w:rsidP="00DD5A28">
      <w:pPr>
        <w:pStyle w:val="StandardWeb"/>
      </w:pPr>
      <w:r>
        <w:t>Bedeutungsfelder werden im FRZK als semantische Attraktorlandschaften modelliert. Diese Felder bestehen aus lokalisierten Bedeutungszentren („Attraktoren“) und fließenden Übergängen, deren Struktur durch systeminterne Interaktionen bestimmt wird. Die Dynamik ergibt sich aus der Veränderung dieser semantischen Konfigurationen über Zeit – etwa durch Diskurse, Interpretationsverschiebungen oder Kontextveränderungen. Mathematisch lässt sich dies durch Differentialgleichungen oder Potentialfunktionen beschreiben, wie sie auch in kognitiven Semantikmodellen Anwendung finden [36].</w:t>
      </w:r>
    </w:p>
    <w:p w14:paraId="7B11948C" w14:textId="77777777" w:rsidR="00DD5A28" w:rsidRDefault="00DD5A28" w:rsidP="00DD5A28">
      <w:pPr>
        <w:pStyle w:val="berschrift4"/>
      </w:pPr>
      <w:r>
        <w:rPr>
          <w:rStyle w:val="Fett"/>
          <w:b w:val="0"/>
          <w:bCs w:val="0"/>
        </w:rPr>
        <w:t>4.5.3 Modifizierbarkeit durch Operatorwirkung</w:t>
      </w:r>
    </w:p>
    <w:p w14:paraId="6C7CAFA0" w14:textId="77777777" w:rsidR="00DD5A28" w:rsidRDefault="00DD5A28" w:rsidP="00DD5A28">
      <w:pPr>
        <w:pStyle w:val="StandardWeb"/>
      </w:pPr>
      <w:r>
        <w:t>Im funktionalen Rahmen sind Bedeutungsfelder nicht starr, sondern durch gezielte Operatorwirkung modifizierbar. Diskursive Prozesse (z. B. Umdeutungen, Neubesetzungen, Metaphern) wirken wie semantische Transformationen, die bestehende Felder verschieben, dezentrieren oder umstrukturieren können. Diese Prozesse lassen sich als Anwendung höherstufiger Operatoren auf bestehende semantische Relationen beschreiben – eine Art semantischer Morphogenese [37].</w:t>
      </w:r>
    </w:p>
    <w:p w14:paraId="066A7534" w14:textId="77777777" w:rsidR="00DD5A28" w:rsidRDefault="00DD5A28" w:rsidP="00DD5A28">
      <w:pPr>
        <w:pStyle w:val="berschrift4"/>
      </w:pPr>
      <w:r>
        <w:rPr>
          <w:rStyle w:val="Fett"/>
          <w:b w:val="0"/>
          <w:bCs w:val="0"/>
        </w:rPr>
        <w:t>4.5.4 Interdisziplinäre Anschlussfähigkeit</w:t>
      </w:r>
    </w:p>
    <w:p w14:paraId="3D1F0AE8" w14:textId="77777777" w:rsidR="00DD5A28" w:rsidRDefault="00DD5A28" w:rsidP="00DD5A28">
      <w:pPr>
        <w:pStyle w:val="StandardWeb"/>
      </w:pPr>
      <w:r>
        <w:t>Das Modell ist anschlussfähig an mehrere disziplinäre Diskurse: In der Kognitionswissenschaft werden Bedeutungskonstruktionen zunehmend als dynamische Netzwerke verstanden, in der Linguistik existieren Konzepte wie Frame-Semantik oder semantische Prototypenmodelle, und in der Diskurs- und Kulturtheorie werden Bedeutung als Ergebnis performativer und medialer Praktiken begriffen. Das FRZK integriert diese Perspektiven zu einem funktional generativen Modell: Bedeutung ist hier ein offenes, rekonfigurierbares Feld, dessen Struktur als Funktion seiner operativen Erzeugung verstanden wird [38][39].</w:t>
      </w:r>
    </w:p>
    <w:p w14:paraId="6AF236E7" w14:textId="77777777" w:rsidR="00DD5A28" w:rsidRDefault="00DD5A28" w:rsidP="00DD5A28">
      <w:pPr>
        <w:pStyle w:val="berschrift4"/>
      </w:pPr>
      <w:r>
        <w:rPr>
          <w:rStyle w:val="Fett"/>
          <w:b w:val="0"/>
          <w:bCs w:val="0"/>
        </w:rPr>
        <w:t>4.5.5 Beweisbarkeit im funktionalen Rahmen</w:t>
      </w:r>
    </w:p>
    <w:p w14:paraId="693126D7" w14:textId="77777777" w:rsidR="00DD5A28" w:rsidRDefault="00DD5A28" w:rsidP="00DD5A28">
      <w:pPr>
        <w:pStyle w:val="StandardWeb"/>
      </w:pPr>
      <w:r>
        <w:t>Die „Beweisbarkeit“ der dynamischen Struktur von Bedeutungsfeldern liegt im FRZK nicht in empirischer Messbarkeit, sondern in der modellinternen Kohärenz: Wenn Bedeutung aus funktionaler Zuweisung hervorgeht, muss ein Modell, das diese Zuweisung vollständig beschreibt, auch die Möglichkeit zur Bedeutungsdynamik enthalten. Die Funktionalisierung von Bedeutung im Modell ist also zugleich eine Strukturvorhersage: Bedeutungen sind nur dann stabil, wenn sie im Feldsystem durch Attraktoren fixiert und durch Systemprozesse aufrechterhalten werden – andernfalls sind sie prinzipiell veränderlich [40].</w:t>
      </w:r>
    </w:p>
    <w:p w14:paraId="423EB278" w14:textId="77777777" w:rsidR="0050473A" w:rsidRDefault="0050473A" w:rsidP="0050473A">
      <w:r>
        <w:sym w:font="Wingdings" w:char="F0DF"/>
      </w:r>
    </w:p>
    <w:p w14:paraId="02868BD7" w14:textId="77777777" w:rsidR="00DD5A28" w:rsidRPr="00CC0275" w:rsidRDefault="00DD5A28" w:rsidP="00121132">
      <w:pPr>
        <w:rPr>
          <w:lang w:eastAsia="de-DE"/>
        </w:rPr>
      </w:pPr>
    </w:p>
    <w:p w14:paraId="040159E6" w14:textId="77777777" w:rsidR="00121132" w:rsidRDefault="00CE2E9F" w:rsidP="00121132">
      <w:r>
        <w:pict w14:anchorId="0B437D6B">
          <v:rect id="_x0000_i1034" style="width:0;height:1.5pt" o:hralign="center" o:hrstd="t" o:hr="t" fillcolor="#a0a0a0" stroked="f"/>
        </w:pict>
      </w:r>
    </w:p>
    <w:p w14:paraId="42E2770A" w14:textId="77777777" w:rsidR="00121132" w:rsidRDefault="00121132" w:rsidP="00121132">
      <w:pPr>
        <w:pStyle w:val="berschrift1"/>
      </w:pPr>
      <w:r>
        <w:t>4.6 Transformierbarkeit symbolischer Ordnungen durch Reflexion</w:t>
      </w:r>
    </w:p>
    <w:p w14:paraId="51BDEC9C" w14:textId="77777777" w:rsidR="00121132" w:rsidRPr="00121132" w:rsidRDefault="00121132" w:rsidP="00121132">
      <w:pPr>
        <w:rPr>
          <w:lang w:eastAsia="de-DE"/>
        </w:rPr>
      </w:pPr>
      <w:r>
        <w:t>Das FRZK prognostiziert, dass symbolische Ordnungen – also kulturell stabilisierte Systeme von Bedeutungen, Regeln und Kategorien – nicht unveränderlich sind, sondern durch reflexive Operationen transformiert werden können. Diese Transformation erfolgt durch spezifische kognitive und soziale Prozesse wie Reflexion, Diskurs und Metakognition, die innerhalb des funktionalen Raums als Operatoren modelliert sind [75][76][77].</w:t>
      </w:r>
    </w:p>
    <w:p w14:paraId="7E2AEEDD" w14:textId="77777777" w:rsidR="00121132" w:rsidRPr="00121132" w:rsidRDefault="00121132" w:rsidP="00121132">
      <w:pPr>
        <w:rPr>
          <w:lang w:eastAsia="de-DE"/>
        </w:rPr>
      </w:pPr>
      <w:r w:rsidRPr="00121132">
        <w:rPr>
          <w:lang w:eastAsia="de-DE"/>
        </w:rPr>
        <w:t xml:space="preserve">Symbolische Ordnung meint hier die strukturierte Verknüpfung von Zeichen, Bedeutungen und normativen Geltungsansprüchen innerhalb eines Systems – etwa in Sprache, Wissenschaft, Recht oder Technik. Das FRZK macht deutlich, dass diese Ordnungen weder naturgegeben noch statisch sind, sondern durch </w:t>
      </w:r>
      <w:proofErr w:type="spellStart"/>
      <w:r w:rsidRPr="00121132">
        <w:rPr>
          <w:b/>
          <w:bCs/>
          <w:lang w:eastAsia="de-DE"/>
        </w:rPr>
        <w:t>rekonfigurierbare</w:t>
      </w:r>
      <w:proofErr w:type="spellEnd"/>
      <w:r w:rsidRPr="00121132">
        <w:rPr>
          <w:b/>
          <w:bCs/>
          <w:lang w:eastAsia="de-DE"/>
        </w:rPr>
        <w:t xml:space="preserve"> semantische Felder</w:t>
      </w:r>
      <w:r w:rsidRPr="00121132">
        <w:rPr>
          <w:lang w:eastAsia="de-DE"/>
        </w:rPr>
        <w:t xml:space="preserve"> gebildet und verändert werden können. Die Fähigkeit eines Systems, über seine eigene Struktur nachzudenken, ist dabei nicht </w:t>
      </w:r>
      <w:proofErr w:type="spellStart"/>
      <w:r w:rsidRPr="00121132">
        <w:rPr>
          <w:lang w:eastAsia="de-DE"/>
        </w:rPr>
        <w:t>epiphänomenal</w:t>
      </w:r>
      <w:proofErr w:type="spellEnd"/>
      <w:r w:rsidRPr="00121132">
        <w:rPr>
          <w:lang w:eastAsia="de-DE"/>
        </w:rPr>
        <w:t>, sondern modelltheoretisch explizit fassbar: Reflexion und Diskurs erscheinen als Operatoren höherer Ordnung, die bestehende Zuweisungen modifizieren, invertieren oder neu konfigurieren.</w:t>
      </w:r>
    </w:p>
    <w:p w14:paraId="501A9E74" w14:textId="77777777" w:rsidR="00121132" w:rsidRPr="00121132" w:rsidRDefault="00121132" w:rsidP="00121132">
      <w:pPr>
        <w:rPr>
          <w:lang w:eastAsia="de-DE"/>
        </w:rPr>
      </w:pPr>
      <w:r w:rsidRPr="00121132">
        <w:rPr>
          <w:lang w:eastAsia="de-DE"/>
        </w:rPr>
        <w:t xml:space="preserve">In Kapitel 3.15 wurde gezeigt, dass diese Prozesse als </w:t>
      </w:r>
      <w:r w:rsidRPr="00121132">
        <w:rPr>
          <w:b/>
          <w:bCs/>
          <w:lang w:eastAsia="de-DE"/>
        </w:rPr>
        <w:t>funktionale Meta-Operatoren</w:t>
      </w:r>
      <w:r w:rsidRPr="00121132">
        <w:rPr>
          <w:lang w:eastAsia="de-DE"/>
        </w:rPr>
        <w:t xml:space="preserve"> darstellbar sind, die sich auf andere Funktionen im System beziehen können – etwa durch Wiederholungs-, Bewertungs- oder </w:t>
      </w:r>
      <w:proofErr w:type="spellStart"/>
      <w:r w:rsidRPr="00121132">
        <w:rPr>
          <w:lang w:eastAsia="de-DE"/>
        </w:rPr>
        <w:t>Reinterpretationsmechanismen</w:t>
      </w:r>
      <w:proofErr w:type="spellEnd"/>
      <w:r w:rsidRPr="00121132">
        <w:rPr>
          <w:lang w:eastAsia="de-DE"/>
        </w:rPr>
        <w:t xml:space="preserve">. Reflexion ist damit nicht nur ein psychologischer oder philosophischer Begriff, sondern ein </w:t>
      </w:r>
      <w:r w:rsidRPr="00121132">
        <w:rPr>
          <w:b/>
          <w:bCs/>
          <w:lang w:eastAsia="de-DE"/>
        </w:rPr>
        <w:t>systemischer Operator</w:t>
      </w:r>
      <w:r w:rsidRPr="00121132">
        <w:rPr>
          <w:lang w:eastAsia="de-DE"/>
        </w:rPr>
        <w:t>, der semantische Stabilität unterbrechen und Neuzuweisungen initiieren kann.</w:t>
      </w:r>
    </w:p>
    <w:p w14:paraId="283D9FE2" w14:textId="77777777" w:rsidR="00121132" w:rsidRPr="00121132" w:rsidRDefault="00121132" w:rsidP="00121132">
      <w:pPr>
        <w:rPr>
          <w:lang w:eastAsia="de-DE"/>
        </w:rPr>
      </w:pPr>
      <w:r w:rsidRPr="00121132">
        <w:rPr>
          <w:lang w:eastAsia="de-DE"/>
        </w:rPr>
        <w:t>Die „Beweisbarkeit“ dieser Vorhersage liegt in der internen Konsistenz des Modells: Sobald eine funktionale Meta-Struktur gegeben ist, wird die Möglichkeit rekursiver Selbstanwendung logisch notwendig. Zudem lassen sich zahlreiche Phänomene empirisch als Resultate reflexiver Umstrukturierung beschreiben – etwa Paradigmenwechsel in der Wissenschaft, semantische Verschiebungen in politischen Diskursen oder mentale Reframing-Prozesse in der Kognitionspsychologie. Diese Prozesse sind nicht zufällig, sondern folgen der Logik reflexiver Operatorwirkung auf symbolische Ordnungen.</w:t>
      </w:r>
    </w:p>
    <w:p w14:paraId="5F2B6F7A" w14:textId="6173DCFC" w:rsidR="00121132" w:rsidRDefault="00121132" w:rsidP="00121132">
      <w:pPr>
        <w:rPr>
          <w:lang w:eastAsia="de-DE"/>
        </w:rPr>
      </w:pPr>
      <w:r w:rsidRPr="00121132">
        <w:rPr>
          <w:lang w:eastAsia="de-DE"/>
        </w:rPr>
        <w:t xml:space="preserve">Durch die Integration dieser Prozesse in das FRZK wird deutlich, dass Bedeutung kein abgeschlossenes System bildet, sondern durch reflexive Rekonfiguration strukturell </w:t>
      </w:r>
      <w:proofErr w:type="gramStart"/>
      <w:r w:rsidRPr="00121132">
        <w:rPr>
          <w:lang w:eastAsia="de-DE"/>
        </w:rPr>
        <w:t>offen bleibt</w:t>
      </w:r>
      <w:proofErr w:type="gramEnd"/>
      <w:r w:rsidRPr="00121132">
        <w:rPr>
          <w:lang w:eastAsia="de-DE"/>
        </w:rPr>
        <w:t xml:space="preserve">. Die symbolische Ordnung eines Systems ist damit nicht nur funktional erzeugt, sondern auch </w:t>
      </w:r>
      <w:r w:rsidRPr="00121132">
        <w:rPr>
          <w:b/>
          <w:bCs/>
          <w:lang w:eastAsia="de-DE"/>
        </w:rPr>
        <w:t>transformativ zugänglich</w:t>
      </w:r>
      <w:r w:rsidRPr="00121132">
        <w:rPr>
          <w:lang w:eastAsia="de-DE"/>
        </w:rPr>
        <w:t xml:space="preserve"> – ein zentrales Merkmal dynamischer, lernfähiger und adaptiver Systeme.</w:t>
      </w:r>
    </w:p>
    <w:p w14:paraId="34F18B09" w14:textId="78CD7C48" w:rsidR="00D30F48" w:rsidRDefault="00D30F48" w:rsidP="00121132">
      <w:pPr>
        <w:rPr>
          <w:lang w:eastAsia="de-DE"/>
        </w:rPr>
      </w:pPr>
      <w:r>
        <w:rPr>
          <w:lang w:eastAsia="de-DE"/>
        </w:rPr>
        <w:sym w:font="Wingdings" w:char="F0E0"/>
      </w:r>
    </w:p>
    <w:p w14:paraId="79C3DA76" w14:textId="77777777" w:rsidR="00D30F48" w:rsidRDefault="00D30F48" w:rsidP="00D30F48">
      <w:pPr>
        <w:pStyle w:val="berschrift3"/>
        <w:rPr>
          <w:sz w:val="27"/>
          <w:szCs w:val="27"/>
          <w:lang w:eastAsia="de-DE"/>
        </w:rPr>
      </w:pPr>
      <w:r>
        <w:rPr>
          <w:rStyle w:val="Fett"/>
          <w:b/>
          <w:bCs w:val="0"/>
        </w:rPr>
        <w:t>4.6 Transformierbarkeit symbolischer Ordnungen durch Reflexion</w:t>
      </w:r>
    </w:p>
    <w:p w14:paraId="69A0E03E" w14:textId="77777777" w:rsidR="00D30F48" w:rsidRDefault="00D30F48" w:rsidP="00D30F48">
      <w:pPr>
        <w:pStyle w:val="berschrift4"/>
      </w:pPr>
      <w:r>
        <w:rPr>
          <w:rStyle w:val="Fett"/>
          <w:b w:val="0"/>
          <w:bCs w:val="0"/>
        </w:rPr>
        <w:t>4.6.1 Symbolische Ordnung als strukturierende Semantik</w:t>
      </w:r>
    </w:p>
    <w:p w14:paraId="5BC7A2A2" w14:textId="77777777" w:rsidR="00D30F48" w:rsidRDefault="00D30F48" w:rsidP="00D30F48">
      <w:pPr>
        <w:pStyle w:val="StandardWeb"/>
      </w:pPr>
      <w:r>
        <w:t>Symbolische Ordnungen bezeichnen im Kontext des FRZK regulierte, kollektiv stabilisierte Bedeutungsräume. Sie umfassen Kategorien, Konzepte, Diskurse und semantische Differenzsysteme, die durch gesellschaftliche, kognitive oder technologische Praktiken institutionalisiert sind. Solche Ordnungen wirken als strukturierende Semantik, die Wahrnehmung, Handlung und Interpretation prägt – von Sprache bis Wissenschaft, von Normen bis Identitäten [41].</w:t>
      </w:r>
    </w:p>
    <w:p w14:paraId="14B70136" w14:textId="77777777" w:rsidR="00D30F48" w:rsidRDefault="00D30F48" w:rsidP="00D30F48">
      <w:pPr>
        <w:pStyle w:val="berschrift4"/>
      </w:pPr>
      <w:r>
        <w:rPr>
          <w:rStyle w:val="Fett"/>
          <w:b w:val="0"/>
          <w:bCs w:val="0"/>
        </w:rPr>
        <w:t>4.6.2 Reflexion als systemische Meta-Operation</w:t>
      </w:r>
    </w:p>
    <w:p w14:paraId="4BB63EB9" w14:textId="77777777" w:rsidR="00D30F48" w:rsidRDefault="00D30F48" w:rsidP="00D30F48">
      <w:pPr>
        <w:pStyle w:val="StandardWeb"/>
      </w:pPr>
      <w:r>
        <w:t>Das FRZK modelliert Reflexion nicht als kontemplativen Akt eines Subjekts, sondern als funktionale Meta-Operation innerhalb des Systems selbst. Reflexion ist die Fähigkeit eines Systems, auf eigene Operationen Bezug zu nehmen, sie zu beobachten, zu variieren und zu rekonfigurieren. Formal betrachtet wirkt Reflexion als Operator zweiter oder höherer Ordnung, der auf semantische Felder, Differenzen oder Geltungsstrukturen angewendet werden kann [3]. Dadurch wird nicht nur bestehende Bedeutung analysiert, sondern potenziell transformiert.</w:t>
      </w:r>
    </w:p>
    <w:p w14:paraId="29910B56" w14:textId="77777777" w:rsidR="00D30F48" w:rsidRDefault="00D30F48" w:rsidP="00D30F48">
      <w:pPr>
        <w:pStyle w:val="berschrift4"/>
      </w:pPr>
      <w:r>
        <w:rPr>
          <w:rStyle w:val="Fett"/>
          <w:b w:val="0"/>
          <w:bCs w:val="0"/>
        </w:rPr>
        <w:t>4.6.3 Diskurs und Metakognition als Transformationsmechanismen</w:t>
      </w:r>
    </w:p>
    <w:p w14:paraId="3C6CAAB3" w14:textId="77777777" w:rsidR="00D30F48" w:rsidRDefault="00D30F48" w:rsidP="00D30F48">
      <w:pPr>
        <w:pStyle w:val="StandardWeb"/>
      </w:pPr>
      <w:r>
        <w:t>Diskurs und Metakognition erscheinen im FRZK als spezialisierte Operatoren, durch die symbolische Ordnungen verändert werden. Diskurse strukturieren kollektive Bedeutungsproduktion, indem sie Anschlussmöglichkeiten eröffnen oder ausschließen. Metakognitive Prozesse bewerten, überwachen oder modifizieren kognitive Operationen innerhalb eines Systems. Beide Mechanismen agieren als Regelsysteme zweiter Ordnung, die die Geltung bestehender symbolischer Konfigurationen infrage stellen oder neu rahmen [43].</w:t>
      </w:r>
    </w:p>
    <w:p w14:paraId="2FDD614E" w14:textId="77777777" w:rsidR="00D30F48" w:rsidRDefault="00D30F48" w:rsidP="00D30F48">
      <w:pPr>
        <w:pStyle w:val="berschrift4"/>
      </w:pPr>
      <w:r>
        <w:rPr>
          <w:rStyle w:val="Fett"/>
          <w:b w:val="0"/>
          <w:bCs w:val="0"/>
        </w:rPr>
        <w:t>4.6.4 Transformationslogik im funktionalen Modell</w:t>
      </w:r>
    </w:p>
    <w:p w14:paraId="5AEAC3BA" w14:textId="77777777" w:rsidR="00D30F48" w:rsidRDefault="00D30F48" w:rsidP="00D30F48">
      <w:pPr>
        <w:pStyle w:val="StandardWeb"/>
      </w:pPr>
      <w:r>
        <w:t>Die Transformierbarkeit symbolischer Ordnungen ergibt sich im FRZK aus ihrer Modellierung als offene, dynamische Felder, die durch operatorische Zuweisung erzeugt und reguliert werden. Reflexive Operatoren wirken auf die Parameter dieser Felder ein und ermöglichen strukturelle Umkodierungen – z. B. die Reinterpretation eines Begriffs, die Verschiebung normativer Geltung oder die Inversion von Diskurspolaritäten. Diese Prozesse sind nicht beliebig, sondern folgen einer logischen Struktur von Differenz, Bewertung und Rekontextualisierung, die im Modell nachvollziehbar formalisiert ist [44].</w:t>
      </w:r>
    </w:p>
    <w:p w14:paraId="7B63A0F7" w14:textId="77777777" w:rsidR="00D30F48" w:rsidRDefault="00D30F48" w:rsidP="00D30F48">
      <w:pPr>
        <w:pStyle w:val="berschrift4"/>
      </w:pPr>
      <w:r>
        <w:rPr>
          <w:rStyle w:val="Fett"/>
          <w:b w:val="0"/>
          <w:bCs w:val="0"/>
        </w:rPr>
        <w:t>4.6.5 Beispielhafte Anwendungsbereiche</w:t>
      </w:r>
    </w:p>
    <w:p w14:paraId="3823213C" w14:textId="77777777" w:rsidR="00D30F48" w:rsidRDefault="00D30F48" w:rsidP="00D30F48">
      <w:pPr>
        <w:pStyle w:val="StandardWeb"/>
      </w:pPr>
      <w:r>
        <w:t>Diese Modellstruktur erlaubt es, reale Prozesse symbolischer Transformation systematisch zu rekonstruieren: etwa den Paradigmenwechsel in der Wissenschaft (Kuhn), die semantische Rekodierung politischer Begriffe (z. B. Freiheit, Sicherheit, Verantwortung), oder den Reframing-Prozess in individueller Kognition (z. B. in Therapie oder Bildung). Das FRZK liefert damit ein formales Rahmenwerk zur Analyse und Prognose symbolischer Re-Konfiguration – nicht normativ, sondern strukturell begründet [45].</w:t>
      </w:r>
    </w:p>
    <w:p w14:paraId="7A518E6A" w14:textId="77777777" w:rsidR="0050473A" w:rsidRDefault="0050473A" w:rsidP="0050473A">
      <w:r>
        <w:sym w:font="Wingdings" w:char="F0DF"/>
      </w:r>
    </w:p>
    <w:p w14:paraId="0F275847" w14:textId="77777777" w:rsidR="00121132" w:rsidRDefault="00CE2E9F" w:rsidP="00121132">
      <w:r>
        <w:pict w14:anchorId="372F2B58">
          <v:rect id="_x0000_i1035" style="width:0;height:1.5pt" o:hralign="center" o:hrstd="t" o:hr="t" fillcolor="#a0a0a0" stroked="f"/>
        </w:pict>
      </w:r>
    </w:p>
    <w:p w14:paraId="7372636C" w14:textId="77777777" w:rsidR="00121132" w:rsidRDefault="00121132" w:rsidP="00121132">
      <w:pPr>
        <w:pStyle w:val="berschrift1"/>
      </w:pPr>
      <w:r>
        <w:t>4.7 Ko-evolutionäre Natur von semantischer und kultureller Entwicklung</w:t>
      </w:r>
    </w:p>
    <w:p w14:paraId="065D18F4" w14:textId="77777777" w:rsidR="00121132" w:rsidRDefault="00121132" w:rsidP="00121132">
      <w:pPr>
        <w:pStyle w:val="StandardWeb"/>
      </w:pPr>
      <w:r>
        <w:t>Das FRZK prognostiziert, dass semantische und kulturelle Evolution nicht linear-kausal, sondern als emergenter, ko-evolutionärer Prozess verläuft, der durch systemische Rückkopplung, Pfadabhängigkeit und strukturelle Kopplung charakterisiert ist [80][81]. Bedeutungskonstruktion und kulturelle Muster entstehen dabei nicht isoliert, sondern in dynamischer Wechselwirkung – sowohl zwischen Akteuren und Kontexten als auch zwischen Bedeutungsräumen und Systemzuständen.</w:t>
      </w:r>
    </w:p>
    <w:p w14:paraId="3C92FFB7" w14:textId="77777777" w:rsidR="00121132" w:rsidRDefault="00121132" w:rsidP="00121132">
      <w:pPr>
        <w:pStyle w:val="StandardWeb"/>
      </w:pPr>
      <w:r>
        <w:t>Diese Einsicht stützt sich auf die formale Modellierung in Kapitel 3.16, wo semantische Entwicklung als Resultat rekursiver Bedeutungszuweisungen und strukturabhängiger Diskursverläufe dargestellt wird. In dieser Perspektive sind semantische Felder keine stabilen Bedeutungsträger, sondern metastabile Konfigurationen, die durch Interaktion, Interpretation und Kontextualisierung ständig reorganisiert werden. Kultur wird nicht als stabiler Kanon verstanden, sondern als emergentes Feld kollektiver Bedeutungspraktiken, das auf struktureller Ebene durch funktionale Operatoren beschrieben werden kann.</w:t>
      </w:r>
    </w:p>
    <w:p w14:paraId="6E68D65C" w14:textId="77777777" w:rsidR="00121132" w:rsidRDefault="00121132" w:rsidP="00121132">
      <w:pPr>
        <w:pStyle w:val="StandardWeb"/>
      </w:pPr>
      <w:r>
        <w:t>Die „Beweisbarkeit“ dieser Vorhersage liegt in der Anwendbarkeit komplexer Simulationsansätze, die das Zusammenspiel zwischen semantischer und kultureller Dynamik abbilden können. Dazu zählen insbesondere:</w:t>
      </w:r>
    </w:p>
    <w:p w14:paraId="46F4812E" w14:textId="77777777" w:rsidR="00121132" w:rsidRDefault="00121132" w:rsidP="00121132">
      <w:pPr>
        <w:pStyle w:val="StandardWeb"/>
        <w:numPr>
          <w:ilvl w:val="0"/>
          <w:numId w:val="2"/>
        </w:numPr>
      </w:pPr>
      <w:r>
        <w:rPr>
          <w:rStyle w:val="Fett"/>
          <w:rFonts w:eastAsia="Calibri"/>
        </w:rPr>
        <w:t>agentenbasierte Modelle</w:t>
      </w:r>
      <w:r>
        <w:t>, die zeigen, wie Mikroentscheidungen zu Makrophänomenen führen;</w:t>
      </w:r>
    </w:p>
    <w:p w14:paraId="2D0CA1FF" w14:textId="77777777" w:rsidR="00121132" w:rsidRDefault="00121132" w:rsidP="00121132">
      <w:pPr>
        <w:pStyle w:val="StandardWeb"/>
        <w:numPr>
          <w:ilvl w:val="0"/>
          <w:numId w:val="2"/>
        </w:numPr>
      </w:pPr>
      <w:r>
        <w:rPr>
          <w:rStyle w:val="Fett"/>
          <w:rFonts w:eastAsia="Calibri"/>
        </w:rPr>
        <w:t>netzwerktheoretische Ansätze</w:t>
      </w:r>
      <w:r>
        <w:t>, in denen Bedeutungscluster, Diskursräume oder narrative Strukturen emergieren;</w:t>
      </w:r>
    </w:p>
    <w:p w14:paraId="58AF76C5" w14:textId="77777777" w:rsidR="00121132" w:rsidRDefault="00121132" w:rsidP="00121132">
      <w:pPr>
        <w:pStyle w:val="StandardWeb"/>
        <w:numPr>
          <w:ilvl w:val="0"/>
          <w:numId w:val="2"/>
        </w:numPr>
      </w:pPr>
      <w:r>
        <w:rPr>
          <w:rStyle w:val="Fett"/>
          <w:rFonts w:eastAsia="Calibri"/>
        </w:rPr>
        <w:t>dynamische Systemmodelle</w:t>
      </w:r>
      <w:r>
        <w:t xml:space="preserve">, die Selbstorganisation, </w:t>
      </w:r>
      <w:proofErr w:type="spellStart"/>
      <w:r>
        <w:t>Attraktorbildung</w:t>
      </w:r>
      <w:proofErr w:type="spellEnd"/>
      <w:r>
        <w:t xml:space="preserve"> und metastabile Phasen kultureller Entwicklung simulieren.</w:t>
      </w:r>
    </w:p>
    <w:p w14:paraId="5E6C5A2D" w14:textId="77777777" w:rsidR="00121132" w:rsidRDefault="00121132" w:rsidP="00121132">
      <w:pPr>
        <w:pStyle w:val="StandardWeb"/>
      </w:pPr>
      <w:r>
        <w:t xml:space="preserve">Diese Modelle belegen, dass Ordnung nicht durch zentrale Planung, sondern durch lokale Interaktion und globale Rückkopplung entsteht – ein zentrales Prinzip </w:t>
      </w:r>
      <w:proofErr w:type="spellStart"/>
      <w:r>
        <w:t>ko</w:t>
      </w:r>
      <w:proofErr w:type="spellEnd"/>
      <w:r>
        <w:t>-evolutionärer Prozesse. Das FRZK integriert diese Dynamiken in seine Architektur, indem es semantische und kulturelle Entwicklung als funktional gekoppelte Prozesse auffasst: Während Bedeutungsfelder durch Operatoren erzeugt und verändert werden, wirken kulturelle Praktiken zurück auf diese semantischen Strukturen – etwa durch Selektion, Reproduktion oder narrative Transformation.</w:t>
      </w:r>
    </w:p>
    <w:p w14:paraId="7DCC5ECA" w14:textId="31E2D1ED" w:rsidR="00121132" w:rsidRDefault="00121132" w:rsidP="00121132">
      <w:pPr>
        <w:pStyle w:val="StandardWeb"/>
      </w:pPr>
      <w:r>
        <w:t xml:space="preserve">Diese Vorhersage erlaubt es, Phänomene wie Moden, Diskurse, ideologische Umbrüche oder kollektive Lernprozesse systematisch zu modellieren – nicht als zufällige Trends, sondern als </w:t>
      </w:r>
      <w:r>
        <w:rPr>
          <w:rStyle w:val="Fett"/>
          <w:rFonts w:eastAsia="Calibri"/>
        </w:rPr>
        <w:t>emergente Folge interaktiver Zuweisungssysteme</w:t>
      </w:r>
      <w:r>
        <w:t>. Damit stellt das FRZK ein theoretisches Instrument bereit, um die Dynamik kultureller Systeme nicht nur beschreibend, sondern generativ zu fassen: als funktionale Evolution, die Bedeutung und Struktur zugleich betrifft.</w:t>
      </w:r>
    </w:p>
    <w:p w14:paraId="659C48B0" w14:textId="5CDB7085" w:rsidR="00D30F48" w:rsidRDefault="00D30F48" w:rsidP="00121132">
      <w:pPr>
        <w:pStyle w:val="StandardWeb"/>
      </w:pPr>
      <w:r>
        <w:sym w:font="Wingdings" w:char="F0E0"/>
      </w:r>
    </w:p>
    <w:p w14:paraId="5EBD8064" w14:textId="77777777" w:rsidR="00D30F48" w:rsidRDefault="00D30F48" w:rsidP="00D30F48">
      <w:pPr>
        <w:pStyle w:val="berschrift3"/>
        <w:rPr>
          <w:sz w:val="27"/>
          <w:szCs w:val="27"/>
          <w:lang w:eastAsia="de-DE"/>
        </w:rPr>
      </w:pPr>
      <w:r>
        <w:rPr>
          <w:rStyle w:val="Fett"/>
          <w:b/>
          <w:bCs w:val="0"/>
        </w:rPr>
        <w:t>4.7 Ko-evolutionäre Natur von semantischer und kultureller Entwicklung</w:t>
      </w:r>
    </w:p>
    <w:p w14:paraId="26F35B57" w14:textId="77777777" w:rsidR="00D30F48" w:rsidRDefault="00D30F48" w:rsidP="00D30F48">
      <w:pPr>
        <w:pStyle w:val="berschrift4"/>
      </w:pPr>
      <w:r>
        <w:rPr>
          <w:rStyle w:val="Fett"/>
          <w:b w:val="0"/>
          <w:bCs w:val="0"/>
        </w:rPr>
        <w:t>4.7.1 Kulturelle Systeme als semantische Felder</w:t>
      </w:r>
    </w:p>
    <w:p w14:paraId="6103D85E" w14:textId="77777777" w:rsidR="00D30F48" w:rsidRDefault="00D30F48" w:rsidP="00D30F48">
      <w:pPr>
        <w:pStyle w:val="StandardWeb"/>
      </w:pPr>
      <w:r>
        <w:t>Im Rahmen des FRZK werden kulturelle Systeme als dynamische semantische Felder verstanden, die durch wiederkehrende symbolische Zuweisungen, narrative Muster und performative Praktiken erzeugt und stabilisiert werden. Kultur ist dabei nicht eine äußere Kontextgröße, sondern ein im System selbst entstehender Bedeutungsraum, der durch Akteur-Funktionen, Diskurse und semantische Attraktoren geformt wird. Sie wird als strukturierte emergente Ordnung aufgefasst, die sich in permanentem Wandel befindet [46].</w:t>
      </w:r>
    </w:p>
    <w:p w14:paraId="6B907E17" w14:textId="77777777" w:rsidR="00D30F48" w:rsidRDefault="00D30F48" w:rsidP="00D30F48">
      <w:pPr>
        <w:pStyle w:val="berschrift4"/>
      </w:pPr>
      <w:r>
        <w:rPr>
          <w:rStyle w:val="Fett"/>
          <w:b w:val="0"/>
          <w:bCs w:val="0"/>
        </w:rPr>
        <w:t>4.7.2 Ko-Evolution als wechselseitige Strukturmodifikation</w:t>
      </w:r>
    </w:p>
    <w:p w14:paraId="2142206F" w14:textId="77777777" w:rsidR="00D30F48" w:rsidRDefault="00D30F48" w:rsidP="00D30F48">
      <w:pPr>
        <w:pStyle w:val="StandardWeb"/>
      </w:pPr>
      <w:r>
        <w:t>Das FRZK prognostiziert, dass semantische Felder und kulturelle Strukturen in einem ko-evolutionären Verhältnis zueinander stehen. Das bedeutet: Semantische Zuweisungen beeinflussen kulturelle Muster, und umgekehrt wirken kulturelle Dynamiken auf Bedeutungsfelder zurück. Diese Wechselwirkungen vollziehen sich durch rekursive Operatorstrukturen, etwa durch sprachlich vermittelte Praxis, symbolische Re-Kodierung, oder technologische Artefakte. Ko-Evolution meint dabei gegenseitige strukturelle Modifikation ohne zentrale Steuerinstanz [19].</w:t>
      </w:r>
    </w:p>
    <w:p w14:paraId="00E30158" w14:textId="77777777" w:rsidR="00D30F48" w:rsidRDefault="00D30F48" w:rsidP="00D30F48">
      <w:pPr>
        <w:pStyle w:val="berschrift4"/>
      </w:pPr>
      <w:r>
        <w:rPr>
          <w:rStyle w:val="Fett"/>
          <w:b w:val="0"/>
          <w:bCs w:val="0"/>
        </w:rPr>
        <w:t>4.7.3 Modellierung durch funktionale Kopplung</w:t>
      </w:r>
    </w:p>
    <w:p w14:paraId="1FB7373B" w14:textId="77777777" w:rsidR="00D30F48" w:rsidRDefault="00D30F48" w:rsidP="00D30F48">
      <w:pPr>
        <w:pStyle w:val="StandardWeb"/>
      </w:pPr>
      <w:r>
        <w:t>Im Modell werden diese Prozesse durch funktionale Kopplung zwischen semantischen und kulturellen Operatoren beschrieben. Zwei Operatorräume (z. B. semantische Feldlogik und kulturelle Repräsentationspraxis) sind gekoppelt, wenn Veränderungen im einen System systematisch zu Veränderungen im anderen führen – etwa wenn ein kultureller Umbruch neue semantische Kategorien erzeugt oder neue Begriffe soziale Praktiken transformieren. Diese Kopplung ist nicht linear, sondern nichttrivial, dynamisch und rückgekoppelt [48].</w:t>
      </w:r>
    </w:p>
    <w:p w14:paraId="52CE96FE" w14:textId="77777777" w:rsidR="00D30F48" w:rsidRDefault="00D30F48" w:rsidP="00D30F48">
      <w:pPr>
        <w:pStyle w:val="berschrift4"/>
      </w:pPr>
      <w:r>
        <w:rPr>
          <w:rStyle w:val="Fett"/>
          <w:b w:val="0"/>
          <w:bCs w:val="0"/>
        </w:rPr>
        <w:t>4.7.4 Anschluss an interdisziplinäre Ko-Evolutionsmodelle</w:t>
      </w:r>
    </w:p>
    <w:p w14:paraId="5A837B55" w14:textId="77777777" w:rsidR="00D30F48" w:rsidRDefault="00D30F48" w:rsidP="00D30F48">
      <w:pPr>
        <w:pStyle w:val="StandardWeb"/>
      </w:pPr>
      <w:r>
        <w:t>Die Modellstruktur des FRZK verbindet sich mit Konzepten aus der Evolutionsökonomik, der Kognitionswissenschaft, der Technikfolgenabschätzung und der Kulturanthropologie. Dort wird Ko-Evolution verwendet, um wechselseitige Entwicklungsprozesse zwischen Technik, Gesellschaft, Wissen und Bedeutung zu beschreiben. Das FRZK formalisiert diese Wechselbeziehungen, indem es die Operatoren benennt, aus denen diese Verflechtungen emergieren. Es bietet damit ein universelles Raster zur Analyse kultureller Wandlungsdynamiken [49][50].</w:t>
      </w:r>
    </w:p>
    <w:p w14:paraId="011F4100" w14:textId="77777777" w:rsidR="00D30F48" w:rsidRDefault="00D30F48" w:rsidP="00D30F48">
      <w:pPr>
        <w:pStyle w:val="berschrift4"/>
      </w:pPr>
      <w:r>
        <w:rPr>
          <w:rStyle w:val="Fett"/>
          <w:b w:val="0"/>
          <w:bCs w:val="0"/>
        </w:rPr>
        <w:t>4.7.5 Bedeutung für Prognostik und Handlungsplanung</w:t>
      </w:r>
    </w:p>
    <w:p w14:paraId="270D5DAA" w14:textId="77777777" w:rsidR="00D30F48" w:rsidRDefault="00D30F48" w:rsidP="00D30F48">
      <w:pPr>
        <w:pStyle w:val="StandardWeb"/>
      </w:pPr>
      <w:r>
        <w:t>Die Vorhersage besteht darin, dass sich kulturelle und semantische Entwicklungen nicht unabhängig voneinander planen oder prognostizieren lassen. Jede Veränderung in einem Bereich erzeugt Rückwirkungen auf das andere Feld – mit nichtlinearen, oft verzögerten oder qualitativ emergenten Effekten. Für jede Form reflexiver Handlungsplanung (etwa in Bildung, Medien, Politik oder Technikentwicklung) bedeutet dies: semantische Interventionen haben kulturelle Folgen – und umgekehrt. Das FRZK erlaubt, diese Interdependenz zu modellieren und strukturell in Prognosemodelle einzubinden [51].</w:t>
      </w:r>
    </w:p>
    <w:p w14:paraId="25D17D22" w14:textId="77777777" w:rsidR="0050473A" w:rsidRDefault="0050473A" w:rsidP="0050473A">
      <w:r>
        <w:sym w:font="Wingdings" w:char="F0DF"/>
      </w:r>
    </w:p>
    <w:p w14:paraId="245D618C" w14:textId="77777777" w:rsidR="00121132" w:rsidRDefault="00CE2E9F" w:rsidP="00121132">
      <w:r>
        <w:pict w14:anchorId="279E8EA9">
          <v:rect id="_x0000_i1036" style="width:0;height:1.5pt" o:hralign="center" o:hrstd="t" o:hr="t" fillcolor="#a0a0a0" stroked="f"/>
        </w:pict>
      </w:r>
    </w:p>
    <w:p w14:paraId="2D73FC92" w14:textId="77777777" w:rsidR="00121132" w:rsidRDefault="00121132" w:rsidP="00121132">
      <w:pPr>
        <w:pStyle w:val="berschrift2"/>
        <w:rPr>
          <w:rStyle w:val="Fett"/>
          <w:rFonts w:eastAsia="Calibri"/>
          <w:b/>
          <w:bCs w:val="0"/>
        </w:rPr>
      </w:pPr>
      <w:r>
        <w:rPr>
          <w:rStyle w:val="Fett"/>
          <w:rFonts w:eastAsia="Calibri"/>
          <w:b/>
        </w:rPr>
        <w:t>4.8</w:t>
      </w:r>
      <w:r w:rsidRPr="00B97E81">
        <w:rPr>
          <w:rStyle w:val="Fett"/>
          <w:rFonts w:eastAsia="Calibri"/>
          <w:b/>
        </w:rPr>
        <w:t xml:space="preserve"> Ethische Implikationen der Modellwahl</w:t>
      </w:r>
    </w:p>
    <w:p w14:paraId="55AD362B" w14:textId="77777777" w:rsidR="00121132" w:rsidRDefault="00121132" w:rsidP="00121132">
      <w:r>
        <w:t>Das FRZK betont, dass Modellwahl und funktionale Zuweisungen nicht wertneutral sind, sondern grundlegende ethische Konsequenzen implizieren. Die Art und Weise, wie Realität im Modell funktional erzeugt und strukturiert wird, beeinflusst nicht nur erkenntnistheoretische Perspektiven, sondern auch gesellschaftliche, normative und politische Prozesse. Daher ist die Reflexion über die ethische Dimension von Modellarchitekturen nicht nachgeordnet, sondern integraler Bestandteil des funktionalen Rahmens.</w:t>
      </w:r>
    </w:p>
    <w:p w14:paraId="7103F43F" w14:textId="77777777" w:rsidR="00121132" w:rsidRDefault="00121132" w:rsidP="00121132">
      <w:r>
        <w:t xml:space="preserve">Im Anschluss an das AI4People-Framework nach </w:t>
      </w:r>
      <w:proofErr w:type="spellStart"/>
      <w:r>
        <w:t>Floridi</w:t>
      </w:r>
      <w:proofErr w:type="spellEnd"/>
      <w:r>
        <w:t xml:space="preserve"> et al. lassen sich fünf ethische Leitprinzipien formulieren, die auch für das FRZK relevant sind: Wohltun (</w:t>
      </w:r>
      <w:proofErr w:type="spellStart"/>
      <w:r>
        <w:t>beneficence</w:t>
      </w:r>
      <w:proofErr w:type="spellEnd"/>
      <w:r>
        <w:t>), Nicht-Schaden (non-</w:t>
      </w:r>
      <w:proofErr w:type="spellStart"/>
      <w:r>
        <w:t>maleficence</w:t>
      </w:r>
      <w:proofErr w:type="spellEnd"/>
      <w:r>
        <w:t>), Autonomie, Gerechtigkeit und Erklärbarkeit (</w:t>
      </w:r>
      <w:proofErr w:type="spellStart"/>
      <w:r>
        <w:t>explicability</w:t>
      </w:r>
      <w:proofErr w:type="spellEnd"/>
      <w:r>
        <w:t xml:space="preserve">) [A]. Diese Prinzipien bieten </w:t>
      </w:r>
      <w:proofErr w:type="gramStart"/>
      <w:r>
        <w:t>einen normativen Raster</w:t>
      </w:r>
      <w:proofErr w:type="gramEnd"/>
      <w:r>
        <w:t xml:space="preserve"> für die verantwortungsvolle Gestaltung funktionaler Zuweisungen – insbesondere dann, wenn diese Modellarchitekturen in sozialen, technischen oder erkenntniserzeugenden Kontexten wirksam werden.</w:t>
      </w:r>
    </w:p>
    <w:p w14:paraId="3FBE12EB" w14:textId="77777777" w:rsidR="00121132" w:rsidRDefault="00121132" w:rsidP="00121132">
      <w:r>
        <w:t xml:space="preserve">Zugleich weist Mittelstadt darauf hin, dass ethische Prinzipien allein keine Garantie für moralisch akzeptables Verhalten bieten, solange keine institutionellen und operativen Umsetzungsmechanismen existieren [B]. Für das FRZK ergibt sich daraus die Notwendigkeit, Ethik nicht nur deklarativ, sondern strukturell zu integrieren – etwa durch </w:t>
      </w:r>
      <w:proofErr w:type="spellStart"/>
      <w:r>
        <w:t>auditierbare</w:t>
      </w:r>
      <w:proofErr w:type="spellEnd"/>
      <w:r>
        <w:t xml:space="preserve"> Mechanismen zur Überprüfung der Modellentscheidungen und deren Konsequenzen [C].</w:t>
      </w:r>
    </w:p>
    <w:p w14:paraId="79E888ED" w14:textId="77777777" w:rsidR="00121132" w:rsidRDefault="00121132" w:rsidP="00121132">
      <w:r>
        <w:t xml:space="preserve">Darüber hinaus unterstreicht </w:t>
      </w:r>
      <w:proofErr w:type="spellStart"/>
      <w:r>
        <w:t>Coeckelbergh</w:t>
      </w:r>
      <w:proofErr w:type="spellEnd"/>
      <w:r>
        <w:t>, dass Modellverantwortung nicht allein bei technischen Gestaltern liegt, sondern demokratisch legitimiert und narrativ transparent gemacht werden muss [D]. Die reflexive Struktur des FRZK ermöglicht es, solche narrativen Verantwortungszuschreibungen funktional abzubilden: Akteur-Funktionen können mit normativen Parametern ausgestattet und Meta-Funktionen zur Bewertung unterschiedlicher Handlungsperspektiven genutzt werden [E].</w:t>
      </w:r>
    </w:p>
    <w:p w14:paraId="68D9D7D8" w14:textId="3CA065ED" w:rsidR="00121132" w:rsidRDefault="00121132" w:rsidP="00121132">
      <w:r>
        <w:t xml:space="preserve">Insgesamt zeigt sich: Das FRZK ist nicht nur erkenntnistheoretisch, sondern auch ethisch reflexiv. Die Wahl und Strukturierung eines Modells </w:t>
      </w:r>
      <w:proofErr w:type="gramStart"/>
      <w:r>
        <w:t>hat</w:t>
      </w:r>
      <w:proofErr w:type="gramEnd"/>
      <w:r>
        <w:t xml:space="preserve"> Konsequenzen – für Erkenntnis, Handlung und Gesellschaft. Diese Einsicht macht ethische Modellreflexion zu einem unverzichtbaren Bestandteil der funktionalen Systemarchitektur.</w:t>
      </w:r>
    </w:p>
    <w:p w14:paraId="7072FB87" w14:textId="4BDA9357" w:rsidR="00D30F48" w:rsidRDefault="00D30F48" w:rsidP="00121132">
      <w:r>
        <w:sym w:font="Wingdings" w:char="F0E0"/>
      </w:r>
    </w:p>
    <w:p w14:paraId="4CB27195" w14:textId="77777777" w:rsidR="00D30F48" w:rsidRDefault="00D30F48" w:rsidP="00D30F48">
      <w:pPr>
        <w:pStyle w:val="berschrift3"/>
        <w:rPr>
          <w:sz w:val="27"/>
          <w:szCs w:val="27"/>
          <w:lang w:eastAsia="de-DE"/>
        </w:rPr>
      </w:pPr>
      <w:r>
        <w:rPr>
          <w:rStyle w:val="Fett"/>
          <w:b/>
          <w:bCs w:val="0"/>
        </w:rPr>
        <w:t>4.8 Ethische Implikationen der Modellwahl</w:t>
      </w:r>
    </w:p>
    <w:p w14:paraId="74BC3C3D" w14:textId="77777777" w:rsidR="00D30F48" w:rsidRDefault="00D30F48" w:rsidP="00D30F48">
      <w:pPr>
        <w:pStyle w:val="berschrift4"/>
      </w:pPr>
      <w:r>
        <w:rPr>
          <w:rStyle w:val="Fett"/>
          <w:b w:val="0"/>
          <w:bCs w:val="0"/>
        </w:rPr>
        <w:t>4.8.1 Modellwahl als normativer Akt</w:t>
      </w:r>
    </w:p>
    <w:p w14:paraId="745FEB90" w14:textId="77777777" w:rsidR="00D30F48" w:rsidRDefault="00D30F48" w:rsidP="00D30F48">
      <w:pPr>
        <w:pStyle w:val="StandardWeb"/>
      </w:pPr>
      <w:r>
        <w:t>Im Kontext des FRZK wird Modellwahl nicht als neutrale technische Entscheidung verstanden, sondern als normativ aufgeladener Akt, der bestimmte Perspektiven ermöglicht und andere ausschließt. Jedes funktionale Bezugssystem prägt, was als „real“, „wahr“ oder „relevant“ erscheint. Die Entscheidung für ein bestimmtes Modell ist somit auch eine Entscheidung über die epistemischen und sozialen Effekte seiner Funktionsweise [52]. Modelle konstruieren Wirklichkeit – und diese Konstruktion ist ethisch nicht belanglos.</w:t>
      </w:r>
    </w:p>
    <w:p w14:paraId="1EDCF9D0" w14:textId="77777777" w:rsidR="00D30F48" w:rsidRDefault="00D30F48" w:rsidP="00D30F48">
      <w:pPr>
        <w:pStyle w:val="berschrift4"/>
      </w:pPr>
      <w:r>
        <w:rPr>
          <w:rStyle w:val="Fett"/>
          <w:b w:val="0"/>
          <w:bCs w:val="0"/>
        </w:rPr>
        <w:t>4.8.2 Ethische Prinzipien im Modellkontext</w:t>
      </w:r>
    </w:p>
    <w:p w14:paraId="1E6855D7" w14:textId="77777777" w:rsidR="00D30F48" w:rsidRDefault="00D30F48" w:rsidP="00D30F48">
      <w:pPr>
        <w:pStyle w:val="StandardWeb"/>
      </w:pPr>
      <w:r>
        <w:t>Das FRZK integriert ethische Reflexion über Modellarchitekturen durch Bezug auf fünf zentrale Prinzipien, wie sie im AI4People-Framework formuliert wurden: Wohltun (beneficence), Nicht-Schaden (non-maleficence), Autonomie, Gerechtigkeit und Erklärbarkeit. Diese Prinzipien wirken im funktionalen Kontext als regulative Operatoren, die modellinterne Strukturentscheidungen bewertbar machen – z. B. in der Gewichtung von Transparenz vs. Komplexitätssteuerung [53].</w:t>
      </w:r>
    </w:p>
    <w:p w14:paraId="23B1D234" w14:textId="77777777" w:rsidR="00D30F48" w:rsidRDefault="00D30F48" w:rsidP="00D30F48">
      <w:pPr>
        <w:pStyle w:val="berschrift4"/>
      </w:pPr>
      <w:r>
        <w:rPr>
          <w:rStyle w:val="Fett"/>
          <w:b w:val="0"/>
          <w:bCs w:val="0"/>
        </w:rPr>
        <w:t>4.8.3 Kritik an Prinzipienorientierung: Implementierungsethik</w:t>
      </w:r>
    </w:p>
    <w:p w14:paraId="77D9D819" w14:textId="77777777" w:rsidR="00D30F48" w:rsidRDefault="00D30F48" w:rsidP="00D30F48">
      <w:pPr>
        <w:pStyle w:val="StandardWeb"/>
      </w:pPr>
      <w:r>
        <w:t>Zugleich wird anerkannt, dass Prinzipien allein keine Garantie für verantwortliches Modellverhalten bieten. Mittelstadt argumentiert, dass ohne institutionelle Verankerung und operationale Umsetzung ethische Prinzipien wirkungslos bleiben. Im FRZK wird dies berücksichtigt durch die Integration strukturierter Audit-Mechanismen, mit denen funktionale Systeme auf ethische Kohärenz hin überprüfbar werden – eine ethische Reflexion im und durch das System selbst [54].</w:t>
      </w:r>
    </w:p>
    <w:p w14:paraId="7B4434A9" w14:textId="77777777" w:rsidR="00D30F48" w:rsidRDefault="00D30F48" w:rsidP="00D30F48">
      <w:pPr>
        <w:pStyle w:val="berschrift4"/>
      </w:pPr>
      <w:r>
        <w:rPr>
          <w:rStyle w:val="Fett"/>
          <w:b w:val="0"/>
          <w:bCs w:val="0"/>
        </w:rPr>
        <w:t>4.8.4 Narrative Verantwortung und demokratische Legitimation</w:t>
      </w:r>
    </w:p>
    <w:p w14:paraId="02A521B9" w14:textId="77777777" w:rsidR="00D30F48" w:rsidRDefault="00D30F48" w:rsidP="00D30F48">
      <w:pPr>
        <w:pStyle w:val="StandardWeb"/>
      </w:pPr>
      <w:r>
        <w:t>Coeckelbergh ergänzt, dass technische Systeme nicht nur funktional korrekt, sondern auch narrativ legitimierbar sein müssen: Wer trägt Verantwortung für welche Folgen? Welche Geschichten machen ein System gesellschaftlich akzeptabel oder angreifbar? Das FRZK erlaubt, solche Fragen strukturell zu modellieren, indem es narrative Zuschreibungen und Verantwortungszuweisungen als Operatoren im Beobachtungssystem einbindet [55]. Daraus ergibt sich ein ethisch sensibler Raum für demokratische Technikgestaltung.</w:t>
      </w:r>
    </w:p>
    <w:p w14:paraId="140B6018" w14:textId="77777777" w:rsidR="00D30F48" w:rsidRDefault="00D30F48" w:rsidP="00D30F48">
      <w:pPr>
        <w:pStyle w:val="berschrift4"/>
      </w:pPr>
      <w:r>
        <w:rPr>
          <w:rStyle w:val="Fett"/>
          <w:b w:val="0"/>
          <w:bCs w:val="0"/>
        </w:rPr>
        <w:t>4.8.5 Ethische Vorhersagefähigkeit</w:t>
      </w:r>
    </w:p>
    <w:p w14:paraId="137240CE" w14:textId="77777777" w:rsidR="00D30F48" w:rsidRDefault="00D30F48" w:rsidP="00D30F48">
      <w:pPr>
        <w:pStyle w:val="StandardWeb"/>
      </w:pPr>
      <w:r>
        <w:t>Schließlich liefert das FRZK selbst eine ethische Prognose: Systeme, die ihre Modelllogik nicht reflektieren, erzeugen blinde Wirklichkeitsbereiche – mit potenziell destruktiven Folgen. Die Fähigkeit, mögliche Folgewirkungen funktionaler Architektur im Voraus strukturell zu simulieren und normativ zu bewerten, ist daher eine unverzichtbare Eigenschaft modellreflexiver Systeme. Das FRZK macht diese Fähigkeit formalisierbar – und schafft damit die Grundlage einer prognosefähigen Technikethik [56].</w:t>
      </w:r>
    </w:p>
    <w:p w14:paraId="70BA484E" w14:textId="77777777" w:rsidR="0050473A" w:rsidRDefault="0050473A" w:rsidP="0050473A">
      <w:r>
        <w:sym w:font="Wingdings" w:char="F0DF"/>
      </w:r>
    </w:p>
    <w:p w14:paraId="1B535696" w14:textId="77777777" w:rsidR="00D30F48" w:rsidRDefault="00D30F48" w:rsidP="00121132"/>
    <w:p w14:paraId="083A5B1B" w14:textId="77777777" w:rsidR="00121132" w:rsidRDefault="00CE2E9F" w:rsidP="00121132">
      <w:r>
        <w:pict w14:anchorId="08D3AC02">
          <v:rect id="_x0000_i1037" style="width:0;height:1.5pt" o:hralign="center" o:hrstd="t" o:hr="t" fillcolor="#a0a0a0" stroked="f"/>
        </w:pict>
      </w:r>
    </w:p>
    <w:p w14:paraId="41C5C1EC" w14:textId="77777777" w:rsidR="00121132" w:rsidRDefault="00121132" w:rsidP="00121132">
      <w:pPr>
        <w:pStyle w:val="berschrift2"/>
      </w:pPr>
      <w:r>
        <w:t>4.9 Zusammenfassung</w:t>
      </w:r>
    </w:p>
    <w:p w14:paraId="5AAD4D87" w14:textId="77777777" w:rsidR="00121132" w:rsidRDefault="00121132" w:rsidP="00121132">
      <w:r>
        <w:t>Zusammenfassend lässt sich sagen, dass das FRZK keine konkreten empirischen Vorhersagen macht, sondern einen Rahmen bereitstellt, um die Entstehung, Organisation und Transformation von Realität und Erkenntnis in komplexen Systemen zu verstehen und zu modellieren. Es prognostiziert die strukturellen Eigenschaften und dynamischen Prozesse, die der Realitätskonstruktion zugrunde liegen.</w:t>
      </w:r>
    </w:p>
    <w:p w14:paraId="4584293B" w14:textId="77777777" w:rsidR="00121132" w:rsidRDefault="00121132" w:rsidP="00121132">
      <w:r>
        <w:t>Ebenfalls lässt sich sagen, dass die "Beweisbarkeit" der Vorhersagen des FRZK in seiner internen Konsistenz, seiner erklärenden und generierenden Kraft sowie seiner interdisziplinären Anschlussfähigkeit liegt. Es handelt sich um ein architektonisches Modell, das die Konstruktionsprinzipien von Realität und Erkenntnis aufzeigt, anstatt konkrete empirische Ergebnisse zu prognostizieren, die durch klassische Experimente verifiziert werden müssten [52:0].</w:t>
      </w:r>
    </w:p>
    <w:p w14:paraId="7A2E9991" w14:textId="1E380B31" w:rsidR="00121132" w:rsidRDefault="00121132" w:rsidP="00121132">
      <w:r>
        <w:t>Die Vorhersagen des FRZK stützen sich auf eine klar definierte methodische Basis: Das funktionale Bezugssystem ist nicht aus empirischen Hypothesen extrapoliert, sondern wird – wie in Kapitel 3 dargelegt – aus mathematisch und erkenntnistheoretisch begründeten Operatorstrukturen abgeleitet. Diese Strukturorientierung erlaubt es, zukünftige Systemverläufe als Konsequenz interner Modelllogik zu verstehen, nicht bloß als Fortschreibung vergangener Daten. Insofern besitzen die hier dargestellten Szenarien einen anderen Status als konventionelle Prognosen: Sie beruhen auf emergenten Ordnungen, die sich aus der Dynamik des Bezugssystems selbst ergeben.</w:t>
      </w:r>
    </w:p>
    <w:p w14:paraId="67121FDB" w14:textId="013764EC" w:rsidR="0050473A" w:rsidRPr="0050473A" w:rsidRDefault="0050473A" w:rsidP="0050473A">
      <w:pPr>
        <w:pStyle w:val="berschrift3"/>
        <w:rPr>
          <w:bCs/>
        </w:rPr>
      </w:pPr>
      <w:r w:rsidRPr="0050473A">
        <w:rPr>
          <w:rStyle w:val="Fett"/>
          <w:b/>
          <w:bCs w:val="0"/>
        </w:rPr>
        <w:t xml:space="preserve">Quellenverzeichnis </w:t>
      </w:r>
      <w:r w:rsidRPr="0050473A">
        <w:t>für Kapitel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50473A" w:rsidRPr="0050473A" w14:paraId="524D283F" w14:textId="77777777" w:rsidTr="0050473A">
        <w:trPr>
          <w:tblHeader/>
          <w:tblCellSpacing w:w="15" w:type="dxa"/>
        </w:trPr>
        <w:tc>
          <w:tcPr>
            <w:tcW w:w="0" w:type="auto"/>
            <w:vAlign w:val="center"/>
            <w:hideMark/>
          </w:tcPr>
          <w:p w14:paraId="2D9AEBC7"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Nr.</w:t>
            </w:r>
          </w:p>
        </w:tc>
        <w:tc>
          <w:tcPr>
            <w:tcW w:w="0" w:type="auto"/>
            <w:vAlign w:val="center"/>
            <w:hideMark/>
          </w:tcPr>
          <w:p w14:paraId="2B540B95" w14:textId="77777777" w:rsidR="0050473A" w:rsidRPr="0050473A" w:rsidRDefault="0050473A" w:rsidP="0050473A">
            <w:pPr>
              <w:spacing w:after="0" w:line="240" w:lineRule="auto"/>
              <w:jc w:val="center"/>
              <w:rPr>
                <w:rFonts w:ascii="Times New Roman" w:eastAsia="Times New Roman" w:hAnsi="Times New Roman"/>
                <w:b/>
                <w:bCs/>
                <w:szCs w:val="24"/>
                <w:lang w:eastAsia="de-DE"/>
              </w:rPr>
            </w:pPr>
            <w:r w:rsidRPr="0050473A">
              <w:rPr>
                <w:rFonts w:ascii="Times New Roman" w:eastAsia="Times New Roman" w:hAnsi="Times New Roman"/>
                <w:b/>
                <w:bCs/>
                <w:szCs w:val="24"/>
                <w:lang w:eastAsia="de-DE"/>
              </w:rPr>
              <w:t>Quelle</w:t>
            </w:r>
          </w:p>
        </w:tc>
      </w:tr>
      <w:tr w:rsidR="0050473A" w:rsidRPr="0050473A" w14:paraId="1D711FD2" w14:textId="77777777" w:rsidTr="0050473A">
        <w:trPr>
          <w:tblCellSpacing w:w="15" w:type="dxa"/>
        </w:trPr>
        <w:tc>
          <w:tcPr>
            <w:tcW w:w="0" w:type="auto"/>
            <w:vAlign w:val="center"/>
            <w:hideMark/>
          </w:tcPr>
          <w:p w14:paraId="750DDFE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w:t>
            </w:r>
          </w:p>
        </w:tc>
        <w:tc>
          <w:tcPr>
            <w:tcW w:w="0" w:type="auto"/>
            <w:vAlign w:val="center"/>
            <w:hideMark/>
          </w:tcPr>
          <w:p w14:paraId="3053E47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Carrier, Martin (2004): </w:t>
            </w:r>
            <w:r w:rsidRPr="0050473A">
              <w:rPr>
                <w:rFonts w:ascii="Times New Roman" w:eastAsia="Times New Roman" w:hAnsi="Times New Roman"/>
                <w:i/>
                <w:iCs/>
                <w:szCs w:val="24"/>
                <w:lang w:eastAsia="de-DE"/>
              </w:rPr>
              <w:t>Vorhersage und Erklärung</w:t>
            </w:r>
            <w:r w:rsidRPr="0050473A">
              <w:rPr>
                <w:rFonts w:ascii="Times New Roman" w:eastAsia="Times New Roman" w:hAnsi="Times New Roman"/>
                <w:szCs w:val="24"/>
                <w:lang w:eastAsia="de-DE"/>
              </w:rPr>
              <w:t xml:space="preserve">. In: Hübner, D. / Carrier, M. / Reutlinger, A. (Hrsg.): </w:t>
            </w:r>
            <w:r w:rsidRPr="0050473A">
              <w:rPr>
                <w:rFonts w:ascii="Times New Roman" w:eastAsia="Times New Roman" w:hAnsi="Times New Roman"/>
                <w:i/>
                <w:iCs/>
                <w:szCs w:val="24"/>
                <w:lang w:eastAsia="de-DE"/>
              </w:rPr>
              <w:t>Philosophie der Physik</w:t>
            </w:r>
            <w:r w:rsidRPr="0050473A">
              <w:rPr>
                <w:rFonts w:ascii="Times New Roman" w:eastAsia="Times New Roman" w:hAnsi="Times New Roman"/>
                <w:szCs w:val="24"/>
                <w:lang w:eastAsia="de-DE"/>
              </w:rPr>
              <w:t>. Suhrkamp.</w:t>
            </w:r>
          </w:p>
        </w:tc>
      </w:tr>
      <w:tr w:rsidR="0050473A" w:rsidRPr="0050473A" w14:paraId="233B4324" w14:textId="77777777" w:rsidTr="0050473A">
        <w:trPr>
          <w:tblCellSpacing w:w="15" w:type="dxa"/>
        </w:trPr>
        <w:tc>
          <w:tcPr>
            <w:tcW w:w="0" w:type="auto"/>
            <w:vAlign w:val="center"/>
            <w:hideMark/>
          </w:tcPr>
          <w:p w14:paraId="17DE8CA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w:t>
            </w:r>
          </w:p>
        </w:tc>
        <w:tc>
          <w:tcPr>
            <w:tcW w:w="0" w:type="auto"/>
            <w:vAlign w:val="center"/>
            <w:hideMark/>
          </w:tcPr>
          <w:p w14:paraId="4FC7134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343AB821" w14:textId="77777777" w:rsidTr="0050473A">
        <w:trPr>
          <w:tblCellSpacing w:w="15" w:type="dxa"/>
        </w:trPr>
        <w:tc>
          <w:tcPr>
            <w:tcW w:w="0" w:type="auto"/>
            <w:vAlign w:val="center"/>
            <w:hideMark/>
          </w:tcPr>
          <w:p w14:paraId="338B86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w:t>
            </w:r>
          </w:p>
        </w:tc>
        <w:tc>
          <w:tcPr>
            <w:tcW w:w="0" w:type="auto"/>
            <w:vAlign w:val="center"/>
            <w:hideMark/>
          </w:tcPr>
          <w:p w14:paraId="0AAD44F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5551F706" w14:textId="77777777" w:rsidTr="0050473A">
        <w:trPr>
          <w:tblCellSpacing w:w="15" w:type="dxa"/>
        </w:trPr>
        <w:tc>
          <w:tcPr>
            <w:tcW w:w="0" w:type="auto"/>
            <w:vAlign w:val="center"/>
            <w:hideMark/>
          </w:tcPr>
          <w:p w14:paraId="4BB6970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w:t>
            </w:r>
          </w:p>
        </w:tc>
        <w:tc>
          <w:tcPr>
            <w:tcW w:w="0" w:type="auto"/>
            <w:vAlign w:val="center"/>
            <w:hideMark/>
          </w:tcPr>
          <w:p w14:paraId="36CC43C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J. (1979):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Biological </w:t>
            </w:r>
            <w:proofErr w:type="spellStart"/>
            <w:r w:rsidRPr="0050473A">
              <w:rPr>
                <w:rFonts w:ascii="Times New Roman" w:eastAsia="Times New Roman" w:hAnsi="Times New Roman"/>
                <w:i/>
                <w:iCs/>
                <w:szCs w:val="24"/>
                <w:lang w:eastAsia="de-DE"/>
              </w:rPr>
              <w:t>Autonomy</w:t>
            </w:r>
            <w:proofErr w:type="spellEnd"/>
            <w:r w:rsidRPr="0050473A">
              <w:rPr>
                <w:rFonts w:ascii="Times New Roman" w:eastAsia="Times New Roman" w:hAnsi="Times New Roman"/>
                <w:szCs w:val="24"/>
                <w:lang w:eastAsia="de-DE"/>
              </w:rPr>
              <w:t>. North Holland.</w:t>
            </w:r>
          </w:p>
        </w:tc>
      </w:tr>
      <w:tr w:rsidR="0050473A" w:rsidRPr="0050473A" w14:paraId="678A9F44" w14:textId="77777777" w:rsidTr="0050473A">
        <w:trPr>
          <w:tblCellSpacing w:w="15" w:type="dxa"/>
        </w:trPr>
        <w:tc>
          <w:tcPr>
            <w:tcW w:w="0" w:type="auto"/>
            <w:vAlign w:val="center"/>
            <w:hideMark/>
          </w:tcPr>
          <w:p w14:paraId="447E7C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w:t>
            </w:r>
          </w:p>
        </w:tc>
        <w:tc>
          <w:tcPr>
            <w:tcW w:w="0" w:type="auto"/>
            <w:vAlign w:val="center"/>
            <w:hideMark/>
          </w:tcPr>
          <w:p w14:paraId="436A7EA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00C92D54" w14:textId="77777777" w:rsidTr="0050473A">
        <w:trPr>
          <w:tblCellSpacing w:w="15" w:type="dxa"/>
        </w:trPr>
        <w:tc>
          <w:tcPr>
            <w:tcW w:w="0" w:type="auto"/>
            <w:vAlign w:val="center"/>
            <w:hideMark/>
          </w:tcPr>
          <w:p w14:paraId="4C0CED8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[6]</w:t>
            </w:r>
          </w:p>
        </w:tc>
        <w:tc>
          <w:tcPr>
            <w:tcW w:w="0" w:type="auto"/>
            <w:vAlign w:val="center"/>
            <w:hideMark/>
          </w:tcPr>
          <w:p w14:paraId="270187F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Ladyman</w:t>
            </w:r>
            <w:proofErr w:type="spellEnd"/>
            <w:r w:rsidRPr="0050473A">
              <w:rPr>
                <w:rFonts w:ascii="Times New Roman" w:eastAsia="Times New Roman" w:hAnsi="Times New Roman"/>
                <w:szCs w:val="24"/>
                <w:lang w:eastAsia="de-DE"/>
              </w:rPr>
              <w:t xml:space="preserve">, James / Ross, Don (2007): </w:t>
            </w:r>
            <w:r w:rsidRPr="0050473A">
              <w:rPr>
                <w:rFonts w:ascii="Times New Roman" w:eastAsia="Times New Roman" w:hAnsi="Times New Roman"/>
                <w:i/>
                <w:iCs/>
                <w:szCs w:val="24"/>
                <w:lang w:eastAsia="de-DE"/>
              </w:rPr>
              <w:t xml:space="preserve">Every Thing </w:t>
            </w:r>
            <w:proofErr w:type="spellStart"/>
            <w:r w:rsidRPr="0050473A">
              <w:rPr>
                <w:rFonts w:ascii="Times New Roman" w:eastAsia="Times New Roman" w:hAnsi="Times New Roman"/>
                <w:i/>
                <w:iCs/>
                <w:szCs w:val="24"/>
                <w:lang w:eastAsia="de-DE"/>
              </w:rPr>
              <w:t>Must</w:t>
            </w:r>
            <w:proofErr w:type="spellEnd"/>
            <w:r w:rsidRPr="0050473A">
              <w:rPr>
                <w:rFonts w:ascii="Times New Roman" w:eastAsia="Times New Roman" w:hAnsi="Times New Roman"/>
                <w:i/>
                <w:iCs/>
                <w:szCs w:val="24"/>
                <w:lang w:eastAsia="de-DE"/>
              </w:rPr>
              <w:t xml:space="preserve"> Go: </w:t>
            </w:r>
            <w:proofErr w:type="spellStart"/>
            <w:r w:rsidRPr="0050473A">
              <w:rPr>
                <w:rFonts w:ascii="Times New Roman" w:eastAsia="Times New Roman" w:hAnsi="Times New Roman"/>
                <w:i/>
                <w:iCs/>
                <w:szCs w:val="24"/>
                <w:lang w:eastAsia="de-DE"/>
              </w:rPr>
              <w:t>Metaphysics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Naturalized</w:t>
            </w:r>
            <w:proofErr w:type="spellEnd"/>
            <w:r w:rsidRPr="0050473A">
              <w:rPr>
                <w:rFonts w:ascii="Times New Roman" w:eastAsia="Times New Roman" w:hAnsi="Times New Roman"/>
                <w:szCs w:val="24"/>
                <w:lang w:eastAsia="de-DE"/>
              </w:rPr>
              <w:t>. Oxford University Press.</w:t>
            </w:r>
          </w:p>
        </w:tc>
      </w:tr>
      <w:tr w:rsidR="0050473A" w:rsidRPr="0050473A" w14:paraId="6E33F733" w14:textId="77777777" w:rsidTr="0050473A">
        <w:trPr>
          <w:tblCellSpacing w:w="15" w:type="dxa"/>
        </w:trPr>
        <w:tc>
          <w:tcPr>
            <w:tcW w:w="0" w:type="auto"/>
            <w:vAlign w:val="center"/>
            <w:hideMark/>
          </w:tcPr>
          <w:p w14:paraId="40DC9D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[7]</w:t>
            </w:r>
          </w:p>
        </w:tc>
        <w:tc>
          <w:tcPr>
            <w:tcW w:w="0" w:type="auto"/>
            <w:vAlign w:val="center"/>
            <w:hideMark/>
          </w:tcPr>
          <w:p w14:paraId="6AA244BD"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Brier</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Søren</w:t>
            </w:r>
            <w:proofErr w:type="spellEnd"/>
            <w:r w:rsidRPr="0050473A">
              <w:rPr>
                <w:rFonts w:ascii="Times New Roman" w:eastAsia="Times New Roman" w:hAnsi="Times New Roman"/>
                <w:szCs w:val="24"/>
                <w:lang w:eastAsia="de-DE"/>
              </w:rPr>
              <w:t xml:space="preserve"> (2008): </w:t>
            </w:r>
            <w:proofErr w:type="spellStart"/>
            <w:r w:rsidRPr="0050473A">
              <w:rPr>
                <w:rFonts w:ascii="Times New Roman" w:eastAsia="Times New Roman" w:hAnsi="Times New Roman"/>
                <w:i/>
                <w:iCs/>
                <w:szCs w:val="24"/>
                <w:lang w:eastAsia="de-DE"/>
              </w:rPr>
              <w:t>Cybersemiotics</w:t>
            </w:r>
            <w:proofErr w:type="spellEnd"/>
            <w:r w:rsidRPr="0050473A">
              <w:rPr>
                <w:rFonts w:ascii="Times New Roman" w:eastAsia="Times New Roman" w:hAnsi="Times New Roman"/>
                <w:szCs w:val="24"/>
                <w:lang w:eastAsia="de-DE"/>
              </w:rPr>
              <w:t>. Toronto University Press.</w:t>
            </w:r>
          </w:p>
        </w:tc>
      </w:tr>
      <w:tr w:rsidR="0050473A" w:rsidRPr="0050473A" w14:paraId="756A6B68" w14:textId="77777777" w:rsidTr="0050473A">
        <w:trPr>
          <w:tblCellSpacing w:w="15" w:type="dxa"/>
        </w:trPr>
        <w:tc>
          <w:tcPr>
            <w:tcW w:w="0" w:type="auto"/>
            <w:vAlign w:val="center"/>
            <w:hideMark/>
          </w:tcPr>
          <w:p w14:paraId="5A9F58F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[8]</w:t>
            </w:r>
          </w:p>
        </w:tc>
        <w:tc>
          <w:tcPr>
            <w:tcW w:w="0" w:type="auto"/>
            <w:vAlign w:val="center"/>
            <w:hideMark/>
          </w:tcPr>
          <w:p w14:paraId="2E25A6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(1990): </w:t>
            </w:r>
            <w:r w:rsidRPr="0050473A">
              <w:rPr>
                <w:rFonts w:ascii="Times New Roman" w:eastAsia="Times New Roman" w:hAnsi="Times New Roman"/>
                <w:i/>
                <w:iCs/>
                <w:szCs w:val="24"/>
                <w:lang w:eastAsia="de-DE"/>
              </w:rPr>
              <w:t>Die Wissenschaft der Gesellschaft</w:t>
            </w:r>
            <w:r w:rsidRPr="0050473A">
              <w:rPr>
                <w:rFonts w:ascii="Times New Roman" w:eastAsia="Times New Roman" w:hAnsi="Times New Roman"/>
                <w:szCs w:val="24"/>
                <w:lang w:eastAsia="de-DE"/>
              </w:rPr>
              <w:t>. Suhrkamp.</w:t>
            </w:r>
          </w:p>
        </w:tc>
      </w:tr>
      <w:tr w:rsidR="0050473A" w:rsidRPr="0050473A" w14:paraId="6BFF1AC9" w14:textId="77777777" w:rsidTr="0050473A">
        <w:trPr>
          <w:tblCellSpacing w:w="15" w:type="dxa"/>
        </w:trPr>
        <w:tc>
          <w:tcPr>
            <w:tcW w:w="0" w:type="auto"/>
            <w:vAlign w:val="center"/>
            <w:hideMark/>
          </w:tcPr>
          <w:p w14:paraId="0EA769E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[9]</w:t>
            </w:r>
          </w:p>
        </w:tc>
        <w:tc>
          <w:tcPr>
            <w:tcW w:w="0" w:type="auto"/>
            <w:vAlign w:val="center"/>
            <w:hideMark/>
          </w:tcPr>
          <w:p w14:paraId="47964C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Spencer-Brown, George (1972): </w:t>
            </w:r>
            <w:r w:rsidRPr="0050473A">
              <w:rPr>
                <w:rFonts w:ascii="Times New Roman" w:eastAsia="Times New Roman" w:hAnsi="Times New Roman"/>
                <w:i/>
                <w:iCs/>
                <w:szCs w:val="24"/>
                <w:lang w:eastAsia="de-DE"/>
              </w:rPr>
              <w:t xml:space="preserve">Laws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Form</w:t>
            </w:r>
            <w:r w:rsidRPr="0050473A">
              <w:rPr>
                <w:rFonts w:ascii="Times New Roman" w:eastAsia="Times New Roman" w:hAnsi="Times New Roman"/>
                <w:szCs w:val="24"/>
                <w:lang w:eastAsia="de-DE"/>
              </w:rPr>
              <w:t xml:space="preserve">. Allen &amp; </w:t>
            </w:r>
            <w:proofErr w:type="spellStart"/>
            <w:r w:rsidRPr="0050473A">
              <w:rPr>
                <w:rFonts w:ascii="Times New Roman" w:eastAsia="Times New Roman" w:hAnsi="Times New Roman"/>
                <w:szCs w:val="24"/>
                <w:lang w:eastAsia="de-DE"/>
              </w:rPr>
              <w:t>Unwin</w:t>
            </w:r>
            <w:proofErr w:type="spellEnd"/>
            <w:r w:rsidRPr="0050473A">
              <w:rPr>
                <w:rFonts w:ascii="Times New Roman" w:eastAsia="Times New Roman" w:hAnsi="Times New Roman"/>
                <w:szCs w:val="24"/>
                <w:lang w:eastAsia="de-DE"/>
              </w:rPr>
              <w:t>.</w:t>
            </w:r>
          </w:p>
        </w:tc>
      </w:tr>
      <w:tr w:rsidR="0050473A" w:rsidRPr="0050473A" w14:paraId="13195B64" w14:textId="77777777" w:rsidTr="0050473A">
        <w:trPr>
          <w:tblCellSpacing w:w="15" w:type="dxa"/>
        </w:trPr>
        <w:tc>
          <w:tcPr>
            <w:tcW w:w="0" w:type="auto"/>
            <w:vAlign w:val="center"/>
            <w:hideMark/>
          </w:tcPr>
          <w:p w14:paraId="34B370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[10]</w:t>
            </w:r>
          </w:p>
        </w:tc>
        <w:tc>
          <w:tcPr>
            <w:tcW w:w="0" w:type="auto"/>
            <w:vAlign w:val="center"/>
            <w:hideMark/>
          </w:tcPr>
          <w:p w14:paraId="62EC02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Varela, Francisco / Maturana, Humberto (1987):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Tree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Knowledge</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Shambhala</w:t>
            </w:r>
            <w:proofErr w:type="spellEnd"/>
            <w:r w:rsidRPr="0050473A">
              <w:rPr>
                <w:rFonts w:ascii="Times New Roman" w:eastAsia="Times New Roman" w:hAnsi="Times New Roman"/>
                <w:szCs w:val="24"/>
                <w:lang w:eastAsia="de-DE"/>
              </w:rPr>
              <w:t>.</w:t>
            </w:r>
          </w:p>
        </w:tc>
      </w:tr>
      <w:tr w:rsidR="0050473A" w:rsidRPr="0050473A" w14:paraId="5BA7A11F" w14:textId="77777777" w:rsidTr="0050473A">
        <w:trPr>
          <w:tblCellSpacing w:w="15" w:type="dxa"/>
        </w:trPr>
        <w:tc>
          <w:tcPr>
            <w:tcW w:w="0" w:type="auto"/>
            <w:vAlign w:val="center"/>
            <w:hideMark/>
          </w:tcPr>
          <w:p w14:paraId="4ED3CA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[11]</w:t>
            </w:r>
          </w:p>
        </w:tc>
        <w:tc>
          <w:tcPr>
            <w:tcW w:w="0" w:type="auto"/>
            <w:vAlign w:val="center"/>
            <w:hideMark/>
          </w:tcPr>
          <w:p w14:paraId="2E17A1D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(2004): </w:t>
            </w:r>
            <w:r w:rsidRPr="0050473A">
              <w:rPr>
                <w:rFonts w:ascii="Times New Roman" w:eastAsia="Times New Roman" w:hAnsi="Times New Roman"/>
                <w:i/>
                <w:iCs/>
                <w:szCs w:val="24"/>
                <w:lang w:eastAsia="de-DE"/>
              </w:rPr>
              <w:t>Quantum Gravity</w:t>
            </w:r>
            <w:r w:rsidRPr="0050473A">
              <w:rPr>
                <w:rFonts w:ascii="Times New Roman" w:eastAsia="Times New Roman" w:hAnsi="Times New Roman"/>
                <w:szCs w:val="24"/>
                <w:lang w:eastAsia="de-DE"/>
              </w:rPr>
              <w:t>. Cambridge University Press.</w:t>
            </w:r>
          </w:p>
        </w:tc>
      </w:tr>
      <w:tr w:rsidR="0050473A" w:rsidRPr="0050473A" w14:paraId="1570B2C0" w14:textId="77777777" w:rsidTr="0050473A">
        <w:trPr>
          <w:tblCellSpacing w:w="15" w:type="dxa"/>
        </w:trPr>
        <w:tc>
          <w:tcPr>
            <w:tcW w:w="0" w:type="auto"/>
            <w:vAlign w:val="center"/>
            <w:hideMark/>
          </w:tcPr>
          <w:p w14:paraId="48DD06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[12]</w:t>
            </w:r>
          </w:p>
        </w:tc>
        <w:tc>
          <w:tcPr>
            <w:tcW w:w="0" w:type="auto"/>
            <w:vAlign w:val="center"/>
            <w:hideMark/>
          </w:tcPr>
          <w:p w14:paraId="623E91E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Witten, Edward (1996): </w:t>
            </w:r>
            <w:proofErr w:type="spellStart"/>
            <w:r w:rsidRPr="0050473A">
              <w:rPr>
                <w:rFonts w:ascii="Times New Roman" w:eastAsia="Times New Roman" w:hAnsi="Times New Roman"/>
                <w:i/>
                <w:iCs/>
                <w:szCs w:val="24"/>
                <w:lang w:eastAsia="de-DE"/>
              </w:rPr>
              <w:t>Reflections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szCs w:val="24"/>
                <w:lang w:eastAsia="de-DE"/>
              </w:rPr>
              <w:t>. Physics Today 49(4).</w:t>
            </w:r>
          </w:p>
        </w:tc>
      </w:tr>
      <w:tr w:rsidR="0050473A" w:rsidRPr="0050473A" w14:paraId="2BE133A2" w14:textId="77777777" w:rsidTr="0050473A">
        <w:trPr>
          <w:tblCellSpacing w:w="15" w:type="dxa"/>
        </w:trPr>
        <w:tc>
          <w:tcPr>
            <w:tcW w:w="0" w:type="auto"/>
            <w:vAlign w:val="center"/>
            <w:hideMark/>
          </w:tcPr>
          <w:p w14:paraId="1F86231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[13]</w:t>
            </w:r>
          </w:p>
        </w:tc>
        <w:tc>
          <w:tcPr>
            <w:tcW w:w="0" w:type="auto"/>
            <w:vAlign w:val="center"/>
            <w:hideMark/>
          </w:tcPr>
          <w:p w14:paraId="77FC79F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Bianchi, Eugenio / Myers, Robert C. (2014):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Architecture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Spacetime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Classical</w:t>
            </w:r>
            <w:proofErr w:type="spellEnd"/>
            <w:r w:rsidRPr="0050473A">
              <w:rPr>
                <w:rFonts w:ascii="Times New Roman" w:eastAsia="Times New Roman" w:hAnsi="Times New Roman"/>
                <w:szCs w:val="24"/>
                <w:lang w:eastAsia="de-DE"/>
              </w:rPr>
              <w:t xml:space="preserve"> and Quantum Gravity, 31(21).</w:t>
            </w:r>
          </w:p>
        </w:tc>
      </w:tr>
      <w:tr w:rsidR="0050473A" w:rsidRPr="0050473A" w14:paraId="174F0DEE" w14:textId="77777777" w:rsidTr="0050473A">
        <w:trPr>
          <w:tblCellSpacing w:w="15" w:type="dxa"/>
        </w:trPr>
        <w:tc>
          <w:tcPr>
            <w:tcW w:w="0" w:type="auto"/>
            <w:vAlign w:val="center"/>
            <w:hideMark/>
          </w:tcPr>
          <w:p w14:paraId="79869B6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[14]</w:t>
            </w:r>
          </w:p>
        </w:tc>
        <w:tc>
          <w:tcPr>
            <w:tcW w:w="0" w:type="auto"/>
            <w:vAlign w:val="center"/>
            <w:hideMark/>
          </w:tcPr>
          <w:p w14:paraId="3C0498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Bitbol</w:t>
            </w:r>
            <w:proofErr w:type="spellEnd"/>
            <w:r w:rsidRPr="0050473A">
              <w:rPr>
                <w:rFonts w:ascii="Times New Roman" w:eastAsia="Times New Roman" w:hAnsi="Times New Roman"/>
                <w:szCs w:val="24"/>
                <w:lang w:eastAsia="de-DE"/>
              </w:rPr>
              <w:t xml:space="preserve">, Michel (1998): </w:t>
            </w:r>
            <w:proofErr w:type="spellStart"/>
            <w:r w:rsidRPr="0050473A">
              <w:rPr>
                <w:rFonts w:ascii="Times New Roman" w:eastAsia="Times New Roman" w:hAnsi="Times New Roman"/>
                <w:i/>
                <w:iCs/>
                <w:szCs w:val="24"/>
                <w:lang w:eastAsia="de-DE"/>
              </w:rPr>
              <w:t>Some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steps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toward</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transcendental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deduction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quantum</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Erkenntnis 48(2–3).</w:t>
            </w:r>
          </w:p>
        </w:tc>
      </w:tr>
      <w:tr w:rsidR="0050473A" w:rsidRPr="0050473A" w14:paraId="528EF39E" w14:textId="77777777" w:rsidTr="0050473A">
        <w:trPr>
          <w:tblCellSpacing w:w="15" w:type="dxa"/>
        </w:trPr>
        <w:tc>
          <w:tcPr>
            <w:tcW w:w="0" w:type="auto"/>
            <w:vAlign w:val="center"/>
            <w:hideMark/>
          </w:tcPr>
          <w:p w14:paraId="4ED6288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[15]</w:t>
            </w:r>
          </w:p>
        </w:tc>
        <w:tc>
          <w:tcPr>
            <w:tcW w:w="0" w:type="auto"/>
            <w:vAlign w:val="center"/>
            <w:hideMark/>
          </w:tcPr>
          <w:p w14:paraId="08DE487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Stengers, Isabelle (2005): </w:t>
            </w:r>
            <w:r w:rsidRPr="0050473A">
              <w:rPr>
                <w:rFonts w:ascii="Times New Roman" w:eastAsia="Times New Roman" w:hAnsi="Times New Roman"/>
                <w:i/>
                <w:iCs/>
                <w:szCs w:val="24"/>
                <w:lang w:eastAsia="de-DE"/>
              </w:rPr>
              <w:t xml:space="preserve">The Invention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Modern Science</w:t>
            </w:r>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Minnesota Press.</w:t>
            </w:r>
          </w:p>
        </w:tc>
      </w:tr>
      <w:tr w:rsidR="0050473A" w:rsidRPr="0050473A" w14:paraId="0F66DC36" w14:textId="77777777" w:rsidTr="0050473A">
        <w:trPr>
          <w:tblCellSpacing w:w="15" w:type="dxa"/>
        </w:trPr>
        <w:tc>
          <w:tcPr>
            <w:tcW w:w="0" w:type="auto"/>
            <w:vAlign w:val="center"/>
            <w:hideMark/>
          </w:tcPr>
          <w:p w14:paraId="5124CDF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[16]</w:t>
            </w:r>
          </w:p>
        </w:tc>
        <w:tc>
          <w:tcPr>
            <w:tcW w:w="0" w:type="auto"/>
            <w:vAlign w:val="center"/>
            <w:hideMark/>
          </w:tcPr>
          <w:p w14:paraId="0BFD4C5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Thiele, Olaf (2025): </w:t>
            </w:r>
            <w:r w:rsidRPr="0050473A">
              <w:rPr>
                <w:rFonts w:ascii="Times New Roman" w:eastAsia="Times New Roman" w:hAnsi="Times New Roman"/>
                <w:i/>
                <w:iCs/>
                <w:szCs w:val="24"/>
                <w:lang w:eastAsia="de-DE"/>
              </w:rPr>
              <w:t>Iterative Konstruktion eines funktionalen Bezugssystems</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Diss</w:t>
            </w:r>
            <w:proofErr w:type="spellEnd"/>
            <w:r w:rsidRPr="0050473A">
              <w:rPr>
                <w:rFonts w:ascii="Times New Roman" w:eastAsia="Times New Roman" w:hAnsi="Times New Roman"/>
                <w:szCs w:val="24"/>
                <w:lang w:eastAsia="de-DE"/>
              </w:rPr>
              <w:t>., Kapitel 3.</w:t>
            </w:r>
          </w:p>
        </w:tc>
      </w:tr>
      <w:tr w:rsidR="0050473A" w:rsidRPr="0050473A" w14:paraId="0CC0A3EE" w14:textId="77777777" w:rsidTr="0050473A">
        <w:trPr>
          <w:tblCellSpacing w:w="15" w:type="dxa"/>
        </w:trPr>
        <w:tc>
          <w:tcPr>
            <w:tcW w:w="0" w:type="auto"/>
            <w:vAlign w:val="center"/>
            <w:hideMark/>
          </w:tcPr>
          <w:p w14:paraId="781AA9F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[17]</w:t>
            </w:r>
          </w:p>
        </w:tc>
        <w:tc>
          <w:tcPr>
            <w:tcW w:w="0" w:type="auto"/>
            <w:vAlign w:val="center"/>
            <w:hideMark/>
          </w:tcPr>
          <w:p w14:paraId="31F7DC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Goldblatt, Robert (2006): </w:t>
            </w:r>
            <w:r w:rsidRPr="0050473A">
              <w:rPr>
                <w:rFonts w:ascii="Times New Roman" w:eastAsia="Times New Roman" w:hAnsi="Times New Roman"/>
                <w:i/>
                <w:iCs/>
                <w:szCs w:val="24"/>
                <w:lang w:eastAsia="de-DE"/>
              </w:rPr>
              <w:t xml:space="preserve">Topoi: The </w:t>
            </w:r>
            <w:proofErr w:type="spellStart"/>
            <w:r w:rsidRPr="0050473A">
              <w:rPr>
                <w:rFonts w:ascii="Times New Roman" w:eastAsia="Times New Roman" w:hAnsi="Times New Roman"/>
                <w:i/>
                <w:iCs/>
                <w:szCs w:val="24"/>
                <w:lang w:eastAsia="de-DE"/>
              </w:rPr>
              <w:t>Categorial</w:t>
            </w:r>
            <w:proofErr w:type="spellEnd"/>
            <w:r w:rsidRPr="0050473A">
              <w:rPr>
                <w:rFonts w:ascii="Times New Roman" w:eastAsia="Times New Roman" w:hAnsi="Times New Roman"/>
                <w:i/>
                <w:iCs/>
                <w:szCs w:val="24"/>
                <w:lang w:eastAsia="de-DE"/>
              </w:rPr>
              <w:t xml:space="preserve"> Analysis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Logic</w:t>
            </w:r>
            <w:proofErr w:type="spellEnd"/>
            <w:r w:rsidRPr="0050473A">
              <w:rPr>
                <w:rFonts w:ascii="Times New Roman" w:eastAsia="Times New Roman" w:hAnsi="Times New Roman"/>
                <w:szCs w:val="24"/>
                <w:lang w:eastAsia="de-DE"/>
              </w:rPr>
              <w:t>. Dover.</w:t>
            </w:r>
          </w:p>
        </w:tc>
      </w:tr>
      <w:tr w:rsidR="0050473A" w:rsidRPr="0050473A" w14:paraId="3C41A9CD" w14:textId="77777777" w:rsidTr="0050473A">
        <w:trPr>
          <w:tblCellSpacing w:w="15" w:type="dxa"/>
        </w:trPr>
        <w:tc>
          <w:tcPr>
            <w:tcW w:w="0" w:type="auto"/>
            <w:vAlign w:val="center"/>
            <w:hideMark/>
          </w:tcPr>
          <w:p w14:paraId="555D9B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[18]</w:t>
            </w:r>
          </w:p>
        </w:tc>
        <w:tc>
          <w:tcPr>
            <w:tcW w:w="0" w:type="auto"/>
            <w:vAlign w:val="center"/>
            <w:hideMark/>
          </w:tcPr>
          <w:p w14:paraId="0321A19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Ortega, James M. / </w:t>
            </w:r>
            <w:proofErr w:type="spellStart"/>
            <w:r w:rsidRPr="0050473A">
              <w:rPr>
                <w:rFonts w:ascii="Times New Roman" w:eastAsia="Times New Roman" w:hAnsi="Times New Roman"/>
                <w:szCs w:val="24"/>
                <w:lang w:eastAsia="de-DE"/>
              </w:rPr>
              <w:t>Rheinboldt</w:t>
            </w:r>
            <w:proofErr w:type="spellEnd"/>
            <w:r w:rsidRPr="0050473A">
              <w:rPr>
                <w:rFonts w:ascii="Times New Roman" w:eastAsia="Times New Roman" w:hAnsi="Times New Roman"/>
                <w:szCs w:val="24"/>
                <w:lang w:eastAsia="de-DE"/>
              </w:rPr>
              <w:t xml:space="preserve">, Werner C. (2000): </w:t>
            </w:r>
            <w:r w:rsidRPr="0050473A">
              <w:rPr>
                <w:rFonts w:ascii="Times New Roman" w:eastAsia="Times New Roman" w:hAnsi="Times New Roman"/>
                <w:i/>
                <w:iCs/>
                <w:szCs w:val="24"/>
                <w:lang w:eastAsia="de-DE"/>
              </w:rPr>
              <w:t xml:space="preserve">Iterative Solution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Nonlinear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Equations</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Several</w:t>
            </w:r>
            <w:proofErr w:type="spellEnd"/>
            <w:r w:rsidRPr="0050473A">
              <w:rPr>
                <w:rFonts w:ascii="Times New Roman" w:eastAsia="Times New Roman" w:hAnsi="Times New Roman"/>
                <w:i/>
                <w:iCs/>
                <w:szCs w:val="24"/>
                <w:lang w:eastAsia="de-DE"/>
              </w:rPr>
              <w:t xml:space="preserve"> Variables</w:t>
            </w:r>
            <w:r w:rsidRPr="0050473A">
              <w:rPr>
                <w:rFonts w:ascii="Times New Roman" w:eastAsia="Times New Roman" w:hAnsi="Times New Roman"/>
                <w:szCs w:val="24"/>
                <w:lang w:eastAsia="de-DE"/>
              </w:rPr>
              <w:t>. SIAM.</w:t>
            </w:r>
          </w:p>
        </w:tc>
      </w:tr>
      <w:tr w:rsidR="0050473A" w:rsidRPr="0050473A" w14:paraId="67B24C59" w14:textId="77777777" w:rsidTr="0050473A">
        <w:trPr>
          <w:tblCellSpacing w:w="15" w:type="dxa"/>
        </w:trPr>
        <w:tc>
          <w:tcPr>
            <w:tcW w:w="0" w:type="auto"/>
            <w:vAlign w:val="center"/>
            <w:hideMark/>
          </w:tcPr>
          <w:p w14:paraId="3E1BE5E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[19]</w:t>
            </w:r>
          </w:p>
        </w:tc>
        <w:tc>
          <w:tcPr>
            <w:tcW w:w="0" w:type="auto"/>
            <w:vAlign w:val="center"/>
            <w:hideMark/>
          </w:tcPr>
          <w:p w14:paraId="4F50BEB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Troelstra</w:t>
            </w:r>
            <w:proofErr w:type="spellEnd"/>
            <w:r w:rsidRPr="0050473A">
              <w:rPr>
                <w:rFonts w:ascii="Times New Roman" w:eastAsia="Times New Roman" w:hAnsi="Times New Roman"/>
                <w:szCs w:val="24"/>
                <w:lang w:eastAsia="de-DE"/>
              </w:rPr>
              <w:t xml:space="preserve">, A. S. / van Dalen, D. (1988): </w:t>
            </w:r>
            <w:proofErr w:type="spellStart"/>
            <w:r w:rsidRPr="0050473A">
              <w:rPr>
                <w:rFonts w:ascii="Times New Roman" w:eastAsia="Times New Roman" w:hAnsi="Times New Roman"/>
                <w:i/>
                <w:iCs/>
                <w:szCs w:val="24"/>
                <w:lang w:eastAsia="de-DE"/>
              </w:rPr>
              <w:t>Constructivism</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szCs w:val="24"/>
                <w:lang w:eastAsia="de-DE"/>
              </w:rPr>
              <w:t>. North-Holland.</w:t>
            </w:r>
          </w:p>
        </w:tc>
      </w:tr>
      <w:tr w:rsidR="0050473A" w:rsidRPr="0050473A" w14:paraId="25744E0E" w14:textId="77777777" w:rsidTr="0050473A">
        <w:trPr>
          <w:tblCellSpacing w:w="15" w:type="dxa"/>
        </w:trPr>
        <w:tc>
          <w:tcPr>
            <w:tcW w:w="0" w:type="auto"/>
            <w:vAlign w:val="center"/>
            <w:hideMark/>
          </w:tcPr>
          <w:p w14:paraId="3E27DD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[20]</w:t>
            </w:r>
          </w:p>
        </w:tc>
        <w:tc>
          <w:tcPr>
            <w:tcW w:w="0" w:type="auto"/>
            <w:vAlign w:val="center"/>
            <w:hideMark/>
          </w:tcPr>
          <w:p w14:paraId="1A6B67A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Understanding </w:t>
            </w:r>
            <w:proofErr w:type="spellStart"/>
            <w:r w:rsidRPr="0050473A">
              <w:rPr>
                <w:rFonts w:ascii="Times New Roman" w:eastAsia="Times New Roman" w:hAnsi="Times New Roman"/>
                <w:i/>
                <w:iCs/>
                <w:szCs w:val="24"/>
                <w:lang w:eastAsia="de-DE"/>
              </w:rPr>
              <w:t>Understanding</w:t>
            </w:r>
            <w:proofErr w:type="spellEnd"/>
            <w:r w:rsidRPr="0050473A">
              <w:rPr>
                <w:rFonts w:ascii="Times New Roman" w:eastAsia="Times New Roman" w:hAnsi="Times New Roman"/>
                <w:szCs w:val="24"/>
                <w:lang w:eastAsia="de-DE"/>
              </w:rPr>
              <w:t>.</w:t>
            </w:r>
          </w:p>
        </w:tc>
      </w:tr>
      <w:tr w:rsidR="0050473A" w:rsidRPr="0050473A" w14:paraId="30B8EC1C" w14:textId="77777777" w:rsidTr="0050473A">
        <w:trPr>
          <w:tblCellSpacing w:w="15" w:type="dxa"/>
        </w:trPr>
        <w:tc>
          <w:tcPr>
            <w:tcW w:w="0" w:type="auto"/>
            <w:vAlign w:val="center"/>
            <w:hideMark/>
          </w:tcPr>
          <w:p w14:paraId="79E3478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[21]</w:t>
            </w:r>
          </w:p>
        </w:tc>
        <w:tc>
          <w:tcPr>
            <w:tcW w:w="0" w:type="auto"/>
            <w:vAlign w:val="center"/>
            <w:hideMark/>
          </w:tcPr>
          <w:p w14:paraId="1F3AE03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01FDD66" w14:textId="77777777" w:rsidTr="0050473A">
        <w:trPr>
          <w:tblCellSpacing w:w="15" w:type="dxa"/>
        </w:trPr>
        <w:tc>
          <w:tcPr>
            <w:tcW w:w="0" w:type="auto"/>
            <w:vAlign w:val="center"/>
            <w:hideMark/>
          </w:tcPr>
          <w:p w14:paraId="4146BC3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[22]</w:t>
            </w:r>
          </w:p>
        </w:tc>
        <w:tc>
          <w:tcPr>
            <w:tcW w:w="0" w:type="auto"/>
            <w:vAlign w:val="center"/>
            <w:hideMark/>
          </w:tcPr>
          <w:p w14:paraId="51B0A111"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Perry, John (1983): </w:t>
            </w:r>
            <w:proofErr w:type="spellStart"/>
            <w:r w:rsidRPr="0050473A">
              <w:rPr>
                <w:rFonts w:ascii="Times New Roman" w:eastAsia="Times New Roman" w:hAnsi="Times New Roman"/>
                <w:i/>
                <w:iCs/>
                <w:szCs w:val="24"/>
                <w:lang w:eastAsia="de-DE"/>
              </w:rPr>
              <w:t>Situations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Attitudes</w:t>
            </w:r>
            <w:proofErr w:type="spellEnd"/>
            <w:r w:rsidRPr="0050473A">
              <w:rPr>
                <w:rFonts w:ascii="Times New Roman" w:eastAsia="Times New Roman" w:hAnsi="Times New Roman"/>
                <w:szCs w:val="24"/>
                <w:lang w:eastAsia="de-DE"/>
              </w:rPr>
              <w:t>. MIT Press.</w:t>
            </w:r>
          </w:p>
        </w:tc>
      </w:tr>
      <w:tr w:rsidR="0050473A" w:rsidRPr="0050473A" w14:paraId="151859DC" w14:textId="77777777" w:rsidTr="0050473A">
        <w:trPr>
          <w:tblCellSpacing w:w="15" w:type="dxa"/>
        </w:trPr>
        <w:tc>
          <w:tcPr>
            <w:tcW w:w="0" w:type="auto"/>
            <w:vAlign w:val="center"/>
            <w:hideMark/>
          </w:tcPr>
          <w:p w14:paraId="617D4BD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[23]</w:t>
            </w:r>
          </w:p>
        </w:tc>
        <w:tc>
          <w:tcPr>
            <w:tcW w:w="0" w:type="auto"/>
            <w:vAlign w:val="center"/>
            <w:hideMark/>
          </w:tcPr>
          <w:p w14:paraId="1ED2B93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Nicolis, Gregoire / Prigogine, Ilya (1977): </w:t>
            </w:r>
            <w:r w:rsidRPr="0050473A">
              <w:rPr>
                <w:rFonts w:ascii="Times New Roman" w:eastAsia="Times New Roman" w:hAnsi="Times New Roman"/>
                <w:i/>
                <w:iCs/>
                <w:szCs w:val="24"/>
                <w:lang w:eastAsia="de-DE"/>
              </w:rPr>
              <w:t>Self-</w:t>
            </w:r>
            <w:proofErr w:type="spellStart"/>
            <w:r w:rsidRPr="0050473A">
              <w:rPr>
                <w:rFonts w:ascii="Times New Roman" w:eastAsia="Times New Roman" w:hAnsi="Times New Roman"/>
                <w:i/>
                <w:iCs/>
                <w:szCs w:val="24"/>
                <w:lang w:eastAsia="de-DE"/>
              </w:rPr>
              <w:t>Organization</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Nonequilibrium</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Wiley.</w:t>
            </w:r>
          </w:p>
        </w:tc>
      </w:tr>
      <w:tr w:rsidR="0050473A" w:rsidRPr="0050473A" w14:paraId="229F4EFC" w14:textId="77777777" w:rsidTr="0050473A">
        <w:trPr>
          <w:tblCellSpacing w:w="15" w:type="dxa"/>
        </w:trPr>
        <w:tc>
          <w:tcPr>
            <w:tcW w:w="0" w:type="auto"/>
            <w:vAlign w:val="center"/>
            <w:hideMark/>
          </w:tcPr>
          <w:p w14:paraId="623C0F7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[24]</w:t>
            </w:r>
          </w:p>
        </w:tc>
        <w:tc>
          <w:tcPr>
            <w:tcW w:w="0" w:type="auto"/>
            <w:vAlign w:val="center"/>
            <w:hideMark/>
          </w:tcPr>
          <w:p w14:paraId="3529E0B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Baecker, Dirk (1999): </w:t>
            </w:r>
            <w:r w:rsidRPr="0050473A">
              <w:rPr>
                <w:rFonts w:ascii="Times New Roman" w:eastAsia="Times New Roman" w:hAnsi="Times New Roman"/>
                <w:i/>
                <w:iCs/>
                <w:szCs w:val="24"/>
                <w:lang w:eastAsia="de-DE"/>
              </w:rPr>
              <w:t>Beobachter unter sich. Eine Kulturtheorie</w:t>
            </w:r>
            <w:r w:rsidRPr="0050473A">
              <w:rPr>
                <w:rFonts w:ascii="Times New Roman" w:eastAsia="Times New Roman" w:hAnsi="Times New Roman"/>
                <w:szCs w:val="24"/>
                <w:lang w:eastAsia="de-DE"/>
              </w:rPr>
              <w:t>. Suhrkamp.</w:t>
            </w:r>
          </w:p>
        </w:tc>
      </w:tr>
      <w:tr w:rsidR="0050473A" w:rsidRPr="0050473A" w14:paraId="62D1C3A1" w14:textId="77777777" w:rsidTr="0050473A">
        <w:trPr>
          <w:tblCellSpacing w:w="15" w:type="dxa"/>
        </w:trPr>
        <w:tc>
          <w:tcPr>
            <w:tcW w:w="0" w:type="auto"/>
            <w:vAlign w:val="center"/>
            <w:hideMark/>
          </w:tcPr>
          <w:p w14:paraId="54A5E65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[25]</w:t>
            </w:r>
          </w:p>
        </w:tc>
        <w:tc>
          <w:tcPr>
            <w:tcW w:w="0" w:type="auto"/>
            <w:vAlign w:val="center"/>
            <w:hideMark/>
          </w:tcPr>
          <w:p w14:paraId="7B82C52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Hofstadter, Douglas R. (1979): </w:t>
            </w:r>
            <w:r w:rsidRPr="0050473A">
              <w:rPr>
                <w:rFonts w:ascii="Times New Roman" w:eastAsia="Times New Roman" w:hAnsi="Times New Roman"/>
                <w:i/>
                <w:iCs/>
                <w:szCs w:val="24"/>
                <w:lang w:eastAsia="de-DE"/>
              </w:rPr>
              <w:t xml:space="preserve">Gödel, Escher, Bach: An </w:t>
            </w:r>
            <w:proofErr w:type="spellStart"/>
            <w:r w:rsidRPr="0050473A">
              <w:rPr>
                <w:rFonts w:ascii="Times New Roman" w:eastAsia="Times New Roman" w:hAnsi="Times New Roman"/>
                <w:i/>
                <w:iCs/>
                <w:szCs w:val="24"/>
                <w:lang w:eastAsia="de-DE"/>
              </w:rPr>
              <w:t>Eternal</w:t>
            </w:r>
            <w:proofErr w:type="spellEnd"/>
            <w:r w:rsidRPr="0050473A">
              <w:rPr>
                <w:rFonts w:ascii="Times New Roman" w:eastAsia="Times New Roman" w:hAnsi="Times New Roman"/>
                <w:i/>
                <w:iCs/>
                <w:szCs w:val="24"/>
                <w:lang w:eastAsia="de-DE"/>
              </w:rPr>
              <w:t xml:space="preserve"> Golden </w:t>
            </w:r>
            <w:proofErr w:type="spellStart"/>
            <w:r w:rsidRPr="0050473A">
              <w:rPr>
                <w:rFonts w:ascii="Times New Roman" w:eastAsia="Times New Roman" w:hAnsi="Times New Roman"/>
                <w:i/>
                <w:iCs/>
                <w:szCs w:val="24"/>
                <w:lang w:eastAsia="de-DE"/>
              </w:rPr>
              <w:t>Braid</w:t>
            </w:r>
            <w:proofErr w:type="spellEnd"/>
            <w:r w:rsidRPr="0050473A">
              <w:rPr>
                <w:rFonts w:ascii="Times New Roman" w:eastAsia="Times New Roman" w:hAnsi="Times New Roman"/>
                <w:szCs w:val="24"/>
                <w:lang w:eastAsia="de-DE"/>
              </w:rPr>
              <w:t>. Basic Books.</w:t>
            </w:r>
          </w:p>
        </w:tc>
      </w:tr>
      <w:tr w:rsidR="0050473A" w:rsidRPr="0050473A" w14:paraId="62C9EBD3" w14:textId="77777777" w:rsidTr="0050473A">
        <w:trPr>
          <w:tblCellSpacing w:w="15" w:type="dxa"/>
        </w:trPr>
        <w:tc>
          <w:tcPr>
            <w:tcW w:w="0" w:type="auto"/>
            <w:vAlign w:val="center"/>
            <w:hideMark/>
          </w:tcPr>
          <w:p w14:paraId="244AD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[26]</w:t>
            </w:r>
          </w:p>
        </w:tc>
        <w:tc>
          <w:tcPr>
            <w:tcW w:w="0" w:type="auto"/>
            <w:vAlign w:val="center"/>
            <w:hideMark/>
          </w:tcPr>
          <w:p w14:paraId="654D552F"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Barwise</w:t>
            </w:r>
            <w:proofErr w:type="spellEnd"/>
            <w:r w:rsidRPr="0050473A">
              <w:rPr>
                <w:rFonts w:ascii="Times New Roman" w:eastAsia="Times New Roman" w:hAnsi="Times New Roman"/>
                <w:szCs w:val="24"/>
                <w:lang w:eastAsia="de-DE"/>
              </w:rPr>
              <w:t xml:space="preserve">, Jon / Moss, Lawrence (1996): </w:t>
            </w:r>
            <w:proofErr w:type="spellStart"/>
            <w:r w:rsidRPr="0050473A">
              <w:rPr>
                <w:rFonts w:ascii="Times New Roman" w:eastAsia="Times New Roman" w:hAnsi="Times New Roman"/>
                <w:i/>
                <w:iCs/>
                <w:szCs w:val="24"/>
                <w:lang w:eastAsia="de-DE"/>
              </w:rPr>
              <w:t>Vicious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Circles</w:t>
            </w:r>
            <w:proofErr w:type="spellEnd"/>
            <w:r w:rsidRPr="0050473A">
              <w:rPr>
                <w:rFonts w:ascii="Times New Roman" w:eastAsia="Times New Roman" w:hAnsi="Times New Roman"/>
                <w:i/>
                <w:iCs/>
                <w:szCs w:val="24"/>
                <w:lang w:eastAsia="de-DE"/>
              </w:rPr>
              <w:t xml:space="preserve">: On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Mathematics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Non-</w:t>
            </w:r>
            <w:proofErr w:type="spellStart"/>
            <w:r w:rsidRPr="0050473A">
              <w:rPr>
                <w:rFonts w:ascii="Times New Roman" w:eastAsia="Times New Roman" w:hAnsi="Times New Roman"/>
                <w:i/>
                <w:iCs/>
                <w:szCs w:val="24"/>
                <w:lang w:eastAsia="de-DE"/>
              </w:rPr>
              <w:t>Wellfounded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Phenomena</w:t>
            </w:r>
            <w:proofErr w:type="spellEnd"/>
            <w:r w:rsidRPr="0050473A">
              <w:rPr>
                <w:rFonts w:ascii="Times New Roman" w:eastAsia="Times New Roman" w:hAnsi="Times New Roman"/>
                <w:szCs w:val="24"/>
                <w:lang w:eastAsia="de-DE"/>
              </w:rPr>
              <w:t>. CSLI.</w:t>
            </w:r>
          </w:p>
        </w:tc>
      </w:tr>
      <w:tr w:rsidR="0050473A" w:rsidRPr="0050473A" w14:paraId="03716FD9" w14:textId="77777777" w:rsidTr="0050473A">
        <w:trPr>
          <w:tblCellSpacing w:w="15" w:type="dxa"/>
        </w:trPr>
        <w:tc>
          <w:tcPr>
            <w:tcW w:w="0" w:type="auto"/>
            <w:vAlign w:val="center"/>
            <w:hideMark/>
          </w:tcPr>
          <w:p w14:paraId="7768F23D"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[27]</w:t>
            </w:r>
          </w:p>
        </w:tc>
        <w:tc>
          <w:tcPr>
            <w:tcW w:w="0" w:type="auto"/>
            <w:vAlign w:val="center"/>
            <w:hideMark/>
          </w:tcPr>
          <w:p w14:paraId="102200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(1984): </w:t>
            </w:r>
            <w:r w:rsidRPr="0050473A">
              <w:rPr>
                <w:rFonts w:ascii="Times New Roman" w:eastAsia="Times New Roman" w:hAnsi="Times New Roman"/>
                <w:i/>
                <w:iCs/>
                <w:szCs w:val="24"/>
                <w:lang w:eastAsia="de-DE"/>
              </w:rPr>
              <w:t>Soziale Systeme</w:t>
            </w:r>
            <w:r w:rsidRPr="0050473A">
              <w:rPr>
                <w:rFonts w:ascii="Times New Roman" w:eastAsia="Times New Roman" w:hAnsi="Times New Roman"/>
                <w:szCs w:val="24"/>
                <w:lang w:eastAsia="de-DE"/>
              </w:rPr>
              <w:t>. Suhrkamp.</w:t>
            </w:r>
          </w:p>
        </w:tc>
      </w:tr>
      <w:tr w:rsidR="0050473A" w:rsidRPr="0050473A" w14:paraId="57379A74" w14:textId="77777777" w:rsidTr="0050473A">
        <w:trPr>
          <w:tblCellSpacing w:w="15" w:type="dxa"/>
        </w:trPr>
        <w:tc>
          <w:tcPr>
            <w:tcW w:w="0" w:type="auto"/>
            <w:vAlign w:val="center"/>
            <w:hideMark/>
          </w:tcPr>
          <w:p w14:paraId="31DC995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[28]</w:t>
            </w:r>
          </w:p>
        </w:tc>
        <w:tc>
          <w:tcPr>
            <w:tcW w:w="0" w:type="auto"/>
            <w:vAlign w:val="center"/>
            <w:hideMark/>
          </w:tcPr>
          <w:p w14:paraId="76F2AF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Wheeler, John Archibald (1983): </w:t>
            </w:r>
            <w:r w:rsidRPr="0050473A">
              <w:rPr>
                <w:rFonts w:ascii="Times New Roman" w:eastAsia="Times New Roman" w:hAnsi="Times New Roman"/>
                <w:i/>
                <w:iCs/>
                <w:szCs w:val="24"/>
                <w:lang w:eastAsia="de-DE"/>
              </w:rPr>
              <w:t xml:space="preserve">Law </w:t>
            </w:r>
            <w:proofErr w:type="spellStart"/>
            <w:r w:rsidRPr="0050473A">
              <w:rPr>
                <w:rFonts w:ascii="Times New Roman" w:eastAsia="Times New Roman" w:hAnsi="Times New Roman"/>
                <w:i/>
                <w:iCs/>
                <w:szCs w:val="24"/>
                <w:lang w:eastAsia="de-DE"/>
              </w:rPr>
              <w:t>Without</w:t>
            </w:r>
            <w:proofErr w:type="spellEnd"/>
            <w:r w:rsidRPr="0050473A">
              <w:rPr>
                <w:rFonts w:ascii="Times New Roman" w:eastAsia="Times New Roman" w:hAnsi="Times New Roman"/>
                <w:i/>
                <w:iCs/>
                <w:szCs w:val="24"/>
                <w:lang w:eastAsia="de-DE"/>
              </w:rPr>
              <w:t xml:space="preserve"> Law</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Quantum Theory and Measurement</w:t>
            </w:r>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ed</w:t>
            </w:r>
            <w:proofErr w:type="spellEnd"/>
            <w:r w:rsidRPr="0050473A">
              <w:rPr>
                <w:rFonts w:ascii="Times New Roman" w:eastAsia="Times New Roman" w:hAnsi="Times New Roman"/>
                <w:szCs w:val="24"/>
                <w:lang w:eastAsia="de-DE"/>
              </w:rPr>
              <w:t>. J.A. Wheeler &amp; W.H. Zurek. Princeton University Press.</w:t>
            </w:r>
          </w:p>
        </w:tc>
      </w:tr>
      <w:tr w:rsidR="0050473A" w:rsidRPr="0050473A" w14:paraId="1E3BD0A6" w14:textId="77777777" w:rsidTr="0050473A">
        <w:trPr>
          <w:tblCellSpacing w:w="15" w:type="dxa"/>
        </w:trPr>
        <w:tc>
          <w:tcPr>
            <w:tcW w:w="0" w:type="auto"/>
            <w:vAlign w:val="center"/>
            <w:hideMark/>
          </w:tcPr>
          <w:p w14:paraId="0B2D421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[29]</w:t>
            </w:r>
          </w:p>
        </w:tc>
        <w:tc>
          <w:tcPr>
            <w:tcW w:w="0" w:type="auto"/>
            <w:vAlign w:val="center"/>
            <w:hideMark/>
          </w:tcPr>
          <w:p w14:paraId="624C253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Norton, John D. (2007):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as</w:t>
            </w:r>
            <w:proofErr w:type="spellEnd"/>
            <w:r w:rsidRPr="0050473A">
              <w:rPr>
                <w:rFonts w:ascii="Times New Roman" w:eastAsia="Times New Roman" w:hAnsi="Times New Roman"/>
                <w:i/>
                <w:iCs/>
                <w:szCs w:val="24"/>
                <w:lang w:eastAsia="de-DE"/>
              </w:rPr>
              <w:t xml:space="preserve"> Folk Science</w:t>
            </w:r>
            <w:r w:rsidRPr="0050473A">
              <w:rPr>
                <w:rFonts w:ascii="Times New Roman" w:eastAsia="Times New Roman" w:hAnsi="Times New Roman"/>
                <w:szCs w:val="24"/>
                <w:lang w:eastAsia="de-DE"/>
              </w:rPr>
              <w:t xml:space="preserve">. In: Price, H. &amp; Corry, R. (Hrsg.): </w:t>
            </w:r>
            <w:proofErr w:type="spellStart"/>
            <w:r w:rsidRPr="0050473A">
              <w:rPr>
                <w:rFonts w:ascii="Times New Roman" w:eastAsia="Times New Roman" w:hAnsi="Times New Roman"/>
                <w:i/>
                <w:iCs/>
                <w:szCs w:val="24"/>
                <w:lang w:eastAsia="de-DE"/>
              </w:rPr>
              <w:t>Causation</w:t>
            </w:r>
            <w:proofErr w:type="spellEnd"/>
            <w:r w:rsidRPr="0050473A">
              <w:rPr>
                <w:rFonts w:ascii="Times New Roman" w:eastAsia="Times New Roman" w:hAnsi="Times New Roman"/>
                <w:i/>
                <w:iCs/>
                <w:szCs w:val="24"/>
                <w:lang w:eastAsia="de-DE"/>
              </w:rPr>
              <w:t xml:space="preserve">, Physics,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Constitution</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Reality</w:t>
            </w:r>
            <w:r w:rsidRPr="0050473A">
              <w:rPr>
                <w:rFonts w:ascii="Times New Roman" w:eastAsia="Times New Roman" w:hAnsi="Times New Roman"/>
                <w:szCs w:val="24"/>
                <w:lang w:eastAsia="de-DE"/>
              </w:rPr>
              <w:t>. Oxford University Press.</w:t>
            </w:r>
          </w:p>
        </w:tc>
      </w:tr>
      <w:tr w:rsidR="0050473A" w:rsidRPr="0050473A" w14:paraId="2A9BE561" w14:textId="77777777" w:rsidTr="0050473A">
        <w:trPr>
          <w:tblCellSpacing w:w="15" w:type="dxa"/>
        </w:trPr>
        <w:tc>
          <w:tcPr>
            <w:tcW w:w="0" w:type="auto"/>
            <w:vAlign w:val="center"/>
            <w:hideMark/>
          </w:tcPr>
          <w:p w14:paraId="77C02FD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[30]</w:t>
            </w:r>
          </w:p>
        </w:tc>
        <w:tc>
          <w:tcPr>
            <w:tcW w:w="0" w:type="auto"/>
            <w:vAlign w:val="center"/>
            <w:hideMark/>
          </w:tcPr>
          <w:p w14:paraId="22F84C82"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Lanczos</w:t>
            </w:r>
            <w:proofErr w:type="spellEnd"/>
            <w:r w:rsidRPr="0050473A">
              <w:rPr>
                <w:rFonts w:ascii="Times New Roman" w:eastAsia="Times New Roman" w:hAnsi="Times New Roman"/>
                <w:szCs w:val="24"/>
                <w:lang w:eastAsia="de-DE"/>
              </w:rPr>
              <w:t xml:space="preserve">, Cornelius (1986):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Variational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Mechanics</w:t>
            </w:r>
            <w:proofErr w:type="spellEnd"/>
            <w:r w:rsidRPr="0050473A">
              <w:rPr>
                <w:rFonts w:ascii="Times New Roman" w:eastAsia="Times New Roman" w:hAnsi="Times New Roman"/>
                <w:szCs w:val="24"/>
                <w:lang w:eastAsia="de-DE"/>
              </w:rPr>
              <w:t>. Dover.</w:t>
            </w:r>
          </w:p>
        </w:tc>
      </w:tr>
      <w:tr w:rsidR="0050473A" w:rsidRPr="0050473A" w14:paraId="7A10594C" w14:textId="77777777" w:rsidTr="0050473A">
        <w:trPr>
          <w:tblCellSpacing w:w="15" w:type="dxa"/>
        </w:trPr>
        <w:tc>
          <w:tcPr>
            <w:tcW w:w="0" w:type="auto"/>
            <w:vAlign w:val="center"/>
            <w:hideMark/>
          </w:tcPr>
          <w:p w14:paraId="39BB7F06"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[31]</w:t>
            </w:r>
          </w:p>
        </w:tc>
        <w:tc>
          <w:tcPr>
            <w:tcW w:w="0" w:type="auto"/>
            <w:vAlign w:val="center"/>
            <w:hideMark/>
          </w:tcPr>
          <w:p w14:paraId="6904D94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Noether, Emmy (1918): </w:t>
            </w:r>
            <w:r w:rsidRPr="0050473A">
              <w:rPr>
                <w:rFonts w:ascii="Times New Roman" w:eastAsia="Times New Roman" w:hAnsi="Times New Roman"/>
                <w:i/>
                <w:iCs/>
                <w:szCs w:val="24"/>
                <w:lang w:eastAsia="de-DE"/>
              </w:rPr>
              <w:t>Invariante Variationsprobleme</w:t>
            </w:r>
            <w:r w:rsidRPr="0050473A">
              <w:rPr>
                <w:rFonts w:ascii="Times New Roman" w:eastAsia="Times New Roman" w:hAnsi="Times New Roman"/>
                <w:szCs w:val="24"/>
                <w:lang w:eastAsia="de-DE"/>
              </w:rPr>
              <w:t>. Nachrichten der Königlichen Gesellschaft der Wissenschaften zu Göttingen.</w:t>
            </w:r>
          </w:p>
        </w:tc>
      </w:tr>
      <w:tr w:rsidR="0050473A" w:rsidRPr="0050473A" w14:paraId="521E2AAE" w14:textId="77777777" w:rsidTr="0050473A">
        <w:trPr>
          <w:tblCellSpacing w:w="15" w:type="dxa"/>
        </w:trPr>
        <w:tc>
          <w:tcPr>
            <w:tcW w:w="0" w:type="auto"/>
            <w:vAlign w:val="center"/>
            <w:hideMark/>
          </w:tcPr>
          <w:p w14:paraId="603EB70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[32]</w:t>
            </w:r>
          </w:p>
        </w:tc>
        <w:tc>
          <w:tcPr>
            <w:tcW w:w="0" w:type="auto"/>
            <w:vAlign w:val="center"/>
            <w:hideMark/>
          </w:tcPr>
          <w:p w14:paraId="60FFD86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Weinberg, Steven (1995): </w:t>
            </w:r>
            <w:r w:rsidRPr="0050473A">
              <w:rPr>
                <w:rFonts w:ascii="Times New Roman" w:eastAsia="Times New Roman" w:hAnsi="Times New Roman"/>
                <w:i/>
                <w:iCs/>
                <w:szCs w:val="24"/>
                <w:lang w:eastAsia="de-DE"/>
              </w:rPr>
              <w:t xml:space="preserve">The Quantum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Fields</w:t>
            </w:r>
            <w:r w:rsidRPr="0050473A">
              <w:rPr>
                <w:rFonts w:ascii="Times New Roman" w:eastAsia="Times New Roman" w:hAnsi="Times New Roman"/>
                <w:szCs w:val="24"/>
                <w:lang w:eastAsia="de-DE"/>
              </w:rPr>
              <w:t>. Cambridge University Press.</w:t>
            </w:r>
          </w:p>
        </w:tc>
      </w:tr>
      <w:tr w:rsidR="0050473A" w:rsidRPr="0050473A" w14:paraId="31905F2F" w14:textId="77777777" w:rsidTr="0050473A">
        <w:trPr>
          <w:tblCellSpacing w:w="15" w:type="dxa"/>
        </w:trPr>
        <w:tc>
          <w:tcPr>
            <w:tcW w:w="0" w:type="auto"/>
            <w:vAlign w:val="center"/>
            <w:hideMark/>
          </w:tcPr>
          <w:p w14:paraId="6A583CA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[33]</w:t>
            </w:r>
          </w:p>
        </w:tc>
        <w:tc>
          <w:tcPr>
            <w:tcW w:w="0" w:type="auto"/>
            <w:vAlign w:val="center"/>
            <w:hideMark/>
          </w:tcPr>
          <w:p w14:paraId="561CFFDB"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Rovelli</w:t>
            </w:r>
            <w:proofErr w:type="spellEnd"/>
            <w:r w:rsidRPr="0050473A">
              <w:rPr>
                <w:rFonts w:ascii="Times New Roman" w:eastAsia="Times New Roman" w:hAnsi="Times New Roman"/>
                <w:szCs w:val="24"/>
                <w:lang w:eastAsia="de-DE"/>
              </w:rPr>
              <w:t xml:space="preserve">, Carlo (2021): </w:t>
            </w:r>
            <w:r w:rsidRPr="0050473A">
              <w:rPr>
                <w:rFonts w:ascii="Times New Roman" w:eastAsia="Times New Roman" w:hAnsi="Times New Roman"/>
                <w:i/>
                <w:iCs/>
                <w:szCs w:val="24"/>
                <w:lang w:eastAsia="de-DE"/>
              </w:rPr>
              <w:t xml:space="preserve">Helgoland: Making Sense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Quantum Revolution</w:t>
            </w:r>
            <w:r w:rsidRPr="0050473A">
              <w:rPr>
                <w:rFonts w:ascii="Times New Roman" w:eastAsia="Times New Roman" w:hAnsi="Times New Roman"/>
                <w:szCs w:val="24"/>
                <w:lang w:eastAsia="de-DE"/>
              </w:rPr>
              <w:t>. Penguin Books.</w:t>
            </w:r>
          </w:p>
        </w:tc>
      </w:tr>
      <w:tr w:rsidR="0050473A" w:rsidRPr="0050473A" w14:paraId="5416A103" w14:textId="77777777" w:rsidTr="0050473A">
        <w:trPr>
          <w:tblCellSpacing w:w="15" w:type="dxa"/>
        </w:trPr>
        <w:tc>
          <w:tcPr>
            <w:tcW w:w="0" w:type="auto"/>
            <w:vAlign w:val="center"/>
            <w:hideMark/>
          </w:tcPr>
          <w:p w14:paraId="0AA053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[34]</w:t>
            </w:r>
          </w:p>
        </w:tc>
        <w:tc>
          <w:tcPr>
            <w:tcW w:w="0" w:type="auto"/>
            <w:vAlign w:val="center"/>
            <w:hideMark/>
          </w:tcPr>
          <w:p w14:paraId="43BA107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Kauffman</w:t>
            </w:r>
            <w:proofErr w:type="spellEnd"/>
            <w:r w:rsidRPr="0050473A">
              <w:rPr>
                <w:rFonts w:ascii="Times New Roman" w:eastAsia="Times New Roman" w:hAnsi="Times New Roman"/>
                <w:szCs w:val="24"/>
                <w:lang w:eastAsia="de-DE"/>
              </w:rPr>
              <w:t xml:space="preserve">, Stuart A. (1993): </w:t>
            </w:r>
            <w:r w:rsidRPr="0050473A">
              <w:rPr>
                <w:rFonts w:ascii="Times New Roman" w:eastAsia="Times New Roman" w:hAnsi="Times New Roman"/>
                <w:i/>
                <w:iCs/>
                <w:szCs w:val="24"/>
                <w:lang w:eastAsia="de-DE"/>
              </w:rPr>
              <w:t xml:space="preserve">The Origins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77C3B2CE" w14:textId="77777777" w:rsidTr="0050473A">
        <w:trPr>
          <w:tblCellSpacing w:w="15" w:type="dxa"/>
        </w:trPr>
        <w:tc>
          <w:tcPr>
            <w:tcW w:w="0" w:type="auto"/>
            <w:vAlign w:val="center"/>
            <w:hideMark/>
          </w:tcPr>
          <w:p w14:paraId="032BCCA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[35]</w:t>
            </w:r>
          </w:p>
        </w:tc>
        <w:tc>
          <w:tcPr>
            <w:tcW w:w="0" w:type="auto"/>
            <w:vAlign w:val="center"/>
            <w:hideMark/>
          </w:tcPr>
          <w:p w14:paraId="4255FC7A"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Eco, Umberto (1976): </w:t>
            </w:r>
            <w:r w:rsidRPr="0050473A">
              <w:rPr>
                <w:rFonts w:ascii="Times New Roman" w:eastAsia="Times New Roman" w:hAnsi="Times New Roman"/>
                <w:i/>
                <w:iCs/>
                <w:szCs w:val="24"/>
                <w:lang w:eastAsia="de-DE"/>
              </w:rPr>
              <w:t xml:space="preserve">A Theory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Semiotics</w:t>
            </w:r>
            <w:proofErr w:type="spellEnd"/>
            <w:r w:rsidRPr="0050473A">
              <w:rPr>
                <w:rFonts w:ascii="Times New Roman" w:eastAsia="Times New Roman" w:hAnsi="Times New Roman"/>
                <w:szCs w:val="24"/>
                <w:lang w:eastAsia="de-DE"/>
              </w:rPr>
              <w:t>. Indiana University Press.</w:t>
            </w:r>
          </w:p>
        </w:tc>
      </w:tr>
      <w:tr w:rsidR="0050473A" w:rsidRPr="0050473A" w14:paraId="0FC9F348" w14:textId="77777777" w:rsidTr="0050473A">
        <w:trPr>
          <w:tblCellSpacing w:w="15" w:type="dxa"/>
        </w:trPr>
        <w:tc>
          <w:tcPr>
            <w:tcW w:w="0" w:type="auto"/>
            <w:vAlign w:val="center"/>
            <w:hideMark/>
          </w:tcPr>
          <w:p w14:paraId="29AF7B8E"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[36]</w:t>
            </w:r>
          </w:p>
        </w:tc>
        <w:tc>
          <w:tcPr>
            <w:tcW w:w="0" w:type="auto"/>
            <w:vAlign w:val="center"/>
            <w:hideMark/>
          </w:tcPr>
          <w:p w14:paraId="4C23ADA8"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Gärdenfors</w:t>
            </w:r>
            <w:proofErr w:type="spellEnd"/>
            <w:r w:rsidRPr="0050473A">
              <w:rPr>
                <w:rFonts w:ascii="Times New Roman" w:eastAsia="Times New Roman" w:hAnsi="Times New Roman"/>
                <w:szCs w:val="24"/>
                <w:lang w:eastAsia="de-DE"/>
              </w:rPr>
              <w:t xml:space="preserve">, Peter (2000):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Spaces: The </w:t>
            </w:r>
            <w:proofErr w:type="spellStart"/>
            <w:r w:rsidRPr="0050473A">
              <w:rPr>
                <w:rFonts w:ascii="Times New Roman" w:eastAsia="Times New Roman" w:hAnsi="Times New Roman"/>
                <w:i/>
                <w:iCs/>
                <w:szCs w:val="24"/>
                <w:lang w:eastAsia="de-DE"/>
              </w:rPr>
              <w:t>Geometry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Thought</w:t>
            </w:r>
            <w:proofErr w:type="spellEnd"/>
            <w:r w:rsidRPr="0050473A">
              <w:rPr>
                <w:rFonts w:ascii="Times New Roman" w:eastAsia="Times New Roman" w:hAnsi="Times New Roman"/>
                <w:szCs w:val="24"/>
                <w:lang w:eastAsia="de-DE"/>
              </w:rPr>
              <w:t>. MIT Press.</w:t>
            </w:r>
          </w:p>
        </w:tc>
      </w:tr>
      <w:tr w:rsidR="0050473A" w:rsidRPr="0050473A" w14:paraId="2B06F779" w14:textId="77777777" w:rsidTr="0050473A">
        <w:trPr>
          <w:tblCellSpacing w:w="15" w:type="dxa"/>
        </w:trPr>
        <w:tc>
          <w:tcPr>
            <w:tcW w:w="0" w:type="auto"/>
            <w:vAlign w:val="center"/>
            <w:hideMark/>
          </w:tcPr>
          <w:p w14:paraId="5186BE3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[37]</w:t>
            </w:r>
          </w:p>
        </w:tc>
        <w:tc>
          <w:tcPr>
            <w:tcW w:w="0" w:type="auto"/>
            <w:vAlign w:val="center"/>
            <w:hideMark/>
          </w:tcPr>
          <w:p w14:paraId="393B17A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Holland, John H. (1998): </w:t>
            </w:r>
            <w:proofErr w:type="spellStart"/>
            <w:r w:rsidRPr="0050473A">
              <w:rPr>
                <w:rFonts w:ascii="Times New Roman" w:eastAsia="Times New Roman" w:hAnsi="Times New Roman"/>
                <w:i/>
                <w:iCs/>
                <w:szCs w:val="24"/>
                <w:lang w:eastAsia="de-DE"/>
              </w:rPr>
              <w:t>Emergence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From</w:t>
            </w:r>
            <w:proofErr w:type="spellEnd"/>
            <w:r w:rsidRPr="0050473A">
              <w:rPr>
                <w:rFonts w:ascii="Times New Roman" w:eastAsia="Times New Roman" w:hAnsi="Times New Roman"/>
                <w:i/>
                <w:iCs/>
                <w:szCs w:val="24"/>
                <w:lang w:eastAsia="de-DE"/>
              </w:rPr>
              <w:t xml:space="preserve"> Chaos </w:t>
            </w:r>
            <w:proofErr w:type="spellStart"/>
            <w:r w:rsidRPr="0050473A">
              <w:rPr>
                <w:rFonts w:ascii="Times New Roman" w:eastAsia="Times New Roman" w:hAnsi="Times New Roman"/>
                <w:i/>
                <w:iCs/>
                <w:szCs w:val="24"/>
                <w:lang w:eastAsia="de-DE"/>
              </w:rPr>
              <w:t>to</w:t>
            </w:r>
            <w:proofErr w:type="spellEnd"/>
            <w:r w:rsidRPr="0050473A">
              <w:rPr>
                <w:rFonts w:ascii="Times New Roman" w:eastAsia="Times New Roman" w:hAnsi="Times New Roman"/>
                <w:i/>
                <w:iCs/>
                <w:szCs w:val="24"/>
                <w:lang w:eastAsia="de-DE"/>
              </w:rPr>
              <w:t xml:space="preserve"> Order</w:t>
            </w:r>
            <w:r w:rsidRPr="0050473A">
              <w:rPr>
                <w:rFonts w:ascii="Times New Roman" w:eastAsia="Times New Roman" w:hAnsi="Times New Roman"/>
                <w:szCs w:val="24"/>
                <w:lang w:eastAsia="de-DE"/>
              </w:rPr>
              <w:t>. Oxford University Press.</w:t>
            </w:r>
          </w:p>
        </w:tc>
      </w:tr>
      <w:tr w:rsidR="0050473A" w:rsidRPr="0050473A" w14:paraId="45487D07" w14:textId="77777777" w:rsidTr="0050473A">
        <w:trPr>
          <w:tblCellSpacing w:w="15" w:type="dxa"/>
        </w:trPr>
        <w:tc>
          <w:tcPr>
            <w:tcW w:w="0" w:type="auto"/>
            <w:vAlign w:val="center"/>
            <w:hideMark/>
          </w:tcPr>
          <w:p w14:paraId="4550B15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[38]</w:t>
            </w:r>
          </w:p>
        </w:tc>
        <w:tc>
          <w:tcPr>
            <w:tcW w:w="0" w:type="auto"/>
            <w:vAlign w:val="center"/>
            <w:hideMark/>
          </w:tcPr>
          <w:p w14:paraId="43AFAB3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Fauconnier, Gilles / Turner, Mark (2002): </w:t>
            </w:r>
            <w:r w:rsidRPr="0050473A">
              <w:rPr>
                <w:rFonts w:ascii="Times New Roman" w:eastAsia="Times New Roman" w:hAnsi="Times New Roman"/>
                <w:i/>
                <w:iCs/>
                <w:szCs w:val="24"/>
                <w:lang w:eastAsia="de-DE"/>
              </w:rPr>
              <w:t xml:space="preserve">The Way </w:t>
            </w:r>
            <w:proofErr w:type="spellStart"/>
            <w:r w:rsidRPr="0050473A">
              <w:rPr>
                <w:rFonts w:ascii="Times New Roman" w:eastAsia="Times New Roman" w:hAnsi="Times New Roman"/>
                <w:i/>
                <w:iCs/>
                <w:szCs w:val="24"/>
                <w:lang w:eastAsia="de-DE"/>
              </w:rPr>
              <w:t>We</w:t>
            </w:r>
            <w:proofErr w:type="spellEnd"/>
            <w:r w:rsidRPr="0050473A">
              <w:rPr>
                <w:rFonts w:ascii="Times New Roman" w:eastAsia="Times New Roman" w:hAnsi="Times New Roman"/>
                <w:i/>
                <w:iCs/>
                <w:szCs w:val="24"/>
                <w:lang w:eastAsia="de-DE"/>
              </w:rPr>
              <w:t xml:space="preserve"> Think: </w:t>
            </w:r>
            <w:proofErr w:type="spellStart"/>
            <w:r w:rsidRPr="0050473A">
              <w:rPr>
                <w:rFonts w:ascii="Times New Roman" w:eastAsia="Times New Roman" w:hAnsi="Times New Roman"/>
                <w:i/>
                <w:iCs/>
                <w:szCs w:val="24"/>
                <w:lang w:eastAsia="de-DE"/>
              </w:rPr>
              <w:t>Conceptual</w:t>
            </w:r>
            <w:proofErr w:type="spellEnd"/>
            <w:r w:rsidRPr="0050473A">
              <w:rPr>
                <w:rFonts w:ascii="Times New Roman" w:eastAsia="Times New Roman" w:hAnsi="Times New Roman"/>
                <w:i/>
                <w:iCs/>
                <w:szCs w:val="24"/>
                <w:lang w:eastAsia="de-DE"/>
              </w:rPr>
              <w:t xml:space="preserve"> Blending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Mind’s</w:t>
            </w:r>
            <w:proofErr w:type="spellEnd"/>
            <w:r w:rsidRPr="0050473A">
              <w:rPr>
                <w:rFonts w:ascii="Times New Roman" w:eastAsia="Times New Roman" w:hAnsi="Times New Roman"/>
                <w:i/>
                <w:iCs/>
                <w:szCs w:val="24"/>
                <w:lang w:eastAsia="de-DE"/>
              </w:rPr>
              <w:t xml:space="preserve"> Hidden </w:t>
            </w:r>
            <w:proofErr w:type="spellStart"/>
            <w:r w:rsidRPr="0050473A">
              <w:rPr>
                <w:rFonts w:ascii="Times New Roman" w:eastAsia="Times New Roman" w:hAnsi="Times New Roman"/>
                <w:i/>
                <w:iCs/>
                <w:szCs w:val="24"/>
                <w:lang w:eastAsia="de-DE"/>
              </w:rPr>
              <w:t>Complexities</w:t>
            </w:r>
            <w:proofErr w:type="spellEnd"/>
            <w:r w:rsidRPr="0050473A">
              <w:rPr>
                <w:rFonts w:ascii="Times New Roman" w:eastAsia="Times New Roman" w:hAnsi="Times New Roman"/>
                <w:szCs w:val="24"/>
                <w:lang w:eastAsia="de-DE"/>
              </w:rPr>
              <w:t>. Basic Books.</w:t>
            </w:r>
          </w:p>
        </w:tc>
      </w:tr>
      <w:tr w:rsidR="0050473A" w:rsidRPr="0050473A" w14:paraId="34D1EBB2" w14:textId="77777777" w:rsidTr="0050473A">
        <w:trPr>
          <w:tblCellSpacing w:w="15" w:type="dxa"/>
        </w:trPr>
        <w:tc>
          <w:tcPr>
            <w:tcW w:w="0" w:type="auto"/>
            <w:vAlign w:val="center"/>
            <w:hideMark/>
          </w:tcPr>
          <w:p w14:paraId="08F14EC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[39]</w:t>
            </w:r>
          </w:p>
        </w:tc>
        <w:tc>
          <w:tcPr>
            <w:tcW w:w="0" w:type="auto"/>
            <w:vAlign w:val="center"/>
            <w:hideMark/>
          </w:tcPr>
          <w:p w14:paraId="2C68354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Reckwitz, Andreas (2008): </w:t>
            </w:r>
            <w:r w:rsidRPr="0050473A">
              <w:rPr>
                <w:rFonts w:ascii="Times New Roman" w:eastAsia="Times New Roman" w:hAnsi="Times New Roman"/>
                <w:i/>
                <w:iCs/>
                <w:szCs w:val="24"/>
                <w:lang w:eastAsia="de-DE"/>
              </w:rPr>
              <w:t>Kulturelle Praktiken: Zur Theorie des sozialen Handelns</w:t>
            </w:r>
            <w:r w:rsidRPr="0050473A">
              <w:rPr>
                <w:rFonts w:ascii="Times New Roman" w:eastAsia="Times New Roman" w:hAnsi="Times New Roman"/>
                <w:szCs w:val="24"/>
                <w:lang w:eastAsia="de-DE"/>
              </w:rPr>
              <w:t>. Suhrkamp.</w:t>
            </w:r>
          </w:p>
        </w:tc>
      </w:tr>
      <w:tr w:rsidR="0050473A" w:rsidRPr="0050473A" w14:paraId="6E78538D" w14:textId="77777777" w:rsidTr="0050473A">
        <w:trPr>
          <w:tblCellSpacing w:w="15" w:type="dxa"/>
        </w:trPr>
        <w:tc>
          <w:tcPr>
            <w:tcW w:w="0" w:type="auto"/>
            <w:vAlign w:val="center"/>
            <w:hideMark/>
          </w:tcPr>
          <w:p w14:paraId="744BD6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[40]</w:t>
            </w:r>
          </w:p>
        </w:tc>
        <w:tc>
          <w:tcPr>
            <w:tcW w:w="0" w:type="auto"/>
            <w:vAlign w:val="center"/>
            <w:hideMark/>
          </w:tcPr>
          <w:p w14:paraId="1C7FD0C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Krippendorff, Klaus (2009): </w:t>
            </w:r>
            <w:proofErr w:type="spellStart"/>
            <w:r w:rsidRPr="0050473A">
              <w:rPr>
                <w:rFonts w:ascii="Times New Roman" w:eastAsia="Times New Roman" w:hAnsi="Times New Roman"/>
                <w:i/>
                <w:iCs/>
                <w:szCs w:val="24"/>
                <w:lang w:eastAsia="de-DE"/>
              </w:rPr>
              <w:t>Meaning</w:t>
            </w:r>
            <w:proofErr w:type="spellEnd"/>
            <w:r w:rsidRPr="0050473A">
              <w:rPr>
                <w:rFonts w:ascii="Times New Roman" w:eastAsia="Times New Roman" w:hAnsi="Times New Roman"/>
                <w:i/>
                <w:iCs/>
                <w:szCs w:val="24"/>
                <w:lang w:eastAsia="de-DE"/>
              </w:rPr>
              <w:t xml:space="preserve"> in </w:t>
            </w:r>
            <w:proofErr w:type="spellStart"/>
            <w:r w:rsidRPr="0050473A">
              <w:rPr>
                <w:rFonts w:ascii="Times New Roman" w:eastAsia="Times New Roman" w:hAnsi="Times New Roman"/>
                <w:i/>
                <w:iCs/>
                <w:szCs w:val="24"/>
                <w:lang w:eastAsia="de-DE"/>
              </w:rPr>
              <w:t>Cybernetics</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Information, Communication &amp; Society</w:t>
            </w:r>
            <w:r w:rsidRPr="0050473A">
              <w:rPr>
                <w:rFonts w:ascii="Times New Roman" w:eastAsia="Times New Roman" w:hAnsi="Times New Roman"/>
                <w:szCs w:val="24"/>
                <w:lang w:eastAsia="de-DE"/>
              </w:rPr>
              <w:t>, 12(3), 317–333.</w:t>
            </w:r>
          </w:p>
        </w:tc>
      </w:tr>
      <w:tr w:rsidR="0050473A" w:rsidRPr="0050473A" w14:paraId="6045429E" w14:textId="77777777" w:rsidTr="0050473A">
        <w:trPr>
          <w:tblCellSpacing w:w="15" w:type="dxa"/>
        </w:trPr>
        <w:tc>
          <w:tcPr>
            <w:tcW w:w="0" w:type="auto"/>
            <w:vAlign w:val="center"/>
            <w:hideMark/>
          </w:tcPr>
          <w:p w14:paraId="192A477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[41]</w:t>
            </w:r>
          </w:p>
        </w:tc>
        <w:tc>
          <w:tcPr>
            <w:tcW w:w="0" w:type="auto"/>
            <w:vAlign w:val="center"/>
            <w:hideMark/>
          </w:tcPr>
          <w:p w14:paraId="0603F11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Lévi-</w:t>
            </w:r>
            <w:proofErr w:type="spellStart"/>
            <w:r w:rsidRPr="0050473A">
              <w:rPr>
                <w:rFonts w:ascii="Times New Roman" w:eastAsia="Times New Roman" w:hAnsi="Times New Roman"/>
                <w:szCs w:val="24"/>
                <w:lang w:eastAsia="de-DE"/>
              </w:rPr>
              <w:t>Strauss</w:t>
            </w:r>
            <w:proofErr w:type="spellEnd"/>
            <w:r w:rsidRPr="0050473A">
              <w:rPr>
                <w:rFonts w:ascii="Times New Roman" w:eastAsia="Times New Roman" w:hAnsi="Times New Roman"/>
                <w:szCs w:val="24"/>
                <w:lang w:eastAsia="de-DE"/>
              </w:rPr>
              <w:t xml:space="preserve">, Claude (1963): </w:t>
            </w:r>
            <w:proofErr w:type="spellStart"/>
            <w:r w:rsidRPr="0050473A">
              <w:rPr>
                <w:rFonts w:ascii="Times New Roman" w:eastAsia="Times New Roman" w:hAnsi="Times New Roman"/>
                <w:i/>
                <w:iCs/>
                <w:szCs w:val="24"/>
                <w:lang w:eastAsia="de-DE"/>
              </w:rPr>
              <w:t>Structural</w:t>
            </w:r>
            <w:proofErr w:type="spellEnd"/>
            <w:r w:rsidRPr="0050473A">
              <w:rPr>
                <w:rFonts w:ascii="Times New Roman" w:eastAsia="Times New Roman" w:hAnsi="Times New Roman"/>
                <w:i/>
                <w:iCs/>
                <w:szCs w:val="24"/>
                <w:lang w:eastAsia="de-DE"/>
              </w:rPr>
              <w:t xml:space="preserve"> Anthropology</w:t>
            </w:r>
            <w:r w:rsidRPr="0050473A">
              <w:rPr>
                <w:rFonts w:ascii="Times New Roman" w:eastAsia="Times New Roman" w:hAnsi="Times New Roman"/>
                <w:szCs w:val="24"/>
                <w:lang w:eastAsia="de-DE"/>
              </w:rPr>
              <w:t>. Basic Books.</w:t>
            </w:r>
          </w:p>
        </w:tc>
      </w:tr>
      <w:tr w:rsidR="0050473A" w:rsidRPr="0050473A" w14:paraId="7DD756DE" w14:textId="77777777" w:rsidTr="0050473A">
        <w:trPr>
          <w:tblCellSpacing w:w="15" w:type="dxa"/>
        </w:trPr>
        <w:tc>
          <w:tcPr>
            <w:tcW w:w="0" w:type="auto"/>
            <w:vAlign w:val="center"/>
            <w:hideMark/>
          </w:tcPr>
          <w:p w14:paraId="5C198ED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[42]</w:t>
            </w:r>
          </w:p>
        </w:tc>
        <w:tc>
          <w:tcPr>
            <w:tcW w:w="0" w:type="auto"/>
            <w:vAlign w:val="center"/>
            <w:hideMark/>
          </w:tcPr>
          <w:p w14:paraId="5B8AFB4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Foerster, Heinz von (1981): </w:t>
            </w:r>
            <w:proofErr w:type="spellStart"/>
            <w:r w:rsidRPr="0050473A">
              <w:rPr>
                <w:rFonts w:ascii="Times New Roman" w:eastAsia="Times New Roman" w:hAnsi="Times New Roman"/>
                <w:i/>
                <w:iCs/>
                <w:szCs w:val="24"/>
                <w:lang w:eastAsia="de-DE"/>
              </w:rPr>
              <w:t>Observing</w:t>
            </w:r>
            <w:proofErr w:type="spellEnd"/>
            <w:r w:rsidRPr="0050473A">
              <w:rPr>
                <w:rFonts w:ascii="Times New Roman" w:eastAsia="Times New Roman" w:hAnsi="Times New Roman"/>
                <w:i/>
                <w:iCs/>
                <w:szCs w:val="24"/>
                <w:lang w:eastAsia="de-DE"/>
              </w:rPr>
              <w:t xml:space="preserve"> Systems</w:t>
            </w:r>
            <w:r w:rsidRPr="0050473A">
              <w:rPr>
                <w:rFonts w:ascii="Times New Roman" w:eastAsia="Times New Roman" w:hAnsi="Times New Roman"/>
                <w:szCs w:val="24"/>
                <w:lang w:eastAsia="de-DE"/>
              </w:rPr>
              <w:t>. Intersystems Publications.</w:t>
            </w:r>
          </w:p>
        </w:tc>
      </w:tr>
      <w:tr w:rsidR="0050473A" w:rsidRPr="0050473A" w14:paraId="2910B731" w14:textId="77777777" w:rsidTr="0050473A">
        <w:trPr>
          <w:tblCellSpacing w:w="15" w:type="dxa"/>
        </w:trPr>
        <w:tc>
          <w:tcPr>
            <w:tcW w:w="0" w:type="auto"/>
            <w:vAlign w:val="center"/>
            <w:hideMark/>
          </w:tcPr>
          <w:p w14:paraId="492C6EB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[43]</w:t>
            </w:r>
          </w:p>
        </w:tc>
        <w:tc>
          <w:tcPr>
            <w:tcW w:w="0" w:type="auto"/>
            <w:vAlign w:val="center"/>
            <w:hideMark/>
          </w:tcPr>
          <w:p w14:paraId="489F79CE"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Bratman</w:t>
            </w:r>
            <w:proofErr w:type="spellEnd"/>
            <w:r w:rsidRPr="0050473A">
              <w:rPr>
                <w:rFonts w:ascii="Times New Roman" w:eastAsia="Times New Roman" w:hAnsi="Times New Roman"/>
                <w:szCs w:val="24"/>
                <w:lang w:eastAsia="de-DE"/>
              </w:rPr>
              <w:t xml:space="preserve">, Michael (1992): </w:t>
            </w:r>
            <w:proofErr w:type="spellStart"/>
            <w:r w:rsidRPr="0050473A">
              <w:rPr>
                <w:rFonts w:ascii="Times New Roman" w:eastAsia="Times New Roman" w:hAnsi="Times New Roman"/>
                <w:i/>
                <w:iCs/>
                <w:szCs w:val="24"/>
                <w:lang w:eastAsia="de-DE"/>
              </w:rPr>
              <w:t>Planning</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Stability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Intention</w:t>
            </w:r>
            <w:r w:rsidRPr="0050473A">
              <w:rPr>
                <w:rFonts w:ascii="Times New Roman" w:eastAsia="Times New Roman" w:hAnsi="Times New Roman"/>
                <w:szCs w:val="24"/>
                <w:lang w:eastAsia="de-DE"/>
              </w:rPr>
              <w:t xml:space="preserve">. In: </w:t>
            </w:r>
            <w:proofErr w:type="spellStart"/>
            <w:r w:rsidRPr="0050473A">
              <w:rPr>
                <w:rFonts w:ascii="Times New Roman" w:eastAsia="Times New Roman" w:hAnsi="Times New Roman"/>
                <w:i/>
                <w:iCs/>
                <w:szCs w:val="24"/>
                <w:lang w:eastAsia="de-DE"/>
              </w:rPr>
              <w:t>Mind</w:t>
            </w:r>
            <w:proofErr w:type="spellEnd"/>
            <w:r w:rsidRPr="0050473A">
              <w:rPr>
                <w:rFonts w:ascii="Times New Roman" w:eastAsia="Times New Roman" w:hAnsi="Times New Roman"/>
                <w:i/>
                <w:iCs/>
                <w:szCs w:val="24"/>
                <w:lang w:eastAsia="de-DE"/>
              </w:rPr>
              <w:t xml:space="preserve"> &amp; Language</w:t>
            </w:r>
            <w:r w:rsidRPr="0050473A">
              <w:rPr>
                <w:rFonts w:ascii="Times New Roman" w:eastAsia="Times New Roman" w:hAnsi="Times New Roman"/>
                <w:szCs w:val="24"/>
                <w:lang w:eastAsia="de-DE"/>
              </w:rPr>
              <w:t>, 7(1), 1–17.</w:t>
            </w:r>
          </w:p>
        </w:tc>
      </w:tr>
      <w:tr w:rsidR="0050473A" w:rsidRPr="0050473A" w14:paraId="0FA291BC" w14:textId="77777777" w:rsidTr="0050473A">
        <w:trPr>
          <w:tblCellSpacing w:w="15" w:type="dxa"/>
        </w:trPr>
        <w:tc>
          <w:tcPr>
            <w:tcW w:w="0" w:type="auto"/>
            <w:vAlign w:val="center"/>
            <w:hideMark/>
          </w:tcPr>
          <w:p w14:paraId="0150A71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[44]</w:t>
            </w:r>
          </w:p>
        </w:tc>
        <w:tc>
          <w:tcPr>
            <w:tcW w:w="0" w:type="auto"/>
            <w:vAlign w:val="center"/>
            <w:hideMark/>
          </w:tcPr>
          <w:p w14:paraId="0E272A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Sfard</w:t>
            </w:r>
            <w:proofErr w:type="spellEnd"/>
            <w:r w:rsidRPr="0050473A">
              <w:rPr>
                <w:rFonts w:ascii="Times New Roman" w:eastAsia="Times New Roman" w:hAnsi="Times New Roman"/>
                <w:szCs w:val="24"/>
                <w:lang w:eastAsia="de-DE"/>
              </w:rPr>
              <w:t xml:space="preserve">, Anna (1998): </w:t>
            </w:r>
            <w:r w:rsidRPr="0050473A">
              <w:rPr>
                <w:rFonts w:ascii="Times New Roman" w:eastAsia="Times New Roman" w:hAnsi="Times New Roman"/>
                <w:i/>
                <w:iCs/>
                <w:szCs w:val="24"/>
                <w:lang w:eastAsia="de-DE"/>
              </w:rPr>
              <w:t xml:space="preserve">On </w:t>
            </w:r>
            <w:proofErr w:type="spellStart"/>
            <w:r w:rsidRPr="0050473A">
              <w:rPr>
                <w:rFonts w:ascii="Times New Roman" w:eastAsia="Times New Roman" w:hAnsi="Times New Roman"/>
                <w:i/>
                <w:iCs/>
                <w:szCs w:val="24"/>
                <w:lang w:eastAsia="de-DE"/>
              </w:rPr>
              <w:t>Two</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Metaphors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Learning and </w:t>
            </w:r>
            <w:proofErr w:type="spellStart"/>
            <w:r w:rsidRPr="0050473A">
              <w:rPr>
                <w:rFonts w:ascii="Times New Roman" w:eastAsia="Times New Roman" w:hAnsi="Times New Roman"/>
                <w:i/>
                <w:iCs/>
                <w:szCs w:val="24"/>
                <w:lang w:eastAsia="de-DE"/>
              </w:rPr>
              <w:t>the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Dangers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Choosing</w:t>
            </w:r>
            <w:proofErr w:type="spellEnd"/>
            <w:r w:rsidRPr="0050473A">
              <w:rPr>
                <w:rFonts w:ascii="Times New Roman" w:eastAsia="Times New Roman" w:hAnsi="Times New Roman"/>
                <w:i/>
                <w:iCs/>
                <w:szCs w:val="24"/>
                <w:lang w:eastAsia="de-DE"/>
              </w:rPr>
              <w:t xml:space="preserve"> Just </w:t>
            </w:r>
            <w:proofErr w:type="spellStart"/>
            <w:r w:rsidRPr="0050473A">
              <w:rPr>
                <w:rFonts w:ascii="Times New Roman" w:eastAsia="Times New Roman" w:hAnsi="Times New Roman"/>
                <w:i/>
                <w:iCs/>
                <w:szCs w:val="24"/>
                <w:lang w:eastAsia="de-DE"/>
              </w:rPr>
              <w:t>One</w:t>
            </w:r>
            <w:proofErr w:type="spellEnd"/>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Educational Researcher</w:t>
            </w:r>
            <w:r w:rsidRPr="0050473A">
              <w:rPr>
                <w:rFonts w:ascii="Times New Roman" w:eastAsia="Times New Roman" w:hAnsi="Times New Roman"/>
                <w:szCs w:val="24"/>
                <w:lang w:eastAsia="de-DE"/>
              </w:rPr>
              <w:t>, 27(2), 4–13.</w:t>
            </w:r>
          </w:p>
        </w:tc>
      </w:tr>
      <w:tr w:rsidR="0050473A" w:rsidRPr="0050473A" w14:paraId="00F56004" w14:textId="77777777" w:rsidTr="0050473A">
        <w:trPr>
          <w:tblCellSpacing w:w="15" w:type="dxa"/>
        </w:trPr>
        <w:tc>
          <w:tcPr>
            <w:tcW w:w="0" w:type="auto"/>
            <w:vAlign w:val="center"/>
            <w:hideMark/>
          </w:tcPr>
          <w:p w14:paraId="6ABD974C"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[45]</w:t>
            </w:r>
          </w:p>
        </w:tc>
        <w:tc>
          <w:tcPr>
            <w:tcW w:w="0" w:type="auto"/>
            <w:vAlign w:val="center"/>
            <w:hideMark/>
          </w:tcPr>
          <w:p w14:paraId="0662376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Kuhn, Thomas S. (1962):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Structure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Scientific </w:t>
            </w:r>
            <w:proofErr w:type="spellStart"/>
            <w:r w:rsidRPr="0050473A">
              <w:rPr>
                <w:rFonts w:ascii="Times New Roman" w:eastAsia="Times New Roman" w:hAnsi="Times New Roman"/>
                <w:i/>
                <w:iCs/>
                <w:szCs w:val="24"/>
                <w:lang w:eastAsia="de-DE"/>
              </w:rPr>
              <w:t>Revolutions</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54929C3B" w14:textId="77777777" w:rsidTr="0050473A">
        <w:trPr>
          <w:tblCellSpacing w:w="15" w:type="dxa"/>
        </w:trPr>
        <w:tc>
          <w:tcPr>
            <w:tcW w:w="0" w:type="auto"/>
            <w:vAlign w:val="center"/>
            <w:hideMark/>
          </w:tcPr>
          <w:p w14:paraId="60711FE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[46]</w:t>
            </w:r>
          </w:p>
        </w:tc>
        <w:tc>
          <w:tcPr>
            <w:tcW w:w="0" w:type="auto"/>
            <w:vAlign w:val="center"/>
            <w:hideMark/>
          </w:tcPr>
          <w:p w14:paraId="6EE14EA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Geertz, Clifford (1973): </w:t>
            </w:r>
            <w:r w:rsidRPr="0050473A">
              <w:rPr>
                <w:rFonts w:ascii="Times New Roman" w:eastAsia="Times New Roman" w:hAnsi="Times New Roman"/>
                <w:i/>
                <w:iCs/>
                <w:szCs w:val="24"/>
                <w:lang w:eastAsia="de-DE"/>
              </w:rPr>
              <w:t xml:space="preserve">The Interpretation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Cultures</w:t>
            </w:r>
            <w:r w:rsidRPr="0050473A">
              <w:rPr>
                <w:rFonts w:ascii="Times New Roman" w:eastAsia="Times New Roman" w:hAnsi="Times New Roman"/>
                <w:szCs w:val="24"/>
                <w:lang w:eastAsia="de-DE"/>
              </w:rPr>
              <w:t>. Basic Books.</w:t>
            </w:r>
          </w:p>
        </w:tc>
      </w:tr>
      <w:tr w:rsidR="0050473A" w:rsidRPr="0050473A" w14:paraId="7DFFCAA4" w14:textId="77777777" w:rsidTr="0050473A">
        <w:trPr>
          <w:tblCellSpacing w:w="15" w:type="dxa"/>
        </w:trPr>
        <w:tc>
          <w:tcPr>
            <w:tcW w:w="0" w:type="auto"/>
            <w:vAlign w:val="center"/>
            <w:hideMark/>
          </w:tcPr>
          <w:p w14:paraId="1780552F"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[47]</w:t>
            </w:r>
          </w:p>
        </w:tc>
        <w:tc>
          <w:tcPr>
            <w:tcW w:w="0" w:type="auto"/>
            <w:vAlign w:val="center"/>
            <w:hideMark/>
          </w:tcPr>
          <w:p w14:paraId="3150A612"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Luhmann, Niklas (1997): </w:t>
            </w:r>
            <w:r w:rsidRPr="0050473A">
              <w:rPr>
                <w:rFonts w:ascii="Times New Roman" w:eastAsia="Times New Roman" w:hAnsi="Times New Roman"/>
                <w:i/>
                <w:iCs/>
                <w:szCs w:val="24"/>
                <w:lang w:eastAsia="de-DE"/>
              </w:rPr>
              <w:t>Die Gesellschaft der Gesellschaft</w:t>
            </w:r>
            <w:r w:rsidRPr="0050473A">
              <w:rPr>
                <w:rFonts w:ascii="Times New Roman" w:eastAsia="Times New Roman" w:hAnsi="Times New Roman"/>
                <w:szCs w:val="24"/>
                <w:lang w:eastAsia="de-DE"/>
              </w:rPr>
              <w:t>. Suhrkamp.</w:t>
            </w:r>
          </w:p>
        </w:tc>
      </w:tr>
      <w:tr w:rsidR="0050473A" w:rsidRPr="0050473A" w14:paraId="04217CEB" w14:textId="77777777" w:rsidTr="0050473A">
        <w:trPr>
          <w:tblCellSpacing w:w="15" w:type="dxa"/>
        </w:trPr>
        <w:tc>
          <w:tcPr>
            <w:tcW w:w="0" w:type="auto"/>
            <w:vAlign w:val="center"/>
            <w:hideMark/>
          </w:tcPr>
          <w:p w14:paraId="590DE81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[48]</w:t>
            </w:r>
          </w:p>
        </w:tc>
        <w:tc>
          <w:tcPr>
            <w:tcW w:w="0" w:type="auto"/>
            <w:vAlign w:val="center"/>
            <w:hideMark/>
          </w:tcPr>
          <w:p w14:paraId="058CC300"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Arthur, W. Brian (2009): </w:t>
            </w:r>
            <w:r w:rsidRPr="0050473A">
              <w:rPr>
                <w:rFonts w:ascii="Times New Roman" w:eastAsia="Times New Roman" w:hAnsi="Times New Roman"/>
                <w:i/>
                <w:iCs/>
                <w:szCs w:val="24"/>
                <w:lang w:eastAsia="de-DE"/>
              </w:rPr>
              <w:t xml:space="preserve">The Nature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 </w:t>
            </w:r>
            <w:proofErr w:type="spellStart"/>
            <w:r w:rsidRPr="0050473A">
              <w:rPr>
                <w:rFonts w:ascii="Times New Roman" w:eastAsia="Times New Roman" w:hAnsi="Times New Roman"/>
                <w:i/>
                <w:iCs/>
                <w:szCs w:val="24"/>
                <w:lang w:eastAsia="de-DE"/>
              </w:rPr>
              <w:t>What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Is</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How</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Evolves</w:t>
            </w:r>
            <w:proofErr w:type="spellEnd"/>
            <w:r w:rsidRPr="0050473A">
              <w:rPr>
                <w:rFonts w:ascii="Times New Roman" w:eastAsia="Times New Roman" w:hAnsi="Times New Roman"/>
                <w:szCs w:val="24"/>
                <w:lang w:eastAsia="de-DE"/>
              </w:rPr>
              <w:t>. Free Press.</w:t>
            </w:r>
          </w:p>
        </w:tc>
      </w:tr>
      <w:tr w:rsidR="0050473A" w:rsidRPr="0050473A" w14:paraId="249D8B49" w14:textId="77777777" w:rsidTr="0050473A">
        <w:trPr>
          <w:tblCellSpacing w:w="15" w:type="dxa"/>
        </w:trPr>
        <w:tc>
          <w:tcPr>
            <w:tcW w:w="0" w:type="auto"/>
            <w:vAlign w:val="center"/>
            <w:hideMark/>
          </w:tcPr>
          <w:p w14:paraId="13C1F367"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[49]</w:t>
            </w:r>
          </w:p>
        </w:tc>
        <w:tc>
          <w:tcPr>
            <w:tcW w:w="0" w:type="auto"/>
            <w:vAlign w:val="center"/>
            <w:hideMark/>
          </w:tcPr>
          <w:p w14:paraId="12A37A7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Gabora</w:t>
            </w:r>
            <w:proofErr w:type="spellEnd"/>
            <w:r w:rsidRPr="0050473A">
              <w:rPr>
                <w:rFonts w:ascii="Times New Roman" w:eastAsia="Times New Roman" w:hAnsi="Times New Roman"/>
                <w:szCs w:val="24"/>
                <w:lang w:eastAsia="de-DE"/>
              </w:rPr>
              <w:t xml:space="preserve">, Liane (2006): </w:t>
            </w:r>
            <w:r w:rsidRPr="0050473A">
              <w:rPr>
                <w:rFonts w:ascii="Times New Roman" w:eastAsia="Times New Roman" w:hAnsi="Times New Roman"/>
                <w:i/>
                <w:iCs/>
                <w:szCs w:val="24"/>
                <w:lang w:eastAsia="de-DE"/>
              </w:rPr>
              <w:t xml:space="preserve">The </w:t>
            </w:r>
            <w:proofErr w:type="spellStart"/>
            <w:r w:rsidRPr="0050473A">
              <w:rPr>
                <w:rFonts w:ascii="Times New Roman" w:eastAsia="Times New Roman" w:hAnsi="Times New Roman"/>
                <w:i/>
                <w:iCs/>
                <w:szCs w:val="24"/>
                <w:lang w:eastAsia="de-DE"/>
              </w:rPr>
              <w:t>fate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evolutionary</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i/>
                <w:iCs/>
                <w:szCs w:val="24"/>
                <w:lang w:eastAsia="de-DE"/>
              </w:rPr>
              <w:t xml:space="preserve">: Survival </w:t>
            </w:r>
            <w:proofErr w:type="spellStart"/>
            <w:r w:rsidRPr="0050473A">
              <w:rPr>
                <w:rFonts w:ascii="Times New Roman" w:eastAsia="Times New Roman" w:hAnsi="Times New Roman"/>
                <w:i/>
                <w:iCs/>
                <w:szCs w:val="24"/>
                <w:lang w:eastAsia="de-DE"/>
              </w:rPr>
              <w:t>or</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extinction</w:t>
            </w:r>
            <w:proofErr w:type="spellEnd"/>
            <w:r w:rsidRPr="0050473A">
              <w:rPr>
                <w:rFonts w:ascii="Times New Roman" w:eastAsia="Times New Roman" w:hAnsi="Times New Roman"/>
                <w:i/>
                <w:iCs/>
                <w:szCs w:val="24"/>
                <w:lang w:eastAsia="de-DE"/>
              </w:rPr>
              <w:t>?</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 xml:space="preserve">World </w:t>
            </w:r>
            <w:proofErr w:type="spellStart"/>
            <w:r w:rsidRPr="0050473A">
              <w:rPr>
                <w:rFonts w:ascii="Times New Roman" w:eastAsia="Times New Roman" w:hAnsi="Times New Roman"/>
                <w:i/>
                <w:iCs/>
                <w:szCs w:val="24"/>
                <w:lang w:eastAsia="de-DE"/>
              </w:rPr>
              <w:t>Archaeology</w:t>
            </w:r>
            <w:proofErr w:type="spellEnd"/>
            <w:r w:rsidRPr="0050473A">
              <w:rPr>
                <w:rFonts w:ascii="Times New Roman" w:eastAsia="Times New Roman" w:hAnsi="Times New Roman"/>
                <w:szCs w:val="24"/>
                <w:lang w:eastAsia="de-DE"/>
              </w:rPr>
              <w:t>, 38(4), 690–696.</w:t>
            </w:r>
          </w:p>
        </w:tc>
      </w:tr>
      <w:tr w:rsidR="0050473A" w:rsidRPr="0050473A" w14:paraId="7752D233" w14:textId="77777777" w:rsidTr="0050473A">
        <w:trPr>
          <w:tblCellSpacing w:w="15" w:type="dxa"/>
        </w:trPr>
        <w:tc>
          <w:tcPr>
            <w:tcW w:w="0" w:type="auto"/>
            <w:vAlign w:val="center"/>
            <w:hideMark/>
          </w:tcPr>
          <w:p w14:paraId="4AF52C8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[50]</w:t>
            </w:r>
          </w:p>
        </w:tc>
        <w:tc>
          <w:tcPr>
            <w:tcW w:w="0" w:type="auto"/>
            <w:vAlign w:val="center"/>
            <w:hideMark/>
          </w:tcPr>
          <w:p w14:paraId="3AB971E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Nissen, Matthias (2019): </w:t>
            </w:r>
            <w:r w:rsidRPr="0050473A">
              <w:rPr>
                <w:rFonts w:ascii="Times New Roman" w:eastAsia="Times New Roman" w:hAnsi="Times New Roman"/>
                <w:i/>
                <w:iCs/>
                <w:szCs w:val="24"/>
                <w:lang w:eastAsia="de-DE"/>
              </w:rPr>
              <w:t>Ko-Evolutionärer Wandel zwischen Technik, Organisation und Kultur</w:t>
            </w:r>
            <w:r w:rsidRPr="0050473A">
              <w:rPr>
                <w:rFonts w:ascii="Times New Roman" w:eastAsia="Times New Roman" w:hAnsi="Times New Roman"/>
                <w:szCs w:val="24"/>
                <w:lang w:eastAsia="de-DE"/>
              </w:rPr>
              <w:t xml:space="preserve">. In: </w:t>
            </w:r>
            <w:r w:rsidRPr="0050473A">
              <w:rPr>
                <w:rFonts w:ascii="Times New Roman" w:eastAsia="Times New Roman" w:hAnsi="Times New Roman"/>
                <w:i/>
                <w:iCs/>
                <w:szCs w:val="24"/>
                <w:lang w:eastAsia="de-DE"/>
              </w:rPr>
              <w:t>Technikfolgenabschätzung – Theorie und Praxis</w:t>
            </w:r>
            <w:r w:rsidRPr="0050473A">
              <w:rPr>
                <w:rFonts w:ascii="Times New Roman" w:eastAsia="Times New Roman" w:hAnsi="Times New Roman"/>
                <w:szCs w:val="24"/>
                <w:lang w:eastAsia="de-DE"/>
              </w:rPr>
              <w:t>, 28(1), 4–10.</w:t>
            </w:r>
          </w:p>
        </w:tc>
      </w:tr>
      <w:tr w:rsidR="0050473A" w:rsidRPr="0050473A" w14:paraId="3B10B011" w14:textId="77777777" w:rsidTr="0050473A">
        <w:trPr>
          <w:tblCellSpacing w:w="15" w:type="dxa"/>
        </w:trPr>
        <w:tc>
          <w:tcPr>
            <w:tcW w:w="0" w:type="auto"/>
            <w:vAlign w:val="center"/>
            <w:hideMark/>
          </w:tcPr>
          <w:p w14:paraId="3F56EC55"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[51]</w:t>
            </w:r>
          </w:p>
        </w:tc>
        <w:tc>
          <w:tcPr>
            <w:tcW w:w="0" w:type="auto"/>
            <w:vAlign w:val="center"/>
            <w:hideMark/>
          </w:tcPr>
          <w:p w14:paraId="04B551D3"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(2017): </w:t>
            </w:r>
            <w:proofErr w:type="spellStart"/>
            <w:r w:rsidRPr="0050473A">
              <w:rPr>
                <w:rFonts w:ascii="Times New Roman" w:eastAsia="Times New Roman" w:hAnsi="Times New Roman"/>
                <w:i/>
                <w:iCs/>
                <w:szCs w:val="24"/>
                <w:lang w:eastAsia="de-DE"/>
              </w:rPr>
              <w:t>Using</w:t>
            </w:r>
            <w:proofErr w:type="spellEnd"/>
            <w:r w:rsidRPr="0050473A">
              <w:rPr>
                <w:rFonts w:ascii="Times New Roman" w:eastAsia="Times New Roman" w:hAnsi="Times New Roman"/>
                <w:i/>
                <w:iCs/>
                <w:szCs w:val="24"/>
                <w:lang w:eastAsia="de-DE"/>
              </w:rPr>
              <w:t xml:space="preserve"> Words and Things: Language and Philosophy </w:t>
            </w:r>
            <w:proofErr w:type="spellStart"/>
            <w:r w:rsidRPr="0050473A">
              <w:rPr>
                <w:rFonts w:ascii="Times New Roman" w:eastAsia="Times New Roman" w:hAnsi="Times New Roman"/>
                <w:i/>
                <w:iCs/>
                <w:szCs w:val="24"/>
                <w:lang w:eastAsia="de-DE"/>
              </w:rPr>
              <w:t>of</w:t>
            </w:r>
            <w:proofErr w:type="spellEnd"/>
            <w:r w:rsidRPr="0050473A">
              <w:rPr>
                <w:rFonts w:ascii="Times New Roman" w:eastAsia="Times New Roman" w:hAnsi="Times New Roman"/>
                <w:i/>
                <w:iCs/>
                <w:szCs w:val="24"/>
                <w:lang w:eastAsia="de-DE"/>
              </w:rPr>
              <w:t xml:space="preserve"> Technology</w:t>
            </w:r>
            <w:r w:rsidRPr="0050473A">
              <w:rPr>
                <w:rFonts w:ascii="Times New Roman" w:eastAsia="Times New Roman" w:hAnsi="Times New Roman"/>
                <w:szCs w:val="24"/>
                <w:lang w:eastAsia="de-DE"/>
              </w:rPr>
              <w:t>. Routledge.</w:t>
            </w:r>
          </w:p>
        </w:tc>
      </w:tr>
      <w:tr w:rsidR="0050473A" w:rsidRPr="0050473A" w14:paraId="101AC67E" w14:textId="77777777" w:rsidTr="0050473A">
        <w:trPr>
          <w:tblCellSpacing w:w="15" w:type="dxa"/>
        </w:trPr>
        <w:tc>
          <w:tcPr>
            <w:tcW w:w="0" w:type="auto"/>
            <w:vAlign w:val="center"/>
            <w:hideMark/>
          </w:tcPr>
          <w:p w14:paraId="0A3F60A9"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[52]</w:t>
            </w:r>
          </w:p>
        </w:tc>
        <w:tc>
          <w:tcPr>
            <w:tcW w:w="0" w:type="auto"/>
            <w:vAlign w:val="center"/>
            <w:hideMark/>
          </w:tcPr>
          <w:p w14:paraId="3C6BD6C3"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Giere, Ronald (2006): </w:t>
            </w:r>
            <w:r w:rsidRPr="0050473A">
              <w:rPr>
                <w:rFonts w:ascii="Times New Roman" w:eastAsia="Times New Roman" w:hAnsi="Times New Roman"/>
                <w:i/>
                <w:iCs/>
                <w:szCs w:val="24"/>
                <w:lang w:eastAsia="de-DE"/>
              </w:rPr>
              <w:t xml:space="preserve">Scientific </w:t>
            </w:r>
            <w:proofErr w:type="spellStart"/>
            <w:r w:rsidRPr="0050473A">
              <w:rPr>
                <w:rFonts w:ascii="Times New Roman" w:eastAsia="Times New Roman" w:hAnsi="Times New Roman"/>
                <w:i/>
                <w:iCs/>
                <w:szCs w:val="24"/>
                <w:lang w:eastAsia="de-DE"/>
              </w:rPr>
              <w:t>Perspectivism</w:t>
            </w:r>
            <w:proofErr w:type="spellEnd"/>
            <w:r w:rsidRPr="0050473A">
              <w:rPr>
                <w:rFonts w:ascii="Times New Roman" w:eastAsia="Times New Roman" w:hAnsi="Times New Roman"/>
                <w:szCs w:val="24"/>
                <w:lang w:eastAsia="de-DE"/>
              </w:rPr>
              <w:t xml:space="preserve">. University </w:t>
            </w:r>
            <w:proofErr w:type="spellStart"/>
            <w:r w:rsidRPr="0050473A">
              <w:rPr>
                <w:rFonts w:ascii="Times New Roman" w:eastAsia="Times New Roman" w:hAnsi="Times New Roman"/>
                <w:szCs w:val="24"/>
                <w:lang w:eastAsia="de-DE"/>
              </w:rPr>
              <w:t>of</w:t>
            </w:r>
            <w:proofErr w:type="spellEnd"/>
            <w:r w:rsidRPr="0050473A">
              <w:rPr>
                <w:rFonts w:ascii="Times New Roman" w:eastAsia="Times New Roman" w:hAnsi="Times New Roman"/>
                <w:szCs w:val="24"/>
                <w:lang w:eastAsia="de-DE"/>
              </w:rPr>
              <w:t xml:space="preserve"> Chicago Press.</w:t>
            </w:r>
          </w:p>
        </w:tc>
      </w:tr>
      <w:tr w:rsidR="0050473A" w:rsidRPr="0050473A" w14:paraId="009AA380" w14:textId="77777777" w:rsidTr="0050473A">
        <w:trPr>
          <w:tblCellSpacing w:w="15" w:type="dxa"/>
        </w:trPr>
        <w:tc>
          <w:tcPr>
            <w:tcW w:w="0" w:type="auto"/>
            <w:vAlign w:val="center"/>
            <w:hideMark/>
          </w:tcPr>
          <w:p w14:paraId="6E3D8678"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[53]</w:t>
            </w:r>
          </w:p>
        </w:tc>
        <w:tc>
          <w:tcPr>
            <w:tcW w:w="0" w:type="auto"/>
            <w:vAlign w:val="center"/>
            <w:hideMark/>
          </w:tcPr>
          <w:p w14:paraId="495C9A5C"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et al. (2018): </w:t>
            </w:r>
            <w:r w:rsidRPr="0050473A">
              <w:rPr>
                <w:rFonts w:ascii="Times New Roman" w:eastAsia="Times New Roman" w:hAnsi="Times New Roman"/>
                <w:i/>
                <w:iCs/>
                <w:szCs w:val="24"/>
                <w:lang w:eastAsia="de-DE"/>
              </w:rPr>
              <w:t xml:space="preserve">AI4People – An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Framework </w:t>
            </w:r>
            <w:proofErr w:type="spellStart"/>
            <w:r w:rsidRPr="0050473A">
              <w:rPr>
                <w:rFonts w:ascii="Times New Roman" w:eastAsia="Times New Roman" w:hAnsi="Times New Roman"/>
                <w:i/>
                <w:iCs/>
                <w:szCs w:val="24"/>
                <w:lang w:eastAsia="de-DE"/>
              </w:rPr>
              <w:t>for</w:t>
            </w:r>
            <w:proofErr w:type="spellEnd"/>
            <w:r w:rsidRPr="0050473A">
              <w:rPr>
                <w:rFonts w:ascii="Times New Roman" w:eastAsia="Times New Roman" w:hAnsi="Times New Roman"/>
                <w:i/>
                <w:iCs/>
                <w:szCs w:val="24"/>
                <w:lang w:eastAsia="de-DE"/>
              </w:rPr>
              <w:t xml:space="preserve"> a </w:t>
            </w:r>
            <w:proofErr w:type="spellStart"/>
            <w:r w:rsidRPr="0050473A">
              <w:rPr>
                <w:rFonts w:ascii="Times New Roman" w:eastAsia="Times New Roman" w:hAnsi="Times New Roman"/>
                <w:i/>
                <w:iCs/>
                <w:szCs w:val="24"/>
                <w:lang w:eastAsia="de-DE"/>
              </w:rPr>
              <w:t>Good</w:t>
            </w:r>
            <w:proofErr w:type="spellEnd"/>
            <w:r w:rsidRPr="0050473A">
              <w:rPr>
                <w:rFonts w:ascii="Times New Roman" w:eastAsia="Times New Roman" w:hAnsi="Times New Roman"/>
                <w:i/>
                <w:iCs/>
                <w:szCs w:val="24"/>
                <w:lang w:eastAsia="de-DE"/>
              </w:rPr>
              <w:t xml:space="preserve"> AI Society</w:t>
            </w:r>
            <w:r w:rsidRPr="0050473A">
              <w:rPr>
                <w:rFonts w:ascii="Times New Roman" w:eastAsia="Times New Roman" w:hAnsi="Times New Roman"/>
                <w:szCs w:val="24"/>
                <w:lang w:eastAsia="de-DE"/>
              </w:rPr>
              <w:t>. Minds and Machines, 28(4), 689–707.</w:t>
            </w:r>
          </w:p>
        </w:tc>
      </w:tr>
      <w:tr w:rsidR="0050473A" w:rsidRPr="0050473A" w14:paraId="3AAB0FE6" w14:textId="77777777" w:rsidTr="0050473A">
        <w:trPr>
          <w:tblCellSpacing w:w="15" w:type="dxa"/>
        </w:trPr>
        <w:tc>
          <w:tcPr>
            <w:tcW w:w="0" w:type="auto"/>
            <w:vAlign w:val="center"/>
            <w:hideMark/>
          </w:tcPr>
          <w:p w14:paraId="477F2471"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[54]</w:t>
            </w:r>
          </w:p>
        </w:tc>
        <w:tc>
          <w:tcPr>
            <w:tcW w:w="0" w:type="auto"/>
            <w:vAlign w:val="center"/>
            <w:hideMark/>
          </w:tcPr>
          <w:p w14:paraId="73A5CCB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 xml:space="preserve">Mittelstadt, Brent D. (2019): </w:t>
            </w:r>
            <w:proofErr w:type="spellStart"/>
            <w:r w:rsidRPr="0050473A">
              <w:rPr>
                <w:rFonts w:ascii="Times New Roman" w:eastAsia="Times New Roman" w:hAnsi="Times New Roman"/>
                <w:i/>
                <w:iCs/>
                <w:szCs w:val="24"/>
                <w:lang w:eastAsia="de-DE"/>
              </w:rPr>
              <w:t>Principles</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alone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cannot</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guarantee</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ethical</w:t>
            </w:r>
            <w:proofErr w:type="spellEnd"/>
            <w:r w:rsidRPr="0050473A">
              <w:rPr>
                <w:rFonts w:ascii="Times New Roman" w:eastAsia="Times New Roman" w:hAnsi="Times New Roman"/>
                <w:i/>
                <w:iCs/>
                <w:szCs w:val="24"/>
                <w:lang w:eastAsia="de-DE"/>
              </w:rPr>
              <w:t xml:space="preserve"> AI</w:t>
            </w:r>
            <w:r w:rsidRPr="0050473A">
              <w:rPr>
                <w:rFonts w:ascii="Times New Roman" w:eastAsia="Times New Roman" w:hAnsi="Times New Roman"/>
                <w:szCs w:val="24"/>
                <w:lang w:eastAsia="de-DE"/>
              </w:rPr>
              <w:t xml:space="preserve">. Nature </w:t>
            </w:r>
            <w:proofErr w:type="spellStart"/>
            <w:r w:rsidRPr="0050473A">
              <w:rPr>
                <w:rFonts w:ascii="Times New Roman" w:eastAsia="Times New Roman" w:hAnsi="Times New Roman"/>
                <w:szCs w:val="24"/>
                <w:lang w:eastAsia="de-DE"/>
              </w:rPr>
              <w:t>Machine</w:t>
            </w:r>
            <w:proofErr w:type="spellEnd"/>
            <w:r w:rsidRPr="0050473A">
              <w:rPr>
                <w:rFonts w:ascii="Times New Roman" w:eastAsia="Times New Roman" w:hAnsi="Times New Roman"/>
                <w:szCs w:val="24"/>
                <w:lang w:eastAsia="de-DE"/>
              </w:rPr>
              <w:t xml:space="preserve"> </w:t>
            </w:r>
            <w:proofErr w:type="spellStart"/>
            <w:r w:rsidRPr="0050473A">
              <w:rPr>
                <w:rFonts w:ascii="Times New Roman" w:eastAsia="Times New Roman" w:hAnsi="Times New Roman"/>
                <w:szCs w:val="24"/>
                <w:lang w:eastAsia="de-DE"/>
              </w:rPr>
              <w:t>Intelligence</w:t>
            </w:r>
            <w:proofErr w:type="spellEnd"/>
            <w:r w:rsidRPr="0050473A">
              <w:rPr>
                <w:rFonts w:ascii="Times New Roman" w:eastAsia="Times New Roman" w:hAnsi="Times New Roman"/>
                <w:szCs w:val="24"/>
                <w:lang w:eastAsia="de-DE"/>
              </w:rPr>
              <w:t>, 1, 501–507.</w:t>
            </w:r>
          </w:p>
        </w:tc>
      </w:tr>
      <w:tr w:rsidR="0050473A" w:rsidRPr="0050473A" w14:paraId="044A020E" w14:textId="77777777" w:rsidTr="0050473A">
        <w:trPr>
          <w:tblCellSpacing w:w="15" w:type="dxa"/>
        </w:trPr>
        <w:tc>
          <w:tcPr>
            <w:tcW w:w="0" w:type="auto"/>
            <w:vAlign w:val="center"/>
            <w:hideMark/>
          </w:tcPr>
          <w:p w14:paraId="4F8DC3CB"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[55]</w:t>
            </w:r>
          </w:p>
        </w:tc>
        <w:tc>
          <w:tcPr>
            <w:tcW w:w="0" w:type="auto"/>
            <w:vAlign w:val="center"/>
            <w:hideMark/>
          </w:tcPr>
          <w:p w14:paraId="0C9D2967"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Coeckelbergh</w:t>
            </w:r>
            <w:proofErr w:type="spellEnd"/>
            <w:r w:rsidRPr="0050473A">
              <w:rPr>
                <w:rFonts w:ascii="Times New Roman" w:eastAsia="Times New Roman" w:hAnsi="Times New Roman"/>
                <w:szCs w:val="24"/>
                <w:lang w:eastAsia="de-DE"/>
              </w:rPr>
              <w:t xml:space="preserve">, Mark (2021): </w:t>
            </w:r>
            <w:r w:rsidRPr="0050473A">
              <w:rPr>
                <w:rFonts w:ascii="Times New Roman" w:eastAsia="Times New Roman" w:hAnsi="Times New Roman"/>
                <w:i/>
                <w:iCs/>
                <w:szCs w:val="24"/>
                <w:lang w:eastAsia="de-DE"/>
              </w:rPr>
              <w:t xml:space="preserve">Narrative </w:t>
            </w:r>
            <w:proofErr w:type="spellStart"/>
            <w:r w:rsidRPr="0050473A">
              <w:rPr>
                <w:rFonts w:ascii="Times New Roman" w:eastAsia="Times New Roman" w:hAnsi="Times New Roman"/>
                <w:i/>
                <w:iCs/>
                <w:szCs w:val="24"/>
                <w:lang w:eastAsia="de-DE"/>
              </w:rPr>
              <w:t>responsibility</w:t>
            </w:r>
            <w:proofErr w:type="spellEnd"/>
            <w:r w:rsidRPr="0050473A">
              <w:rPr>
                <w:rFonts w:ascii="Times New Roman" w:eastAsia="Times New Roman" w:hAnsi="Times New Roman"/>
                <w:i/>
                <w:iCs/>
                <w:szCs w:val="24"/>
                <w:lang w:eastAsia="de-DE"/>
              </w:rPr>
              <w:t xml:space="preserve"> and </w:t>
            </w:r>
            <w:proofErr w:type="spellStart"/>
            <w:r w:rsidRPr="0050473A">
              <w:rPr>
                <w:rFonts w:ascii="Times New Roman" w:eastAsia="Times New Roman" w:hAnsi="Times New Roman"/>
                <w:i/>
                <w:iCs/>
                <w:szCs w:val="24"/>
                <w:lang w:eastAsia="de-DE"/>
              </w:rPr>
              <w:t>artificial</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intelligence</w:t>
            </w:r>
            <w:proofErr w:type="spellEnd"/>
            <w:r w:rsidRPr="0050473A">
              <w:rPr>
                <w:rFonts w:ascii="Times New Roman" w:eastAsia="Times New Roman" w:hAnsi="Times New Roman"/>
                <w:szCs w:val="24"/>
                <w:lang w:eastAsia="de-DE"/>
              </w:rPr>
              <w:t>. AI &amp; Society, 36, 623–634.</w:t>
            </w:r>
          </w:p>
        </w:tc>
      </w:tr>
      <w:tr w:rsidR="0050473A" w:rsidRPr="0050473A" w14:paraId="7E48DB41" w14:textId="77777777" w:rsidTr="0050473A">
        <w:trPr>
          <w:tblCellSpacing w:w="15" w:type="dxa"/>
        </w:trPr>
        <w:tc>
          <w:tcPr>
            <w:tcW w:w="0" w:type="auto"/>
            <w:vAlign w:val="center"/>
            <w:hideMark/>
          </w:tcPr>
          <w:p w14:paraId="263D77F4" w14:textId="77777777" w:rsidR="0050473A" w:rsidRPr="0050473A" w:rsidRDefault="0050473A" w:rsidP="0050473A">
            <w:pPr>
              <w:spacing w:after="0" w:line="240" w:lineRule="auto"/>
              <w:rPr>
                <w:rFonts w:ascii="Times New Roman" w:eastAsia="Times New Roman" w:hAnsi="Times New Roman"/>
                <w:szCs w:val="24"/>
                <w:lang w:eastAsia="de-DE"/>
              </w:rPr>
            </w:pPr>
            <w:r w:rsidRPr="0050473A">
              <w:rPr>
                <w:rFonts w:ascii="Times New Roman" w:eastAsia="Times New Roman" w:hAnsi="Times New Roman"/>
                <w:szCs w:val="24"/>
                <w:lang w:eastAsia="de-DE"/>
              </w:rPr>
              <w:t>[56]</w:t>
            </w:r>
          </w:p>
        </w:tc>
        <w:tc>
          <w:tcPr>
            <w:tcW w:w="0" w:type="auto"/>
            <w:vAlign w:val="center"/>
            <w:hideMark/>
          </w:tcPr>
          <w:p w14:paraId="1F2F8D35" w14:textId="77777777" w:rsidR="0050473A" w:rsidRPr="0050473A" w:rsidRDefault="0050473A" w:rsidP="0050473A">
            <w:pPr>
              <w:spacing w:after="0" w:line="240" w:lineRule="auto"/>
              <w:rPr>
                <w:rFonts w:ascii="Times New Roman" w:eastAsia="Times New Roman" w:hAnsi="Times New Roman"/>
                <w:szCs w:val="24"/>
                <w:lang w:eastAsia="de-DE"/>
              </w:rPr>
            </w:pPr>
            <w:proofErr w:type="spellStart"/>
            <w:r w:rsidRPr="0050473A">
              <w:rPr>
                <w:rFonts w:ascii="Times New Roman" w:eastAsia="Times New Roman" w:hAnsi="Times New Roman"/>
                <w:szCs w:val="24"/>
                <w:lang w:eastAsia="de-DE"/>
              </w:rPr>
              <w:t>Mokander</w:t>
            </w:r>
            <w:proofErr w:type="spellEnd"/>
            <w:r w:rsidRPr="0050473A">
              <w:rPr>
                <w:rFonts w:ascii="Times New Roman" w:eastAsia="Times New Roman" w:hAnsi="Times New Roman"/>
                <w:szCs w:val="24"/>
                <w:lang w:eastAsia="de-DE"/>
              </w:rPr>
              <w:t xml:space="preserve">, Jakob / </w:t>
            </w:r>
            <w:proofErr w:type="spellStart"/>
            <w:r w:rsidRPr="0050473A">
              <w:rPr>
                <w:rFonts w:ascii="Times New Roman" w:eastAsia="Times New Roman" w:hAnsi="Times New Roman"/>
                <w:szCs w:val="24"/>
                <w:lang w:eastAsia="de-DE"/>
              </w:rPr>
              <w:t>Floridi</w:t>
            </w:r>
            <w:proofErr w:type="spellEnd"/>
            <w:r w:rsidRPr="0050473A">
              <w:rPr>
                <w:rFonts w:ascii="Times New Roman" w:eastAsia="Times New Roman" w:hAnsi="Times New Roman"/>
                <w:szCs w:val="24"/>
                <w:lang w:eastAsia="de-DE"/>
              </w:rPr>
              <w:t xml:space="preserve">, Luciano (2021): </w:t>
            </w:r>
            <w:proofErr w:type="spellStart"/>
            <w:r w:rsidRPr="0050473A">
              <w:rPr>
                <w:rFonts w:ascii="Times New Roman" w:eastAsia="Times New Roman" w:hAnsi="Times New Roman"/>
                <w:i/>
                <w:iCs/>
                <w:szCs w:val="24"/>
                <w:lang w:eastAsia="de-DE"/>
              </w:rPr>
              <w:t>Ethics-based</w:t>
            </w:r>
            <w:proofErr w:type="spellEnd"/>
            <w:r w:rsidRPr="0050473A">
              <w:rPr>
                <w:rFonts w:ascii="Times New Roman" w:eastAsia="Times New Roman" w:hAnsi="Times New Roman"/>
                <w:i/>
                <w:iCs/>
                <w:szCs w:val="24"/>
                <w:lang w:eastAsia="de-DE"/>
              </w:rPr>
              <w:t xml:space="preserve"> </w:t>
            </w:r>
            <w:proofErr w:type="spellStart"/>
            <w:r w:rsidRPr="0050473A">
              <w:rPr>
                <w:rFonts w:ascii="Times New Roman" w:eastAsia="Times New Roman" w:hAnsi="Times New Roman"/>
                <w:i/>
                <w:iCs/>
                <w:szCs w:val="24"/>
                <w:lang w:eastAsia="de-DE"/>
              </w:rPr>
              <w:t>audit</w:t>
            </w:r>
            <w:proofErr w:type="spellEnd"/>
          </w:p>
        </w:tc>
      </w:tr>
    </w:tbl>
    <w:p w14:paraId="7B21A9F4" w14:textId="77777777" w:rsidR="00106528" w:rsidRPr="00121132" w:rsidRDefault="00106528" w:rsidP="00121132">
      <w:pPr>
        <w:rPr>
          <w:rStyle w:val="IntensiveHervorhebung"/>
          <w:i w:val="0"/>
          <w:iCs w:val="0"/>
          <w:color w:val="auto"/>
        </w:rPr>
      </w:pPr>
    </w:p>
    <w:sectPr w:rsidR="00106528" w:rsidRPr="001211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C960AF"/>
    <w:multiLevelType w:val="multilevel"/>
    <w:tmpl w:val="AC8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35"/>
    <w:rsid w:val="000467F2"/>
    <w:rsid w:val="00082214"/>
    <w:rsid w:val="00106528"/>
    <w:rsid w:val="00121132"/>
    <w:rsid w:val="001830F2"/>
    <w:rsid w:val="0019229D"/>
    <w:rsid w:val="00433ECB"/>
    <w:rsid w:val="00436FC4"/>
    <w:rsid w:val="00500020"/>
    <w:rsid w:val="0050473A"/>
    <w:rsid w:val="005454E6"/>
    <w:rsid w:val="005B35B4"/>
    <w:rsid w:val="005B5EFD"/>
    <w:rsid w:val="006016DC"/>
    <w:rsid w:val="0062001A"/>
    <w:rsid w:val="00723F92"/>
    <w:rsid w:val="007B7DE7"/>
    <w:rsid w:val="007E333F"/>
    <w:rsid w:val="008871CF"/>
    <w:rsid w:val="008B0C43"/>
    <w:rsid w:val="008C4935"/>
    <w:rsid w:val="009032D7"/>
    <w:rsid w:val="00A307C9"/>
    <w:rsid w:val="00A972C1"/>
    <w:rsid w:val="00AA4222"/>
    <w:rsid w:val="00AF6392"/>
    <w:rsid w:val="00B53EE0"/>
    <w:rsid w:val="00B873C2"/>
    <w:rsid w:val="00BA664A"/>
    <w:rsid w:val="00CB6546"/>
    <w:rsid w:val="00CD2089"/>
    <w:rsid w:val="00CE2E9F"/>
    <w:rsid w:val="00D30F48"/>
    <w:rsid w:val="00D33BDA"/>
    <w:rsid w:val="00D44FE7"/>
    <w:rsid w:val="00D542C6"/>
    <w:rsid w:val="00D80CC8"/>
    <w:rsid w:val="00DD5A2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9AD6"/>
  <w15:chartTrackingRefBased/>
  <w15:docId w15:val="{460417BD-1E6C-480D-8137-C02D27AB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16DC"/>
    <w:pPr>
      <w:spacing w:after="160" w:line="259" w:lineRule="auto"/>
    </w:pPr>
    <w:rPr>
      <w:sz w:val="24"/>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cs="Calibri"/>
      <w:i/>
      <w:color w:val="2F5496"/>
      <w:szCs w:val="24"/>
      <w:lang w:eastAsia="de-DE"/>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cs="Calibri"/>
      <w:b/>
      <w:sz w:val="22"/>
      <w:lang w:eastAsia="de-DE"/>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basedOn w:val="Absatz-Standardschriftart"/>
    <w:uiPriority w:val="20"/>
    <w:qFormat/>
    <w:rsid w:val="00DD5A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7894">
      <w:bodyDiv w:val="1"/>
      <w:marLeft w:val="0"/>
      <w:marRight w:val="0"/>
      <w:marTop w:val="0"/>
      <w:marBottom w:val="0"/>
      <w:divBdr>
        <w:top w:val="none" w:sz="0" w:space="0" w:color="auto"/>
        <w:left w:val="none" w:sz="0" w:space="0" w:color="auto"/>
        <w:bottom w:val="none" w:sz="0" w:space="0" w:color="auto"/>
        <w:right w:val="none" w:sz="0" w:space="0" w:color="auto"/>
      </w:divBdr>
      <w:divsChild>
        <w:div w:id="334918307">
          <w:marLeft w:val="0"/>
          <w:marRight w:val="0"/>
          <w:marTop w:val="0"/>
          <w:marBottom w:val="0"/>
          <w:divBdr>
            <w:top w:val="none" w:sz="0" w:space="0" w:color="auto"/>
            <w:left w:val="none" w:sz="0" w:space="0" w:color="auto"/>
            <w:bottom w:val="none" w:sz="0" w:space="0" w:color="auto"/>
            <w:right w:val="none" w:sz="0" w:space="0" w:color="auto"/>
          </w:divBdr>
          <w:divsChild>
            <w:div w:id="7730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3254577">
      <w:bodyDiv w:val="1"/>
      <w:marLeft w:val="0"/>
      <w:marRight w:val="0"/>
      <w:marTop w:val="0"/>
      <w:marBottom w:val="0"/>
      <w:divBdr>
        <w:top w:val="none" w:sz="0" w:space="0" w:color="auto"/>
        <w:left w:val="none" w:sz="0" w:space="0" w:color="auto"/>
        <w:bottom w:val="none" w:sz="0" w:space="0" w:color="auto"/>
        <w:right w:val="none" w:sz="0" w:space="0" w:color="auto"/>
      </w:divBdr>
      <w:divsChild>
        <w:div w:id="575868842">
          <w:marLeft w:val="0"/>
          <w:marRight w:val="0"/>
          <w:marTop w:val="0"/>
          <w:marBottom w:val="0"/>
          <w:divBdr>
            <w:top w:val="none" w:sz="0" w:space="0" w:color="auto"/>
            <w:left w:val="none" w:sz="0" w:space="0" w:color="auto"/>
            <w:bottom w:val="none" w:sz="0" w:space="0" w:color="auto"/>
            <w:right w:val="none" w:sz="0" w:space="0" w:color="auto"/>
          </w:divBdr>
          <w:divsChild>
            <w:div w:id="5858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74780102">
      <w:bodyDiv w:val="1"/>
      <w:marLeft w:val="0"/>
      <w:marRight w:val="0"/>
      <w:marTop w:val="0"/>
      <w:marBottom w:val="0"/>
      <w:divBdr>
        <w:top w:val="none" w:sz="0" w:space="0" w:color="auto"/>
        <w:left w:val="none" w:sz="0" w:space="0" w:color="auto"/>
        <w:bottom w:val="none" w:sz="0" w:space="0" w:color="auto"/>
        <w:right w:val="none" w:sz="0" w:space="0" w:color="auto"/>
      </w:divBdr>
      <w:divsChild>
        <w:div w:id="464006705">
          <w:marLeft w:val="0"/>
          <w:marRight w:val="0"/>
          <w:marTop w:val="0"/>
          <w:marBottom w:val="0"/>
          <w:divBdr>
            <w:top w:val="none" w:sz="0" w:space="0" w:color="auto"/>
            <w:left w:val="none" w:sz="0" w:space="0" w:color="auto"/>
            <w:bottom w:val="none" w:sz="0" w:space="0" w:color="auto"/>
            <w:right w:val="none" w:sz="0" w:space="0" w:color="auto"/>
          </w:divBdr>
          <w:divsChild>
            <w:div w:id="10407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560">
      <w:bodyDiv w:val="1"/>
      <w:marLeft w:val="0"/>
      <w:marRight w:val="0"/>
      <w:marTop w:val="0"/>
      <w:marBottom w:val="0"/>
      <w:divBdr>
        <w:top w:val="none" w:sz="0" w:space="0" w:color="auto"/>
        <w:left w:val="none" w:sz="0" w:space="0" w:color="auto"/>
        <w:bottom w:val="none" w:sz="0" w:space="0" w:color="auto"/>
        <w:right w:val="none" w:sz="0" w:space="0" w:color="auto"/>
      </w:divBdr>
      <w:divsChild>
        <w:div w:id="1437211868">
          <w:marLeft w:val="0"/>
          <w:marRight w:val="0"/>
          <w:marTop w:val="0"/>
          <w:marBottom w:val="0"/>
          <w:divBdr>
            <w:top w:val="none" w:sz="0" w:space="0" w:color="auto"/>
            <w:left w:val="none" w:sz="0" w:space="0" w:color="auto"/>
            <w:bottom w:val="none" w:sz="0" w:space="0" w:color="auto"/>
            <w:right w:val="none" w:sz="0" w:space="0" w:color="auto"/>
          </w:divBdr>
          <w:divsChild>
            <w:div w:id="7820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80424">
      <w:bodyDiv w:val="1"/>
      <w:marLeft w:val="0"/>
      <w:marRight w:val="0"/>
      <w:marTop w:val="0"/>
      <w:marBottom w:val="0"/>
      <w:divBdr>
        <w:top w:val="none" w:sz="0" w:space="0" w:color="auto"/>
        <w:left w:val="none" w:sz="0" w:space="0" w:color="auto"/>
        <w:bottom w:val="none" w:sz="0" w:space="0" w:color="auto"/>
        <w:right w:val="none" w:sz="0" w:space="0" w:color="auto"/>
      </w:divBdr>
      <w:divsChild>
        <w:div w:id="1719355365">
          <w:marLeft w:val="0"/>
          <w:marRight w:val="0"/>
          <w:marTop w:val="0"/>
          <w:marBottom w:val="0"/>
          <w:divBdr>
            <w:top w:val="none" w:sz="0" w:space="0" w:color="auto"/>
            <w:left w:val="none" w:sz="0" w:space="0" w:color="auto"/>
            <w:bottom w:val="none" w:sz="0" w:space="0" w:color="auto"/>
            <w:right w:val="none" w:sz="0" w:space="0" w:color="auto"/>
          </w:divBdr>
          <w:divsChild>
            <w:div w:id="3607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65980">
      <w:bodyDiv w:val="1"/>
      <w:marLeft w:val="0"/>
      <w:marRight w:val="0"/>
      <w:marTop w:val="0"/>
      <w:marBottom w:val="0"/>
      <w:divBdr>
        <w:top w:val="none" w:sz="0" w:space="0" w:color="auto"/>
        <w:left w:val="none" w:sz="0" w:space="0" w:color="auto"/>
        <w:bottom w:val="none" w:sz="0" w:space="0" w:color="auto"/>
        <w:right w:val="none" w:sz="0" w:space="0" w:color="auto"/>
      </w:divBdr>
      <w:divsChild>
        <w:div w:id="1471746531">
          <w:marLeft w:val="0"/>
          <w:marRight w:val="0"/>
          <w:marTop w:val="0"/>
          <w:marBottom w:val="0"/>
          <w:divBdr>
            <w:top w:val="none" w:sz="0" w:space="0" w:color="auto"/>
            <w:left w:val="none" w:sz="0" w:space="0" w:color="auto"/>
            <w:bottom w:val="none" w:sz="0" w:space="0" w:color="auto"/>
            <w:right w:val="none" w:sz="0" w:space="0" w:color="auto"/>
          </w:divBdr>
          <w:divsChild>
            <w:div w:id="10471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43002319">
      <w:bodyDiv w:val="1"/>
      <w:marLeft w:val="0"/>
      <w:marRight w:val="0"/>
      <w:marTop w:val="0"/>
      <w:marBottom w:val="0"/>
      <w:divBdr>
        <w:top w:val="none" w:sz="0" w:space="0" w:color="auto"/>
        <w:left w:val="none" w:sz="0" w:space="0" w:color="auto"/>
        <w:bottom w:val="none" w:sz="0" w:space="0" w:color="auto"/>
        <w:right w:val="none" w:sz="0" w:space="0" w:color="auto"/>
      </w:divBdr>
    </w:div>
    <w:div w:id="952519020">
      <w:bodyDiv w:val="1"/>
      <w:marLeft w:val="0"/>
      <w:marRight w:val="0"/>
      <w:marTop w:val="0"/>
      <w:marBottom w:val="0"/>
      <w:divBdr>
        <w:top w:val="none" w:sz="0" w:space="0" w:color="auto"/>
        <w:left w:val="none" w:sz="0" w:space="0" w:color="auto"/>
        <w:bottom w:val="none" w:sz="0" w:space="0" w:color="auto"/>
        <w:right w:val="none" w:sz="0" w:space="0" w:color="auto"/>
      </w:divBdr>
      <w:divsChild>
        <w:div w:id="585841736">
          <w:marLeft w:val="0"/>
          <w:marRight w:val="0"/>
          <w:marTop w:val="0"/>
          <w:marBottom w:val="0"/>
          <w:divBdr>
            <w:top w:val="none" w:sz="0" w:space="0" w:color="auto"/>
            <w:left w:val="none" w:sz="0" w:space="0" w:color="auto"/>
            <w:bottom w:val="none" w:sz="0" w:space="0" w:color="auto"/>
            <w:right w:val="none" w:sz="0" w:space="0" w:color="auto"/>
          </w:divBdr>
          <w:divsChild>
            <w:div w:id="20092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88384">
      <w:bodyDiv w:val="1"/>
      <w:marLeft w:val="0"/>
      <w:marRight w:val="0"/>
      <w:marTop w:val="0"/>
      <w:marBottom w:val="0"/>
      <w:divBdr>
        <w:top w:val="none" w:sz="0" w:space="0" w:color="auto"/>
        <w:left w:val="none" w:sz="0" w:space="0" w:color="auto"/>
        <w:bottom w:val="none" w:sz="0" w:space="0" w:color="auto"/>
        <w:right w:val="none" w:sz="0" w:space="0" w:color="auto"/>
      </w:divBdr>
    </w:div>
    <w:div w:id="1060128416">
      <w:bodyDiv w:val="1"/>
      <w:marLeft w:val="0"/>
      <w:marRight w:val="0"/>
      <w:marTop w:val="0"/>
      <w:marBottom w:val="0"/>
      <w:divBdr>
        <w:top w:val="none" w:sz="0" w:space="0" w:color="auto"/>
        <w:left w:val="none" w:sz="0" w:space="0" w:color="auto"/>
        <w:bottom w:val="none" w:sz="0" w:space="0" w:color="auto"/>
        <w:right w:val="none" w:sz="0" w:space="0" w:color="auto"/>
      </w:divBdr>
      <w:divsChild>
        <w:div w:id="107088361">
          <w:marLeft w:val="0"/>
          <w:marRight w:val="0"/>
          <w:marTop w:val="0"/>
          <w:marBottom w:val="0"/>
          <w:divBdr>
            <w:top w:val="none" w:sz="0" w:space="0" w:color="auto"/>
            <w:left w:val="none" w:sz="0" w:space="0" w:color="auto"/>
            <w:bottom w:val="none" w:sz="0" w:space="0" w:color="auto"/>
            <w:right w:val="none" w:sz="0" w:space="0" w:color="auto"/>
          </w:divBdr>
          <w:divsChild>
            <w:div w:id="21278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6013">
      <w:bodyDiv w:val="1"/>
      <w:marLeft w:val="0"/>
      <w:marRight w:val="0"/>
      <w:marTop w:val="0"/>
      <w:marBottom w:val="0"/>
      <w:divBdr>
        <w:top w:val="none" w:sz="0" w:space="0" w:color="auto"/>
        <w:left w:val="none" w:sz="0" w:space="0" w:color="auto"/>
        <w:bottom w:val="none" w:sz="0" w:space="0" w:color="auto"/>
        <w:right w:val="none" w:sz="0" w:space="0" w:color="auto"/>
      </w:divBdr>
      <w:divsChild>
        <w:div w:id="888762141">
          <w:marLeft w:val="0"/>
          <w:marRight w:val="0"/>
          <w:marTop w:val="0"/>
          <w:marBottom w:val="0"/>
          <w:divBdr>
            <w:top w:val="none" w:sz="0" w:space="0" w:color="auto"/>
            <w:left w:val="none" w:sz="0" w:space="0" w:color="auto"/>
            <w:bottom w:val="none" w:sz="0" w:space="0" w:color="auto"/>
            <w:right w:val="none" w:sz="0" w:space="0" w:color="auto"/>
          </w:divBdr>
          <w:divsChild>
            <w:div w:id="5180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9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6323</Words>
  <Characters>39839</Characters>
  <Application>Microsoft Office Word</Application>
  <DocSecurity>0</DocSecurity>
  <Lines>331</Lines>
  <Paragraphs>92</Paragraphs>
  <ScaleCrop>false</ScaleCrop>
  <HeadingPairs>
    <vt:vector size="4" baseType="variant">
      <vt:variant>
        <vt:lpstr>Titel</vt:lpstr>
      </vt:variant>
      <vt:variant>
        <vt:i4>1</vt:i4>
      </vt:variant>
      <vt:variant>
        <vt:lpstr>Überschriften</vt:lpstr>
      </vt:variant>
      <vt:variant>
        <vt:i4>21</vt:i4>
      </vt:variant>
    </vt:vector>
  </HeadingPairs>
  <TitlesOfParts>
    <vt:vector size="22" baseType="lpstr">
      <vt:lpstr/>
      <vt:lpstr>4. Vorhersagen des  Funktionales Raum-Zeit-Kohärenzsystem (FRZK)</vt:lpstr>
      <vt:lpstr>4.1 Emergenz von Realität durch funktionale Zuweisungen</vt:lpstr>
      <vt:lpstr>    4.1 Emergenz von Realität durch funktionale Zuweisungen</vt:lpstr>
      <vt:lpstr>        4.1.1 Ontologische Zurückhaltung als Modellprinzip</vt:lpstr>
      <vt:lpstr>        4.1.2 Initialpunkt und strukturloser Zustand (∅)</vt:lpstr>
      <vt:lpstr>        4.1.3 Funktionale Entstehung von Raum und Zeit</vt:lpstr>
      <vt:lpstr>        4.1.4 Konsistenz mit physikalischen Emergenztheorien</vt:lpstr>
      <vt:lpstr>        4.1.5 Epistemische Position der Vorhersage</vt:lpstr>
      <vt:lpstr>4.2 Hierarchische und emergente Struktur von Gleichungstypen</vt:lpstr>
      <vt:lpstr>        4.2 Hierarchische und emergente Struktur von Gleichungstypen</vt:lpstr>
      <vt:lpstr>4.3 Rekursivität und Selbstbezüglichkeit von Beobachtung</vt:lpstr>
      <vt:lpstr>4.4 Funktionale Abhängigkeit von Kausalität und Energie</vt:lpstr>
      <vt:lpstr>4.5 Dynamische und anpassungsfähige Bedeutungsfelder</vt:lpstr>
      <vt:lpstr>4.6 Transformierbarkeit symbolischer Ordnungen durch Reflexion</vt:lpstr>
      <vt:lpstr>        4.6 Transformierbarkeit symbolischer Ordnungen durch Reflexion</vt:lpstr>
      <vt:lpstr>4.7 Ko-evolutionäre Natur von semantischer und kultureller Entwicklung</vt:lpstr>
      <vt:lpstr>        4.7 Ko-evolutionäre Natur von semantischer und kultureller Entwicklung</vt:lpstr>
      <vt:lpstr>    4.8 Ethische Implikationen der Modellwahl</vt:lpstr>
      <vt:lpstr>        4.8 Ethische Implikationen der Modellwahl</vt:lpstr>
      <vt:lpstr>    4.9 Zusammenfassung</vt:lpstr>
      <vt:lpstr>        Quellenverzeichnis für Kapitel 4</vt:lpstr>
    </vt:vector>
  </TitlesOfParts>
  <Company/>
  <LinksUpToDate>false</LinksUpToDate>
  <CharactersWithSpaces>46070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2025-06-19T19:09:00Z</dcterms:created>
  <dcterms:modified xsi:type="dcterms:W3CDTF">2025-06-19T19:54:00Z</dcterms:modified>
</cp:coreProperties>
</file>