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93921"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Anlage 1: Axiomatischer Bezug – Detaillierte Erläuterung des Nichts (</w:t>
      </w:r>
      <w:r>
        <w:rPr>
          <w:rStyle w:val="Fett"/>
          <w:rFonts w:ascii="Cambria Math" w:hAnsi="Cambria Math" w:cs="Cambria Math"/>
          <w:color w:val="18181B"/>
          <w:bdr w:val="single" w:sz="2" w:space="0" w:color="E4E4E7" w:frame="1"/>
        </w:rPr>
        <w:t>∅</w:t>
      </w:r>
      <w:r>
        <w:rPr>
          <w:rStyle w:val="Fett"/>
          <w:rFonts w:ascii="Arial" w:hAnsi="Arial" w:cs="Arial"/>
          <w:color w:val="18181B"/>
          <w:bdr w:val="single" w:sz="2" w:space="0" w:color="E4E4E7" w:frame="1"/>
        </w:rPr>
        <w:t>) als Ausgangspunkt</w:t>
      </w:r>
    </w:p>
    <w:p w14:paraId="0F01B02F"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1. Einleitung</w:t>
      </w:r>
    </w:p>
    <w:p w14:paraId="4ED0C507"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Anlage dient zur detaillierten Erläuterung des Konzepts des Nichts (</w:t>
      </w:r>
      <w:r>
        <w:rPr>
          <w:rFonts w:ascii="Cambria Math" w:hAnsi="Cambria Math" w:cs="Cambria Math"/>
          <w:color w:val="3F3F46"/>
        </w:rPr>
        <w:t>∅</w:t>
      </w:r>
      <w:r>
        <w:rPr>
          <w:rFonts w:ascii="Arial" w:hAnsi="Arial" w:cs="Arial"/>
          <w:color w:val="3F3F46"/>
        </w:rPr>
        <w:t>) als Ausgangspunkt für das funktionale Bezugssystem (FBS). Die Wahl des Nichts als fundamentalen Ausgangspunkt ist sowohl philosophisch als auch mathematisch motiviert und hat tiefgreifende Konsequenzen für die Struktur und Interpretation des gesamten Systems.</w:t>
      </w:r>
    </w:p>
    <w:p w14:paraId="3A238219"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2. Mathematische Fundierung in der axiomatischen Mengenlehre</w:t>
      </w:r>
    </w:p>
    <w:p w14:paraId="7F42C9C7"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 axiomatische Mengenlehre, insbesondere das </w:t>
      </w:r>
      <w:proofErr w:type="spellStart"/>
      <w:r>
        <w:rPr>
          <w:rFonts w:ascii="Arial" w:hAnsi="Arial" w:cs="Arial"/>
          <w:color w:val="3F3F46"/>
        </w:rPr>
        <w:t>Zermelo</w:t>
      </w:r>
      <w:proofErr w:type="spellEnd"/>
      <w:r>
        <w:rPr>
          <w:rFonts w:ascii="Arial" w:hAnsi="Arial" w:cs="Arial"/>
          <w:color w:val="3F3F46"/>
        </w:rPr>
        <w:t>-Fraenkel-System (ZF), bildet die mathematische Grundlage für die Verwendung der leeren Menge (</w:t>
      </w:r>
      <w:r>
        <w:rPr>
          <w:rFonts w:ascii="Cambria Math" w:hAnsi="Cambria Math" w:cs="Cambria Math"/>
          <w:color w:val="3F3F46"/>
        </w:rPr>
        <w:t>∅</w:t>
      </w:r>
      <w:r>
        <w:rPr>
          <w:rFonts w:ascii="Arial" w:hAnsi="Arial" w:cs="Arial"/>
          <w:color w:val="3F3F46"/>
        </w:rPr>
        <w:t>) als Ausgangspunkt. Das Leermengenaxiom postuliert die Existenz einer Menge, die keine Elemente enthält (5).</w:t>
      </w:r>
    </w:p>
    <w:p w14:paraId="4043C92F"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Leermengenaxiom kann formal wie folgt ausgedrückt werden:</w:t>
      </w:r>
    </w:p>
    <w:p w14:paraId="0389ED84"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Cambria Math" w:hAnsi="Cambria Math" w:cs="Cambria Math"/>
          <w:color w:val="3F3F46"/>
        </w:rPr>
        <w:t>∃</w:t>
      </w:r>
      <w:proofErr w:type="spellStart"/>
      <w:r>
        <w:rPr>
          <w:rFonts w:ascii="Arial" w:hAnsi="Arial" w:cs="Arial"/>
          <w:color w:val="3F3F46"/>
        </w:rPr>
        <w:t>x</w:t>
      </w:r>
      <w:r>
        <w:rPr>
          <w:rFonts w:ascii="Cambria Math" w:hAnsi="Cambria Math" w:cs="Cambria Math"/>
          <w:color w:val="3F3F46"/>
        </w:rPr>
        <w:t>∀</w:t>
      </w:r>
      <w:r>
        <w:rPr>
          <w:rFonts w:ascii="Arial" w:hAnsi="Arial" w:cs="Arial"/>
          <w:color w:val="3F3F46"/>
        </w:rPr>
        <w:t>y</w:t>
      </w:r>
      <w:proofErr w:type="spellEnd"/>
      <w:r>
        <w:rPr>
          <w:rFonts w:ascii="Arial" w:hAnsi="Arial" w:cs="Arial"/>
          <w:color w:val="3F3F46"/>
        </w:rPr>
        <w:t>(</w:t>
      </w:r>
      <w:proofErr w:type="spellStart"/>
      <w:r>
        <w:rPr>
          <w:rFonts w:ascii="Arial" w:hAnsi="Arial" w:cs="Arial"/>
          <w:color w:val="3F3F46"/>
        </w:rPr>
        <w:t>y</w:t>
      </w:r>
      <w:r>
        <w:rPr>
          <w:rFonts w:ascii="Cambria Math" w:hAnsi="Cambria Math" w:cs="Cambria Math"/>
          <w:color w:val="3F3F46"/>
        </w:rPr>
        <w:t>∉</w:t>
      </w:r>
      <w:r>
        <w:rPr>
          <w:rFonts w:ascii="Arial" w:hAnsi="Arial" w:cs="Arial"/>
          <w:color w:val="3F3F46"/>
        </w:rPr>
        <w:t>x</w:t>
      </w:r>
      <w:proofErr w:type="spellEnd"/>
      <w:r>
        <w:rPr>
          <w:rFonts w:ascii="Arial" w:hAnsi="Arial" w:cs="Arial"/>
          <w:color w:val="3F3F46"/>
        </w:rPr>
        <w:t>).\</w:t>
      </w:r>
      <w:proofErr w:type="spellStart"/>
      <w:r>
        <w:rPr>
          <w:rFonts w:ascii="Arial" w:hAnsi="Arial" w:cs="Arial"/>
          <w:color w:val="3F3F46"/>
        </w:rPr>
        <w:t>exists</w:t>
      </w:r>
      <w:proofErr w:type="spellEnd"/>
      <w:r>
        <w:rPr>
          <w:rFonts w:ascii="Arial" w:hAnsi="Arial" w:cs="Arial"/>
          <w:color w:val="3F3F46"/>
        </w:rPr>
        <w:t xml:space="preserve"> x \</w:t>
      </w:r>
      <w:proofErr w:type="spellStart"/>
      <w:r>
        <w:rPr>
          <w:rFonts w:ascii="Arial" w:hAnsi="Arial" w:cs="Arial"/>
          <w:color w:val="3F3F46"/>
        </w:rPr>
        <w:t>forall</w:t>
      </w:r>
      <w:proofErr w:type="spellEnd"/>
      <w:r>
        <w:rPr>
          <w:rFonts w:ascii="Arial" w:hAnsi="Arial" w:cs="Arial"/>
          <w:color w:val="3F3F46"/>
        </w:rPr>
        <w:t xml:space="preserve"> y (y \</w:t>
      </w:r>
      <w:proofErr w:type="spellStart"/>
      <w:r>
        <w:rPr>
          <w:rFonts w:ascii="Arial" w:hAnsi="Arial" w:cs="Arial"/>
          <w:color w:val="3F3F46"/>
        </w:rPr>
        <w:t>notin</w:t>
      </w:r>
      <w:proofErr w:type="spellEnd"/>
      <w:r>
        <w:rPr>
          <w:rFonts w:ascii="Arial" w:hAnsi="Arial" w:cs="Arial"/>
          <w:color w:val="3F3F46"/>
        </w:rPr>
        <w:t xml:space="preserve"> x</w:t>
      </w:r>
      <w:proofErr w:type="gramStart"/>
      <w:r>
        <w:rPr>
          <w:rFonts w:ascii="Arial" w:hAnsi="Arial" w:cs="Arial"/>
          <w:color w:val="3F3F46"/>
        </w:rPr>
        <w:t>).</w:t>
      </w:r>
      <w:r>
        <w:rPr>
          <w:rFonts w:ascii="Cambria Math" w:hAnsi="Cambria Math" w:cs="Cambria Math"/>
          <w:color w:val="3F3F46"/>
        </w:rPr>
        <w:t>∃</w:t>
      </w:r>
      <w:proofErr w:type="spellStart"/>
      <w:proofErr w:type="gramEnd"/>
      <w:r>
        <w:rPr>
          <w:rFonts w:ascii="Arial" w:hAnsi="Arial" w:cs="Arial"/>
          <w:color w:val="3F3F46"/>
        </w:rPr>
        <w:t>x</w:t>
      </w:r>
      <w:r>
        <w:rPr>
          <w:rFonts w:ascii="Cambria Math" w:hAnsi="Cambria Math" w:cs="Cambria Math"/>
          <w:color w:val="3F3F46"/>
        </w:rPr>
        <w:t>∀</w:t>
      </w:r>
      <w:r>
        <w:rPr>
          <w:rFonts w:ascii="Arial" w:hAnsi="Arial" w:cs="Arial"/>
          <w:color w:val="3F3F46"/>
        </w:rPr>
        <w:t>y</w:t>
      </w:r>
      <w:proofErr w:type="spellEnd"/>
      <w:r>
        <w:rPr>
          <w:rFonts w:ascii="Arial" w:hAnsi="Arial" w:cs="Arial"/>
          <w:color w:val="3F3F46"/>
        </w:rPr>
        <w:t>(y</w:t>
      </w:r>
      <w:r>
        <w:rPr>
          <w:rFonts w:ascii="Cambria Math" w:hAnsi="Cambria Math" w:cs="Cambria Math"/>
          <w:color w:val="3F3F46"/>
        </w:rPr>
        <w:t>∈</w:t>
      </w:r>
      <w:r>
        <w:rPr>
          <w:rFonts w:ascii="Arial" w:hAnsi="Arial" w:cs="Arial"/>
          <w:color w:val="3F3F46"/>
        </w:rPr>
        <w:t>/​x).</w:t>
      </w:r>
    </w:p>
    <w:p w14:paraId="5D698178"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Dieses Axiom besagt, dass es eine Menge x gibt, so dass für alle Mengen y gilt, dass y kein Element von x ist. Diese Menge x ist die leere Menge </w:t>
      </w:r>
      <w:r>
        <w:rPr>
          <w:rFonts w:ascii="Cambria Math" w:hAnsi="Cambria Math" w:cs="Cambria Math"/>
          <w:color w:val="3F3F46"/>
        </w:rPr>
        <w:t>∅</w:t>
      </w:r>
      <w:r>
        <w:rPr>
          <w:rFonts w:ascii="Arial" w:hAnsi="Arial" w:cs="Arial"/>
          <w:color w:val="3F3F46"/>
        </w:rPr>
        <w:t>.</w:t>
      </w:r>
    </w:p>
    <w:p w14:paraId="3398D25A"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leere Menge ist somit ein grundlegendes Objekt der Mengenlehre und dient als Ausgangspunkt für die Konstruktion aller anderen Mengen. In ZF wird die Existenz weiterer Mengen durch andere Axiome, wie das Paarmengenaxiom, das Vereinigungsaxiom und das Potenzmengenaxiom, sichergestellt.</w:t>
      </w:r>
    </w:p>
    <w:p w14:paraId="08CAA6E8"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 Philosophische Implikationen: Konstruktivismus und radikale Leere</w:t>
      </w:r>
    </w:p>
    <w:p w14:paraId="6171CE72"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Wahl des Nichts als Ausgangspunkt hat wichtige philosophische Implikationen. Sie impliziert, dass wir unser Bezugssystem von Grund auf neu konstruieren, ohne auf vorgegebene Konzepte oder Strukturen zurückzugreifen. Dies entspricht einem radikal konstruktivistischen Ansatz, der betont, dass Wissen nicht passiv aufgenommen, sondern aktiv konstruiert wird.</w:t>
      </w:r>
    </w:p>
    <w:p w14:paraId="6609E625"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Im Konstruktivismus wird Wissen als eine aktive Konstruktion des Subjekts betrachtet, die auf seinen Erfahrungen und Interaktionen mit der Welt basiert. Es gibt keine objektive Realität, die unabhängig vom Beobachter existiert. Stattdessen konstruiert jeder Beobachter seine eigene Realität auf der Grundlage seiner individuellen Perspektive und Erfahrungen.</w:t>
      </w:r>
    </w:p>
    <w:p w14:paraId="24CF0783"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Nichts repräsentiert den Zustand der absoluten Unbestimmtheit und Differenzlosigkeit. In diesem Zustand gibt es keine Objekte, keine Beziehungen, keine Eigenschaften – schlichtweg nichts, was unterscheidbar wäre. Erst durch die Einführung von Unterscheidungen und Relationen können wir aus dem Nichts eine strukturierte Welt konstruieren.</w:t>
      </w:r>
    </w:p>
    <w:p w14:paraId="355FFFE9"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lastRenderedPageBreak/>
        <w:t>4. Abgrenzung vom alltäglichen Verständnis von "Nichts"</w:t>
      </w:r>
    </w:p>
    <w:p w14:paraId="3EE966E2"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Es ist wichtig zu betonen, dass das Nichts (</w:t>
      </w:r>
      <w:r>
        <w:rPr>
          <w:rFonts w:ascii="Cambria Math" w:hAnsi="Cambria Math" w:cs="Cambria Math"/>
          <w:color w:val="3F3F46"/>
        </w:rPr>
        <w:t>∅</w:t>
      </w:r>
      <w:r>
        <w:rPr>
          <w:rFonts w:ascii="Arial" w:hAnsi="Arial" w:cs="Arial"/>
          <w:color w:val="3F3F46"/>
        </w:rPr>
        <w:t>) in unserem Kontext nicht mit dem alltäglichen Verständnis von "Nichts" gleichzusetzen ist. Im alltäglichen Sprachgebrauch wird "Nichts" oft als Abwesenheit von etwas Bestimmten verstanden. In unserem funktionalen Bezugssystem repräsentiert das Nichts jedoch einen Zustand der absoluten Leere, der </w:t>
      </w:r>
      <w:r>
        <w:rPr>
          <w:rStyle w:val="Hervorhebung"/>
          <w:rFonts w:ascii="Arial" w:hAnsi="Arial" w:cs="Arial"/>
          <w:color w:val="3F3F46"/>
          <w:bdr w:val="single" w:sz="2" w:space="0" w:color="E4E4E7" w:frame="1"/>
        </w:rPr>
        <w:t>jeder</w:t>
      </w:r>
      <w:r>
        <w:rPr>
          <w:rFonts w:ascii="Arial" w:hAnsi="Arial" w:cs="Arial"/>
          <w:color w:val="3F3F46"/>
        </w:rPr>
        <w:t> möglichen Struktur vorausgeht.</w:t>
      </w:r>
    </w:p>
    <w:p w14:paraId="1B1CD2C2"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alltägliche Verständnis von "Nichts" ist oft mit negativen Konnotationen verbunden, wie z.B. Leere, Bedeutungslosigkeit oder Angst. In unserem funktionalen Bezugssystem ist das Nichts jedoch nicht negativ, sondern positiv besetzt. Es ist die Quelle aller Möglichkeiten und der Ausgangspunkt für jede Konstruktion.</w:t>
      </w:r>
    </w:p>
    <w:p w14:paraId="3BCE0A1C"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5. Rolle des Nichts bei der Emergenz von Struktur</w:t>
      </w:r>
    </w:p>
    <w:p w14:paraId="6A669F66"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Nichts spielt eine entscheidende Rolle bei der Emergenz von Struktur in unserem funktionalen Bezugssystem. Emergenz bezeichnet das Auftreten neuer Eigenschaften oder Strukturen auf einer höheren Ebene, die nicht auf der Ebene der einzelnen Elemente vorhanden sind. In unserem Fall entsteht Struktur, indem wir aus dem Nichts heraus Unterscheidungen und Relationen einführen.</w:t>
      </w:r>
    </w:p>
    <w:p w14:paraId="7DFDF3FA"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Emergenz von Struktur aus dem Nichts kann als ein Prozess der Selbstorganisation betrachtet werden. Durch die Einführung von Unterscheidungen und Relationen entstehen neue Muster und Strukturen, die sich selbst stabilisieren und weiterentwickeln. Dieser Prozess kann zu komplexen und vielfältigen Systemen führen, die aus dem einfachen Ausgangspunkt des Nichts hervorgehen.</w:t>
      </w:r>
    </w:p>
    <w:p w14:paraId="1285BB8E"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6. Wahrnehmungsreduktion und Kategoriennegation</w:t>
      </w:r>
    </w:p>
    <w:p w14:paraId="2F78E245"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Um das Nichts als Ausgangspunkt für unser Bezugssystem zu akzeptieren, ist ein bewusster Akt der Wahrnehmungsreduktion und Kategoriennegation erforderlich. Wir müssen uns von unseren gewohnten Denkweisen und Annahmen lösen und uns auf den Zustand der absoluten Leere einlassen. Dieser Prozess kann als eine Art "Grenzbewusstsein" beschrieben werden, bei dem wir uns der Grenzen unseres eigenen Denkens und Wahrnehmens bewusst werden.</w:t>
      </w:r>
    </w:p>
    <w:p w14:paraId="4B8D46EF"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Wahrnehmungsreduktion bedeutet, dass wir uns auf die wesentlichen Aspekte einer Situation konzentrieren und irrelevante Informationen ausblenden. Kategoriennegation bedeutet, dass wir unsere gewohnten Kategorien und Klassifikationen in Frage stellen und neue Perspektiven einnehmen.</w:t>
      </w:r>
    </w:p>
    <w:p w14:paraId="05E71ED0"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7. Didaktische Implikationen für das Lernen</w:t>
      </w:r>
    </w:p>
    <w:p w14:paraId="0E95B8D4"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Für Lernende kann die Erfahrung des Nichts zunächst befremdlich oder sogar beängstigend sein. Es ist daher wichtig, </w:t>
      </w:r>
      <w:proofErr w:type="gramStart"/>
      <w:r>
        <w:rPr>
          <w:rFonts w:ascii="Arial" w:hAnsi="Arial" w:cs="Arial"/>
          <w:color w:val="3F3F46"/>
        </w:rPr>
        <w:t>das</w:t>
      </w:r>
      <w:proofErr w:type="gramEnd"/>
      <w:r>
        <w:rPr>
          <w:rFonts w:ascii="Arial" w:hAnsi="Arial" w:cs="Arial"/>
          <w:color w:val="3F3F46"/>
        </w:rPr>
        <w:t xml:space="preserve"> Nichts nicht als eine bloße Abwesenheit, sondern als einen Raum voller potenzieller Strukturen zu präsentieren (3). Durch Übungen zur Wahrnehmungsreduktion und zur Reflexion über die eigenen Denkmuster können Lernende lernen, </w:t>
      </w:r>
      <w:proofErr w:type="gramStart"/>
      <w:r>
        <w:rPr>
          <w:rFonts w:ascii="Arial" w:hAnsi="Arial" w:cs="Arial"/>
          <w:color w:val="3F3F46"/>
        </w:rPr>
        <w:t>das</w:t>
      </w:r>
      <w:proofErr w:type="gramEnd"/>
      <w:r>
        <w:rPr>
          <w:rFonts w:ascii="Arial" w:hAnsi="Arial" w:cs="Arial"/>
          <w:color w:val="3F3F46"/>
        </w:rPr>
        <w:t xml:space="preserve"> Nichts als eine Quelle der Kreativität und Innovation zu erfahren.</w:t>
      </w:r>
    </w:p>
    <w:p w14:paraId="20E05763"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Im Unterricht kann das Nichts durch verschiedene Methoden erfahrbar gemacht werden, z.B. durch Meditation, Stilleübungen oder kreative Schreibaufgaben. Es ist wichtig, eine Atmosphäre der Akzeptanz und Offenheit zu schaffen, in der Lernende ihre eigenen Erfahrungen mit dem Nichts erkunden und reflektieren können.</w:t>
      </w:r>
    </w:p>
    <w:p w14:paraId="5985378C"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8. Zusammenfassung</w:t>
      </w:r>
    </w:p>
    <w:p w14:paraId="66B0D3BE"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Nichts (</w:t>
      </w:r>
      <w:r>
        <w:rPr>
          <w:rFonts w:ascii="Cambria Math" w:hAnsi="Cambria Math" w:cs="Cambria Math"/>
          <w:color w:val="3F3F46"/>
        </w:rPr>
        <w:t>∅</w:t>
      </w:r>
      <w:r>
        <w:rPr>
          <w:rFonts w:ascii="Arial" w:hAnsi="Arial" w:cs="Arial"/>
          <w:color w:val="3F3F46"/>
        </w:rPr>
        <w:t>) als Ausgangspunkt des funktionalen Bezugssystems ist ein Konzept, das sowohl mathematisch als auch philosophisch fundiert ist. Es repräsentiert den Zustand der absoluten Unbestimmtheit und Differenzlosigkeit, aus dem durch die Einführung von Unterscheidungen und Relationen Struktur entsteht. Die Akzeptanz des Nichts erfordert einen bewussten Akt der Wahrnehmungsreduktion und Kategoriennegation und kann für Lernende eine Quelle der Kreativität und Innovation sein.</w:t>
      </w:r>
    </w:p>
    <w:p w14:paraId="28B810B8" w14:textId="77777777" w:rsidR="00C00002" w:rsidRDefault="00C00002" w:rsidP="00C0000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w:t>
      </w:r>
    </w:p>
    <w:p w14:paraId="38661D83" w14:textId="77777777" w:rsidR="00C00002" w:rsidRDefault="00C00002" w:rsidP="00C00002">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Basiswissen Systemische Therapie: Gut vorbereitet in die Prüfung.</w:t>
      </w:r>
    </w:p>
    <w:p w14:paraId="40870D0C" w14:textId="77777777" w:rsidR="00C00002" w:rsidRDefault="00C00002" w:rsidP="00C00002">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Pr>
          <w:rFonts w:ascii="Arial" w:hAnsi="Arial" w:cs="Arial"/>
          <w:color w:val="3F3F46"/>
        </w:rPr>
        <w:t>Jech</w:t>
      </w:r>
      <w:proofErr w:type="spellEnd"/>
      <w:r>
        <w:rPr>
          <w:rFonts w:ascii="Arial" w:hAnsi="Arial" w:cs="Arial"/>
          <w:color w:val="3F3F46"/>
        </w:rPr>
        <w:t xml:space="preserve">, T. (2003). Set Theory. Springer Monographs in </w:t>
      </w:r>
      <w:proofErr w:type="spellStart"/>
      <w:r>
        <w:rPr>
          <w:rFonts w:ascii="Arial" w:hAnsi="Arial" w:cs="Arial"/>
          <w:color w:val="3F3F46"/>
        </w:rPr>
        <w:t>Mathematics</w:t>
      </w:r>
      <w:proofErr w:type="spellEnd"/>
      <w:r>
        <w:rPr>
          <w:rFonts w:ascii="Arial" w:hAnsi="Arial" w:cs="Arial"/>
          <w:color w:val="3F3F46"/>
        </w:rPr>
        <w:t>. Berlin, Heidelberg: Springer.</w:t>
      </w:r>
    </w:p>
    <w:p w14:paraId="186A9CC7" w14:textId="77777777" w:rsidR="00847F0B" w:rsidRDefault="00847F0B"/>
    <w:sectPr w:rsidR="00847F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80B17"/>
    <w:multiLevelType w:val="multilevel"/>
    <w:tmpl w:val="5E66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02"/>
    <w:rsid w:val="00847F0B"/>
    <w:rsid w:val="008871CF"/>
    <w:rsid w:val="00C00002"/>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74576"/>
  <w15:chartTrackingRefBased/>
  <w15:docId w15:val="{6C9D327C-BC16-4895-AC30-4A80ECCA3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00002"/>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00002"/>
    <w:pPr>
      <w:spacing w:before="100" w:beforeAutospacing="1" w:after="100" w:afterAutospacing="1"/>
    </w:pPr>
  </w:style>
  <w:style w:type="character" w:styleId="Fett">
    <w:name w:val="Strong"/>
    <w:basedOn w:val="Absatz-Standardschriftart"/>
    <w:uiPriority w:val="22"/>
    <w:qFormat/>
    <w:rsid w:val="00C00002"/>
    <w:rPr>
      <w:b/>
      <w:bCs/>
    </w:rPr>
  </w:style>
  <w:style w:type="character" w:styleId="Hervorhebung">
    <w:name w:val="Emphasis"/>
    <w:basedOn w:val="Absatz-Standardschriftart"/>
    <w:uiPriority w:val="20"/>
    <w:qFormat/>
    <w:rsid w:val="00C000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7700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5381</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2025-05-26T03:14:00Z</dcterms:created>
  <dcterms:modified xsi:type="dcterms:W3CDTF">2025-05-26T03:15:00Z</dcterms:modified>
</cp:coreProperties>
</file>