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DD0A7" w14:textId="77777777" w:rsidR="00A11EFC" w:rsidRPr="00A11EFC" w:rsidRDefault="00A11EFC" w:rsidP="00A11EFC">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A11EFC">
        <w:rPr>
          <w:rFonts w:ascii="Times New Roman" w:eastAsia="Times New Roman" w:hAnsi="Times New Roman" w:cs="Times New Roman"/>
          <w:b/>
          <w:bCs/>
          <w:kern w:val="36"/>
          <w:sz w:val="48"/>
          <w:szCs w:val="48"/>
          <w:lang w:eastAsia="de-DE"/>
        </w:rPr>
        <w:t>Kapitel 2: Entwicklung und didaktisch-methodische Bewertung physikalischer Bezugssysteme</w:t>
      </w:r>
    </w:p>
    <w:p w14:paraId="569A4679" w14:textId="77777777" w:rsidR="00A11EFC" w:rsidRPr="00A11EFC" w:rsidRDefault="00A11EFC" w:rsidP="00A11EFC">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A11EFC">
        <w:rPr>
          <w:rFonts w:ascii="Times New Roman" w:eastAsia="Times New Roman" w:hAnsi="Times New Roman" w:cs="Times New Roman"/>
          <w:b/>
          <w:bCs/>
          <w:sz w:val="36"/>
          <w:szCs w:val="36"/>
          <w:lang w:eastAsia="de-DE"/>
        </w:rPr>
        <w:t>2.1 Einleitung: Die fundamentale Rolle physikalischer Bezugssysteme in der Erkenntnisgewinnung</w:t>
      </w:r>
    </w:p>
    <w:p w14:paraId="778E6572" w14:textId="77777777" w:rsidR="00A11EFC" w:rsidRPr="00A11EFC" w:rsidRDefault="00A11EFC" w:rsidP="00A11EFC">
      <w:p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t>Physikalische Bezugssysteme bilden das konzeptionelle Fundament, auf dem das Gebäude der modernen Physik errichtet ist. Sie sind nicht bloß Werkzeuge zur Beschreibung von Phänomenen, sondern konstituieren die Perspektive, aus der wir die physikalische Realität überhaupt erst erfassen können [1]. Ob in der klassischen Mechanik, der Relativitätstheorie oder der Quantenphysik, stets stellt sich die fundamentale Frage: Wer beobachtet was, von welchem Standpunkt aus und unter welchen Bedingungen? Diese Frage berührt den Kern unseres Verständnisses von Objektivität und Realität in der Physik [2].</w:t>
      </w:r>
    </w:p>
    <w:p w14:paraId="2CD6D049" w14:textId="77777777" w:rsidR="00A11EFC" w:rsidRPr="00A11EFC" w:rsidRDefault="00A11EFC" w:rsidP="00A11EFC">
      <w:p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t>Die historische Entwicklung physikalischer Bezugssysteme ist eng verknüpft mit den großen Paradigmenwechseln der Physik. Beginnend mit der aristotelischen Vorstellung eines teleologisch geordneten Raums, über Galileis Prinzip der gleichförmigen Relativbewegung, Newtons Konzept eines absoluten Raums, bis hin zu Einsteins dynamischer Raumzeit und der Beobachterabhängigkeit der Quantenmechanik, offenbart sich eine ständige Revision unserer grundlegenden Annahmen über die Natur [3][4].</w:t>
      </w:r>
    </w:p>
    <w:p w14:paraId="48013C63" w14:textId="77777777" w:rsidR="00A11EFC" w:rsidRPr="00A11EFC" w:rsidRDefault="00A11EFC" w:rsidP="00A11EFC">
      <w:p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t>Jede dieser Erweiterungen vertieft unser Weltverständnis, erhöht aber auch die kognitiven Anforderungen an Lernende [5]. Diese Arbeit analysiert deshalb nicht nur die historische Entwicklung dieser Konzepte, sondern auch deren didaktisch-methodische Implikationen. Im weiteren Verlauf wird ein funktional-relationales Bezugssystem vorgestellt, das auf aktives Modellieren setzt und in Kapitel 4 ausführlich behandelt wird.</w:t>
      </w:r>
    </w:p>
    <w:p w14:paraId="727680D2" w14:textId="77777777" w:rsidR="00A11EFC" w:rsidRPr="00A11EFC" w:rsidRDefault="00A11EFC" w:rsidP="00A11EFC">
      <w:p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t>Ein klassisches Beispiel für die Relevanz von Bezugssystemen ist Galileis Gedankenexperiment mit dem Schiff. Dieses verdeutlicht, dass keine Bewegung absolut, sondern stets relativ zu einem Beobachterrahmen beschrieben werden kann [6].</w:t>
      </w:r>
    </w:p>
    <w:p w14:paraId="4738F6D8" w14:textId="77777777" w:rsidR="00A11EFC" w:rsidRPr="00A11EFC" w:rsidRDefault="00A11EFC" w:rsidP="00A11EFC">
      <w:pPr>
        <w:spacing w:after="0"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pict w14:anchorId="72FDCD95">
          <v:rect id="_x0000_i1025" style="width:0;height:1.5pt" o:hralign="center" o:hrstd="t" o:hr="t" fillcolor="#a0a0a0" stroked="f"/>
        </w:pict>
      </w:r>
    </w:p>
    <w:p w14:paraId="6F628E5D" w14:textId="77777777" w:rsidR="00A11EFC" w:rsidRPr="00A11EFC" w:rsidRDefault="00A11EFC" w:rsidP="00A11EFC">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A11EFC">
        <w:rPr>
          <w:rFonts w:ascii="Times New Roman" w:eastAsia="Times New Roman" w:hAnsi="Times New Roman" w:cs="Times New Roman"/>
          <w:b/>
          <w:bCs/>
          <w:sz w:val="36"/>
          <w:szCs w:val="36"/>
          <w:lang w:eastAsia="de-DE"/>
        </w:rPr>
        <w:t>2.2 Historische Entwicklung physikalischer Bezugssysteme</w:t>
      </w:r>
    </w:p>
    <w:p w14:paraId="32FC7415" w14:textId="77777777" w:rsidR="00A11EFC" w:rsidRPr="00A11EFC" w:rsidRDefault="00A11EFC" w:rsidP="00A11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11EFC">
        <w:rPr>
          <w:rFonts w:ascii="Times New Roman" w:eastAsia="Times New Roman" w:hAnsi="Times New Roman" w:cs="Times New Roman"/>
          <w:b/>
          <w:bCs/>
          <w:sz w:val="27"/>
          <w:szCs w:val="27"/>
          <w:lang w:eastAsia="de-DE"/>
        </w:rPr>
        <w:t>2.2.1 Antike Weltbilder – Qualitative Ortsbindung</w:t>
      </w:r>
    </w:p>
    <w:p w14:paraId="19FE0B7E" w14:textId="77777777" w:rsidR="00A11EFC" w:rsidRPr="00A11EFC" w:rsidRDefault="00A11EFC" w:rsidP="00A11EFC">
      <w:p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t>In der aristotelischen Physik war der Raum durch Zielgerichtetheit bestimmt: Körper streben ihrem „natürlichen Ort“ entgegen [7].</w:t>
      </w:r>
    </w:p>
    <w:p w14:paraId="420BADA6" w14:textId="77777777" w:rsidR="00A11EFC" w:rsidRPr="00A11EFC" w:rsidRDefault="00A11EFC" w:rsidP="00A11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11EFC">
        <w:rPr>
          <w:rFonts w:ascii="Times New Roman" w:eastAsia="Times New Roman" w:hAnsi="Times New Roman" w:cs="Times New Roman"/>
          <w:b/>
          <w:bCs/>
          <w:sz w:val="27"/>
          <w:szCs w:val="27"/>
          <w:lang w:eastAsia="de-DE"/>
        </w:rPr>
        <w:t>2.2.2 Galilei – Relativität der gleichförmigen Bewegung</w:t>
      </w:r>
    </w:p>
    <w:p w14:paraId="5511A114" w14:textId="77777777" w:rsidR="00A11EFC" w:rsidRPr="00A11EFC" w:rsidRDefault="00A11EFC" w:rsidP="00A11EFC">
      <w:p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t>Galilei führte das Konzept gleichförmiger Bewegung ein, das in allen Inertialsystemen dieselben mechanischen Gesetze gelten [8].</w:t>
      </w:r>
    </w:p>
    <w:p w14:paraId="205D6C10" w14:textId="77777777" w:rsidR="00A11EFC" w:rsidRPr="00A11EFC" w:rsidRDefault="00A11EFC" w:rsidP="00A11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11EFC">
        <w:rPr>
          <w:rFonts w:ascii="Times New Roman" w:eastAsia="Times New Roman" w:hAnsi="Times New Roman" w:cs="Times New Roman"/>
          <w:b/>
          <w:bCs/>
          <w:sz w:val="27"/>
          <w:szCs w:val="27"/>
          <w:lang w:eastAsia="de-DE"/>
        </w:rPr>
        <w:lastRenderedPageBreak/>
        <w:t>2.2.3 Newton – Das Inertialsystem und der absolute Raum</w:t>
      </w:r>
    </w:p>
    <w:p w14:paraId="3B075597" w14:textId="77777777" w:rsidR="00A11EFC" w:rsidRPr="00A11EFC" w:rsidRDefault="00A11EFC" w:rsidP="00A11EFC">
      <w:p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t>Newton postulierte einen absoluten Raum, innerhalb dessen sich Körper bewegen, solange keine Kraft auf sie wirkt [9].</w:t>
      </w:r>
    </w:p>
    <w:p w14:paraId="236B490A" w14:textId="77777777" w:rsidR="00A11EFC" w:rsidRPr="00A11EFC" w:rsidRDefault="00A11EFC" w:rsidP="00A11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11EFC">
        <w:rPr>
          <w:rFonts w:ascii="Times New Roman" w:eastAsia="Times New Roman" w:hAnsi="Times New Roman" w:cs="Times New Roman"/>
          <w:b/>
          <w:bCs/>
          <w:sz w:val="27"/>
          <w:szCs w:val="27"/>
          <w:lang w:eastAsia="de-DE"/>
        </w:rPr>
        <w:t>2.2.4 Einstein – Relativität und Raumzeitstruktur</w:t>
      </w:r>
    </w:p>
    <w:p w14:paraId="65DDCD89" w14:textId="77777777" w:rsidR="00A11EFC" w:rsidRPr="00A11EFC" w:rsidRDefault="00A11EFC" w:rsidP="00A11EFC">
      <w:p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t>Einstein ersetzte den absoluten Raum durch eine gekrümmte Raumzeit, die sich dynamisch mit Masse und Energie verändert [10].</w:t>
      </w:r>
    </w:p>
    <w:p w14:paraId="0922F6DC" w14:textId="77777777" w:rsidR="00A11EFC" w:rsidRPr="00A11EFC" w:rsidRDefault="00A11EFC" w:rsidP="00A11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11EFC">
        <w:rPr>
          <w:rFonts w:ascii="Times New Roman" w:eastAsia="Times New Roman" w:hAnsi="Times New Roman" w:cs="Times New Roman"/>
          <w:b/>
          <w:bCs/>
          <w:sz w:val="27"/>
          <w:szCs w:val="27"/>
          <w:lang w:eastAsia="de-DE"/>
        </w:rPr>
        <w:t>2.2.5 Quantenmechanik – Beobachterabhängigkeit</w:t>
      </w:r>
    </w:p>
    <w:p w14:paraId="1D651397" w14:textId="77777777" w:rsidR="00A11EFC" w:rsidRPr="00A11EFC" w:rsidRDefault="00A11EFC" w:rsidP="00A11EFC">
      <w:p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t>Die Quantenmechanik beschreibt Realität als abhängig vom Beobachtungsprozess; erst die Messung bringt bestimmte Eigenschaften hervor [11].</w:t>
      </w:r>
    </w:p>
    <w:p w14:paraId="49AD4E23" w14:textId="77777777" w:rsidR="00A11EFC" w:rsidRPr="00A11EFC" w:rsidRDefault="00A11EFC" w:rsidP="00A11EFC">
      <w:pPr>
        <w:spacing w:after="0"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pict w14:anchorId="0DC4BCDA">
          <v:rect id="_x0000_i1026" style="width:0;height:1.5pt" o:hralign="center" o:hrstd="t" o:hr="t" fillcolor="#a0a0a0" stroked="f"/>
        </w:pict>
      </w:r>
    </w:p>
    <w:p w14:paraId="189B7D18" w14:textId="77777777" w:rsidR="00A11EFC" w:rsidRPr="00A11EFC" w:rsidRDefault="00A11EFC" w:rsidP="00A11EFC">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A11EFC">
        <w:rPr>
          <w:rFonts w:ascii="Times New Roman" w:eastAsia="Times New Roman" w:hAnsi="Times New Roman" w:cs="Times New Roman"/>
          <w:b/>
          <w:bCs/>
          <w:sz w:val="36"/>
          <w:szCs w:val="36"/>
          <w:lang w:eastAsia="de-DE"/>
        </w:rPr>
        <w:t>2.3 Methodisch-didaktische Bewertung physikalischer Bezugssysteme</w:t>
      </w:r>
    </w:p>
    <w:p w14:paraId="201AB62C" w14:textId="77777777" w:rsidR="00A11EFC" w:rsidRPr="00A11EFC" w:rsidRDefault="00A11EFC" w:rsidP="00A11EFC">
      <w:p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t>Die Vermittlung physikalischer Bezugssysteme steht vor der Herausforderung wachsender Komplexität, Abstraktion und curricularem Zeitdruck [12].</w:t>
      </w:r>
    </w:p>
    <w:p w14:paraId="3BCB6F28" w14:textId="77777777" w:rsidR="00A11EFC" w:rsidRPr="00A11EFC" w:rsidRDefault="00A11EFC" w:rsidP="00A11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11EFC">
        <w:rPr>
          <w:rFonts w:ascii="Times New Roman" w:eastAsia="Times New Roman" w:hAnsi="Times New Roman" w:cs="Times New Roman"/>
          <w:b/>
          <w:bCs/>
          <w:sz w:val="27"/>
          <w:szCs w:val="27"/>
          <w:lang w:eastAsia="de-DE"/>
        </w:rPr>
        <w:t>2.3.1 Linearität versus vernetztes Lernen</w:t>
      </w:r>
    </w:p>
    <w:p w14:paraId="06741BB7" w14:textId="77777777" w:rsidR="00A11EFC" w:rsidRPr="00A11EFC" w:rsidRDefault="00A11EFC" w:rsidP="00A11EFC">
      <w:p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t>Anstelle linearer Abfolgen zeigt die Lernforschung die Effektivität vernetzter, kontextbasierter Vermittlung [13][14].</w:t>
      </w:r>
    </w:p>
    <w:p w14:paraId="2F57E837" w14:textId="77777777" w:rsidR="00A11EFC" w:rsidRPr="00A11EFC" w:rsidRDefault="00A11EFC" w:rsidP="00A11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11EFC">
        <w:rPr>
          <w:rFonts w:ascii="Times New Roman" w:eastAsia="Times New Roman" w:hAnsi="Times New Roman" w:cs="Times New Roman"/>
          <w:b/>
          <w:bCs/>
          <w:sz w:val="27"/>
          <w:szCs w:val="27"/>
          <w:lang w:eastAsia="de-DE"/>
        </w:rPr>
        <w:t>2.3.2 Verlust der Anschaulichkeit</w:t>
      </w:r>
    </w:p>
    <w:p w14:paraId="5A744A50" w14:textId="77777777" w:rsidR="00A11EFC" w:rsidRPr="00A11EFC" w:rsidRDefault="00A11EFC" w:rsidP="00A11EFC">
      <w:p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t>Je abstrakter ein Bezugssystem, desto schwieriger wird dessen Anschaulichkeit für Lernende – insbesondere bei Raumzeitmodellen oder quantenmechanischen Zuständen [15].</w:t>
      </w:r>
    </w:p>
    <w:p w14:paraId="3A53D214" w14:textId="77777777" w:rsidR="00A11EFC" w:rsidRPr="00A11EFC" w:rsidRDefault="00A11EFC" w:rsidP="00A11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11EFC">
        <w:rPr>
          <w:rFonts w:ascii="Times New Roman" w:eastAsia="Times New Roman" w:hAnsi="Times New Roman" w:cs="Times New Roman"/>
          <w:b/>
          <w:bCs/>
          <w:sz w:val="27"/>
          <w:szCs w:val="27"/>
          <w:lang w:eastAsia="de-DE"/>
        </w:rPr>
        <w:t>2.3.3 Wissenszunahme versus curriculare Machbarkeit</w:t>
      </w:r>
    </w:p>
    <w:p w14:paraId="3CAF1C23" w14:textId="77777777" w:rsidR="00A11EFC" w:rsidRPr="00A11EFC" w:rsidRDefault="00A11EFC" w:rsidP="00A11EFC">
      <w:p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t>Die zunehmende Wissensfülle in der Physik erschwert eine sinnvolle Auswahl und Integration in den Unterricht [16].</w:t>
      </w:r>
    </w:p>
    <w:p w14:paraId="24D74082" w14:textId="77777777" w:rsidR="00A11EFC" w:rsidRPr="00A11EFC" w:rsidRDefault="00A11EFC" w:rsidP="00A11EFC">
      <w:pPr>
        <w:spacing w:after="0"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pict w14:anchorId="4F8DA414">
          <v:rect id="_x0000_i1027" style="width:0;height:1.5pt" o:hralign="center" o:hrstd="t" o:hr="t" fillcolor="#a0a0a0" stroked="f"/>
        </w:pict>
      </w:r>
    </w:p>
    <w:p w14:paraId="70D2943D" w14:textId="77777777" w:rsidR="00A11EFC" w:rsidRPr="00A11EFC" w:rsidRDefault="00A11EFC" w:rsidP="00A11EFC">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A11EFC">
        <w:rPr>
          <w:rFonts w:ascii="Times New Roman" w:eastAsia="Times New Roman" w:hAnsi="Times New Roman" w:cs="Times New Roman"/>
          <w:b/>
          <w:bCs/>
          <w:sz w:val="36"/>
          <w:szCs w:val="36"/>
          <w:lang w:eastAsia="de-DE"/>
        </w:rPr>
        <w:t>2.4 Ausblick: Funktional-relationales Bezugssystem</w:t>
      </w:r>
    </w:p>
    <w:p w14:paraId="598DE045" w14:textId="77777777" w:rsidR="00A11EFC" w:rsidRPr="00A11EFC" w:rsidRDefault="00A11EFC" w:rsidP="00A11EFC">
      <w:p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t>Ein funktional-relationales Bezugssystem orientiert sich am Spiralprinzip und konstruktivistischen Lehrmodellen: Lernende konstruieren eigene Bezugssysteme, statt sie nur rezipieren [17][18].</w:t>
      </w:r>
    </w:p>
    <w:p w14:paraId="32E19780" w14:textId="77777777" w:rsidR="00A11EFC" w:rsidRPr="00A11EFC" w:rsidRDefault="00A11EFC" w:rsidP="00A11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11EFC">
        <w:rPr>
          <w:rFonts w:ascii="Times New Roman" w:eastAsia="Times New Roman" w:hAnsi="Times New Roman" w:cs="Times New Roman"/>
          <w:b/>
          <w:bCs/>
          <w:sz w:val="27"/>
          <w:szCs w:val="27"/>
          <w:lang w:eastAsia="de-DE"/>
        </w:rPr>
        <w:t>2.4.1 Methodischer Anspruch</w:t>
      </w:r>
    </w:p>
    <w:p w14:paraId="137DDA93" w14:textId="77777777" w:rsidR="00A11EFC" w:rsidRPr="00A11EFC" w:rsidRDefault="00A11EFC" w:rsidP="00A11EFC">
      <w:p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lastRenderedPageBreak/>
        <w:t>Basierend auf Bruner und Seel liegt der Fokus auf aktiver Wissenskonstruktion durch Modellieren und Reflexion [17][19].</w:t>
      </w:r>
    </w:p>
    <w:p w14:paraId="5E370168" w14:textId="77777777" w:rsidR="00A11EFC" w:rsidRPr="00A11EFC" w:rsidRDefault="00A11EFC" w:rsidP="00A11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11EFC">
        <w:rPr>
          <w:rFonts w:ascii="Times New Roman" w:eastAsia="Times New Roman" w:hAnsi="Times New Roman" w:cs="Times New Roman"/>
          <w:b/>
          <w:bCs/>
          <w:sz w:val="27"/>
          <w:szCs w:val="27"/>
          <w:lang w:eastAsia="de-DE"/>
        </w:rPr>
        <w:t>2.4.2 Didaktische Herausforderungen</w:t>
      </w:r>
    </w:p>
    <w:p w14:paraId="7F3DE1F9" w14:textId="77777777" w:rsidR="00A11EFC" w:rsidRPr="00A11EFC" w:rsidRDefault="00A11EFC" w:rsidP="00A11EFC">
      <w:p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t>Abstrakte Konzepte wie Raumzeitkrümmung benötigen unterstützende Visualisierung und Simulation [20].</w:t>
      </w:r>
    </w:p>
    <w:p w14:paraId="0412FC94" w14:textId="77777777" w:rsidR="00A11EFC" w:rsidRPr="00A11EFC" w:rsidRDefault="00A11EFC" w:rsidP="00A11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A11EFC">
        <w:rPr>
          <w:rFonts w:ascii="Times New Roman" w:eastAsia="Times New Roman" w:hAnsi="Times New Roman" w:cs="Times New Roman"/>
          <w:b/>
          <w:bCs/>
          <w:sz w:val="27"/>
          <w:szCs w:val="27"/>
          <w:lang w:eastAsia="de-DE"/>
        </w:rPr>
        <w:t>2.4.3 Kontrast zu klassischen Modellen</w:t>
      </w:r>
    </w:p>
    <w:p w14:paraId="67707BA0" w14:textId="77777777" w:rsidR="00A11EFC" w:rsidRPr="00A11EFC" w:rsidRDefault="00A11EFC" w:rsidP="00A11EFC">
      <w:p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t>Im Gegensatz zu klassischen Modellen wird hier die Kontext- und Beobachterabhängigkeit betont, was systemisches Denken erforderlich macht [21].</w:t>
      </w:r>
    </w:p>
    <w:p w14:paraId="61439C5D" w14:textId="77777777" w:rsidR="00A11EFC" w:rsidRPr="00A11EFC" w:rsidRDefault="00A11EFC" w:rsidP="00A11EFC">
      <w:pPr>
        <w:spacing w:after="0"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pict w14:anchorId="07DC658A">
          <v:rect id="_x0000_i1028" style="width:0;height:1.5pt" o:hralign="center" o:hrstd="t" o:hr="t" fillcolor="#a0a0a0" stroked="f"/>
        </w:pict>
      </w:r>
    </w:p>
    <w:p w14:paraId="79D2838F" w14:textId="77777777" w:rsidR="00A11EFC" w:rsidRPr="00A11EFC" w:rsidRDefault="00A11EFC" w:rsidP="00A11EFC">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A11EFC">
        <w:rPr>
          <w:rFonts w:ascii="Times New Roman" w:eastAsia="Times New Roman" w:hAnsi="Times New Roman" w:cs="Times New Roman"/>
          <w:b/>
          <w:bCs/>
          <w:sz w:val="36"/>
          <w:szCs w:val="36"/>
          <w:lang w:eastAsia="de-DE"/>
        </w:rPr>
        <w:t>2.5 Didaktische Empfehlungen zur Vermittlung physikalischer Bezugssysteme</w:t>
      </w:r>
    </w:p>
    <w:p w14:paraId="1C0DF4BF" w14:textId="77777777" w:rsidR="00A11EFC" w:rsidRPr="00A11EFC" w:rsidRDefault="00A11EFC" w:rsidP="00A11EFC">
      <w:p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t>Um die Konzepte erfolgreich zu vermitteln, bieten sich folgende Strategien an:</w:t>
      </w:r>
    </w:p>
    <w:p w14:paraId="5E72F729" w14:textId="77777777" w:rsidR="00A11EFC" w:rsidRPr="00A11EFC" w:rsidRDefault="00A11EFC" w:rsidP="00A11EFC">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b/>
          <w:bCs/>
          <w:sz w:val="24"/>
          <w:szCs w:val="24"/>
          <w:lang w:eastAsia="de-DE"/>
        </w:rPr>
        <w:t>Spiralprinzip:</w:t>
      </w:r>
      <w:r w:rsidRPr="00A11EFC">
        <w:rPr>
          <w:rFonts w:ascii="Times New Roman" w:eastAsia="Times New Roman" w:hAnsi="Times New Roman" w:cs="Times New Roman"/>
          <w:sz w:val="24"/>
          <w:szCs w:val="24"/>
          <w:lang w:eastAsia="de-DE"/>
        </w:rPr>
        <w:t xml:space="preserve"> Stufenweise Erhöhung des Abstraktionsniveaus [17].</w:t>
      </w:r>
    </w:p>
    <w:p w14:paraId="7B80CD70" w14:textId="77777777" w:rsidR="00A11EFC" w:rsidRPr="00A11EFC" w:rsidRDefault="00A11EFC" w:rsidP="00A11EFC">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b/>
          <w:bCs/>
          <w:sz w:val="24"/>
          <w:szCs w:val="24"/>
          <w:lang w:eastAsia="de-DE"/>
        </w:rPr>
        <w:t>Hybride Konzepte:</w:t>
      </w:r>
      <w:r w:rsidRPr="00A11EFC">
        <w:rPr>
          <w:rFonts w:ascii="Times New Roman" w:eastAsia="Times New Roman" w:hAnsi="Times New Roman" w:cs="Times New Roman"/>
          <w:sz w:val="24"/>
          <w:szCs w:val="24"/>
          <w:lang w:eastAsia="de-DE"/>
        </w:rPr>
        <w:t xml:space="preserve"> Verbindung mit Alltagsanwendungen (z. B. GPS) [16].</w:t>
      </w:r>
    </w:p>
    <w:p w14:paraId="175630F5" w14:textId="77777777" w:rsidR="00A11EFC" w:rsidRPr="00A11EFC" w:rsidRDefault="00A11EFC" w:rsidP="00A11EFC">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b/>
          <w:bCs/>
          <w:sz w:val="24"/>
          <w:szCs w:val="24"/>
          <w:lang w:eastAsia="de-DE"/>
        </w:rPr>
        <w:t>Simulationen:</w:t>
      </w:r>
      <w:r w:rsidRPr="00A11EFC">
        <w:rPr>
          <w:rFonts w:ascii="Times New Roman" w:eastAsia="Times New Roman" w:hAnsi="Times New Roman" w:cs="Times New Roman"/>
          <w:sz w:val="24"/>
          <w:szCs w:val="24"/>
          <w:lang w:eastAsia="de-DE"/>
        </w:rPr>
        <w:t xml:space="preserve"> Einsatz digitaler Werkzeuge wie GeoGebra oder Python [20].</w:t>
      </w:r>
    </w:p>
    <w:p w14:paraId="60A0F6CD" w14:textId="77777777" w:rsidR="00A11EFC" w:rsidRPr="00A11EFC" w:rsidRDefault="00A11EFC" w:rsidP="00A11EFC">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b/>
          <w:bCs/>
          <w:sz w:val="24"/>
          <w:szCs w:val="24"/>
          <w:lang w:eastAsia="de-DE"/>
        </w:rPr>
        <w:t>Fehlerkultur:</w:t>
      </w:r>
      <w:r w:rsidRPr="00A11EFC">
        <w:rPr>
          <w:rFonts w:ascii="Times New Roman" w:eastAsia="Times New Roman" w:hAnsi="Times New Roman" w:cs="Times New Roman"/>
          <w:sz w:val="24"/>
          <w:szCs w:val="24"/>
          <w:lang w:eastAsia="de-DE"/>
        </w:rPr>
        <w:t xml:space="preserve"> Fehler als Ausgangspunkt für metakognitive Lernprozesse [22].</w:t>
      </w:r>
    </w:p>
    <w:p w14:paraId="1A290179" w14:textId="77777777" w:rsidR="00A11EFC" w:rsidRPr="00A11EFC" w:rsidRDefault="00A11EFC" w:rsidP="00A11EFC">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b/>
          <w:bCs/>
          <w:sz w:val="24"/>
          <w:szCs w:val="24"/>
          <w:lang w:eastAsia="de-DE"/>
        </w:rPr>
        <w:t>Modularisierung:</w:t>
      </w:r>
      <w:r w:rsidRPr="00A11EFC">
        <w:rPr>
          <w:rFonts w:ascii="Times New Roman" w:eastAsia="Times New Roman" w:hAnsi="Times New Roman" w:cs="Times New Roman"/>
          <w:sz w:val="24"/>
          <w:szCs w:val="24"/>
          <w:lang w:eastAsia="de-DE"/>
        </w:rPr>
        <w:t xml:space="preserve"> Aufgliederung in nachvollziehbare Lerneinheiten [19].</w:t>
      </w:r>
    </w:p>
    <w:p w14:paraId="322A411F" w14:textId="77777777" w:rsidR="00A11EFC" w:rsidRPr="00A11EFC" w:rsidRDefault="00A11EFC" w:rsidP="00A11EFC">
      <w:pPr>
        <w:spacing w:after="0"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pict w14:anchorId="2D30238B">
          <v:rect id="_x0000_i1029" style="width:0;height:1.5pt" o:hralign="center" o:hrstd="t" o:hr="t" fillcolor="#a0a0a0" stroked="f"/>
        </w:pict>
      </w:r>
    </w:p>
    <w:p w14:paraId="1A1104A7" w14:textId="77777777" w:rsidR="00A11EFC" w:rsidRPr="00A11EFC" w:rsidRDefault="00A11EFC" w:rsidP="00A11EFC">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A11EFC">
        <w:rPr>
          <w:rFonts w:ascii="Times New Roman" w:eastAsia="Times New Roman" w:hAnsi="Times New Roman" w:cs="Times New Roman"/>
          <w:b/>
          <w:bCs/>
          <w:sz w:val="36"/>
          <w:szCs w:val="36"/>
          <w:lang w:eastAsia="de-DE"/>
        </w:rPr>
        <w:t>2.6 Fazit</w:t>
      </w:r>
    </w:p>
    <w:p w14:paraId="19EC2B99" w14:textId="77777777" w:rsidR="00A11EFC" w:rsidRPr="00A11EFC" w:rsidRDefault="00A11EFC" w:rsidP="00A11EFC">
      <w:p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t>Physikalische Bezugssysteme sind nicht nur methodische Konstrukte, sondern Erkenntnisrahmen, die unser Weltbild prägen. Ihre Entwicklung spiegelt wissenschaftliche Umbrüche wider, und ihre Vermittlung verlangt didaktische Innovationen. Das funktional-relational gedachte Bezugssystem bietet eine zukunftsweisende Perspektive, indem es Perspektivität, Kontextualität und aktives Lernen integriert. Damit wird nicht nur Wissen vermittelt, sondern physikalisches Denken gefördert.</w:t>
      </w:r>
    </w:p>
    <w:p w14:paraId="14515783" w14:textId="77777777" w:rsidR="00A11EFC" w:rsidRPr="00A11EFC" w:rsidRDefault="00A11EFC" w:rsidP="00A11EFC">
      <w:pPr>
        <w:spacing w:after="0"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pict w14:anchorId="2AD05F1E">
          <v:rect id="_x0000_i1030" style="width:0;height:1.5pt" o:hralign="center" o:hrstd="t" o:hr="t" fillcolor="#a0a0a0" stroked="f"/>
        </w:pict>
      </w:r>
    </w:p>
    <w:p w14:paraId="0F9708A5" w14:textId="77777777" w:rsidR="00A11EFC" w:rsidRPr="00A11EFC" w:rsidRDefault="00A11EFC" w:rsidP="00A11EFC">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A11EFC">
        <w:rPr>
          <w:rFonts w:ascii="Segoe UI Emoji" w:eastAsia="Times New Roman" w:hAnsi="Segoe UI Emoji" w:cs="Segoe UI Emoji"/>
          <w:b/>
          <w:bCs/>
          <w:sz w:val="36"/>
          <w:szCs w:val="36"/>
          <w:lang w:eastAsia="de-DE"/>
        </w:rPr>
        <w:t>📚</w:t>
      </w:r>
      <w:r w:rsidRPr="00A11EFC">
        <w:rPr>
          <w:rFonts w:ascii="Times New Roman" w:eastAsia="Times New Roman" w:hAnsi="Times New Roman" w:cs="Times New Roman"/>
          <w:b/>
          <w:bCs/>
          <w:sz w:val="36"/>
          <w:szCs w:val="36"/>
          <w:lang w:eastAsia="de-DE"/>
        </w:rPr>
        <w:t xml:space="preserve"> Literaturverzeichnis Kapitel 2</w:t>
      </w:r>
    </w:p>
    <w:p w14:paraId="3033636E" w14:textId="77777777" w:rsidR="00A11EFC" w:rsidRPr="00A11EFC" w:rsidRDefault="00A11EFC" w:rsidP="00A11EFC">
      <w:pPr>
        <w:spacing w:before="100" w:beforeAutospacing="1" w:after="100" w:afterAutospacing="1" w:line="240" w:lineRule="auto"/>
        <w:rPr>
          <w:rFonts w:ascii="Times New Roman" w:eastAsia="Times New Roman" w:hAnsi="Times New Roman" w:cs="Times New Roman"/>
          <w:sz w:val="24"/>
          <w:szCs w:val="24"/>
          <w:lang w:eastAsia="de-DE"/>
        </w:rPr>
      </w:pPr>
      <w:r w:rsidRPr="00A11EFC">
        <w:rPr>
          <w:rFonts w:ascii="Times New Roman" w:eastAsia="Times New Roman" w:hAnsi="Times New Roman" w:cs="Times New Roman"/>
          <w:sz w:val="24"/>
          <w:szCs w:val="24"/>
          <w:lang w:eastAsia="de-DE"/>
        </w:rPr>
        <w:t xml:space="preserve">[1] Jammer, M. (1954). </w:t>
      </w:r>
      <w:proofErr w:type="spellStart"/>
      <w:r w:rsidRPr="00A11EFC">
        <w:rPr>
          <w:rFonts w:ascii="Times New Roman" w:eastAsia="Times New Roman" w:hAnsi="Times New Roman" w:cs="Times New Roman"/>
          <w:i/>
          <w:iCs/>
          <w:sz w:val="24"/>
          <w:szCs w:val="24"/>
          <w:lang w:eastAsia="de-DE"/>
        </w:rPr>
        <w:t>Concepts</w:t>
      </w:r>
      <w:proofErr w:type="spellEnd"/>
      <w:r w:rsidRPr="00A11EFC">
        <w:rPr>
          <w:rFonts w:ascii="Times New Roman" w:eastAsia="Times New Roman" w:hAnsi="Times New Roman" w:cs="Times New Roman"/>
          <w:i/>
          <w:iCs/>
          <w:sz w:val="24"/>
          <w:szCs w:val="24"/>
          <w:lang w:eastAsia="de-DE"/>
        </w:rPr>
        <w:t xml:space="preserve"> </w:t>
      </w:r>
      <w:proofErr w:type="spellStart"/>
      <w:r w:rsidRPr="00A11EFC">
        <w:rPr>
          <w:rFonts w:ascii="Times New Roman" w:eastAsia="Times New Roman" w:hAnsi="Times New Roman" w:cs="Times New Roman"/>
          <w:i/>
          <w:iCs/>
          <w:sz w:val="24"/>
          <w:szCs w:val="24"/>
          <w:lang w:eastAsia="de-DE"/>
        </w:rPr>
        <w:t>of</w:t>
      </w:r>
      <w:proofErr w:type="spellEnd"/>
      <w:r w:rsidRPr="00A11EFC">
        <w:rPr>
          <w:rFonts w:ascii="Times New Roman" w:eastAsia="Times New Roman" w:hAnsi="Times New Roman" w:cs="Times New Roman"/>
          <w:i/>
          <w:iCs/>
          <w:sz w:val="24"/>
          <w:szCs w:val="24"/>
          <w:lang w:eastAsia="de-DE"/>
        </w:rPr>
        <w:t xml:space="preserve"> Space</w:t>
      </w:r>
      <w:r w:rsidRPr="00A11EFC">
        <w:rPr>
          <w:rFonts w:ascii="Times New Roman" w:eastAsia="Times New Roman" w:hAnsi="Times New Roman" w:cs="Times New Roman"/>
          <w:sz w:val="24"/>
          <w:szCs w:val="24"/>
          <w:lang w:eastAsia="de-DE"/>
        </w:rPr>
        <w:t>. Harvard University Press.</w:t>
      </w:r>
      <w:r w:rsidRPr="00A11EFC">
        <w:rPr>
          <w:rFonts w:ascii="Times New Roman" w:eastAsia="Times New Roman" w:hAnsi="Times New Roman" w:cs="Times New Roman"/>
          <w:sz w:val="24"/>
          <w:szCs w:val="24"/>
          <w:lang w:eastAsia="de-DE"/>
        </w:rPr>
        <w:br/>
        <w:t xml:space="preserve">[2] Kuhn, T. S. (1962). </w:t>
      </w:r>
      <w:r w:rsidRPr="00A11EFC">
        <w:rPr>
          <w:rFonts w:ascii="Times New Roman" w:eastAsia="Times New Roman" w:hAnsi="Times New Roman" w:cs="Times New Roman"/>
          <w:i/>
          <w:iCs/>
          <w:sz w:val="24"/>
          <w:szCs w:val="24"/>
          <w:lang w:eastAsia="de-DE"/>
        </w:rPr>
        <w:t xml:space="preserve">The </w:t>
      </w:r>
      <w:proofErr w:type="spellStart"/>
      <w:r w:rsidRPr="00A11EFC">
        <w:rPr>
          <w:rFonts w:ascii="Times New Roman" w:eastAsia="Times New Roman" w:hAnsi="Times New Roman" w:cs="Times New Roman"/>
          <w:i/>
          <w:iCs/>
          <w:sz w:val="24"/>
          <w:szCs w:val="24"/>
          <w:lang w:eastAsia="de-DE"/>
        </w:rPr>
        <w:t>Structure</w:t>
      </w:r>
      <w:proofErr w:type="spellEnd"/>
      <w:r w:rsidRPr="00A11EFC">
        <w:rPr>
          <w:rFonts w:ascii="Times New Roman" w:eastAsia="Times New Roman" w:hAnsi="Times New Roman" w:cs="Times New Roman"/>
          <w:i/>
          <w:iCs/>
          <w:sz w:val="24"/>
          <w:szCs w:val="24"/>
          <w:lang w:eastAsia="de-DE"/>
        </w:rPr>
        <w:t xml:space="preserve"> </w:t>
      </w:r>
      <w:proofErr w:type="spellStart"/>
      <w:r w:rsidRPr="00A11EFC">
        <w:rPr>
          <w:rFonts w:ascii="Times New Roman" w:eastAsia="Times New Roman" w:hAnsi="Times New Roman" w:cs="Times New Roman"/>
          <w:i/>
          <w:iCs/>
          <w:sz w:val="24"/>
          <w:szCs w:val="24"/>
          <w:lang w:eastAsia="de-DE"/>
        </w:rPr>
        <w:t>of</w:t>
      </w:r>
      <w:proofErr w:type="spellEnd"/>
      <w:r w:rsidRPr="00A11EFC">
        <w:rPr>
          <w:rFonts w:ascii="Times New Roman" w:eastAsia="Times New Roman" w:hAnsi="Times New Roman" w:cs="Times New Roman"/>
          <w:i/>
          <w:iCs/>
          <w:sz w:val="24"/>
          <w:szCs w:val="24"/>
          <w:lang w:eastAsia="de-DE"/>
        </w:rPr>
        <w:t xml:space="preserve"> Scientific </w:t>
      </w:r>
      <w:proofErr w:type="spellStart"/>
      <w:r w:rsidRPr="00A11EFC">
        <w:rPr>
          <w:rFonts w:ascii="Times New Roman" w:eastAsia="Times New Roman" w:hAnsi="Times New Roman" w:cs="Times New Roman"/>
          <w:i/>
          <w:iCs/>
          <w:sz w:val="24"/>
          <w:szCs w:val="24"/>
          <w:lang w:eastAsia="de-DE"/>
        </w:rPr>
        <w:t>Revolutions</w:t>
      </w:r>
      <w:proofErr w:type="spellEnd"/>
      <w:r w:rsidRPr="00A11EFC">
        <w:rPr>
          <w:rFonts w:ascii="Times New Roman" w:eastAsia="Times New Roman" w:hAnsi="Times New Roman" w:cs="Times New Roman"/>
          <w:sz w:val="24"/>
          <w:szCs w:val="24"/>
          <w:lang w:eastAsia="de-DE"/>
        </w:rPr>
        <w:t xml:space="preserve">. University </w:t>
      </w:r>
      <w:proofErr w:type="spellStart"/>
      <w:r w:rsidRPr="00A11EFC">
        <w:rPr>
          <w:rFonts w:ascii="Times New Roman" w:eastAsia="Times New Roman" w:hAnsi="Times New Roman" w:cs="Times New Roman"/>
          <w:sz w:val="24"/>
          <w:szCs w:val="24"/>
          <w:lang w:eastAsia="de-DE"/>
        </w:rPr>
        <w:t>of</w:t>
      </w:r>
      <w:proofErr w:type="spellEnd"/>
      <w:r w:rsidRPr="00A11EFC">
        <w:rPr>
          <w:rFonts w:ascii="Times New Roman" w:eastAsia="Times New Roman" w:hAnsi="Times New Roman" w:cs="Times New Roman"/>
          <w:sz w:val="24"/>
          <w:szCs w:val="24"/>
          <w:lang w:eastAsia="de-DE"/>
        </w:rPr>
        <w:t xml:space="preserve"> Chicago Press.</w:t>
      </w:r>
      <w:r w:rsidRPr="00A11EFC">
        <w:rPr>
          <w:rFonts w:ascii="Times New Roman" w:eastAsia="Times New Roman" w:hAnsi="Times New Roman" w:cs="Times New Roman"/>
          <w:sz w:val="24"/>
          <w:szCs w:val="24"/>
          <w:lang w:eastAsia="de-DE"/>
        </w:rPr>
        <w:br/>
        <w:t xml:space="preserve">[3] Cohen, I. B. (1985). </w:t>
      </w:r>
      <w:r w:rsidRPr="00A11EFC">
        <w:rPr>
          <w:rFonts w:ascii="Times New Roman" w:eastAsia="Times New Roman" w:hAnsi="Times New Roman" w:cs="Times New Roman"/>
          <w:i/>
          <w:iCs/>
          <w:sz w:val="24"/>
          <w:szCs w:val="24"/>
          <w:lang w:eastAsia="de-DE"/>
        </w:rPr>
        <w:t>Revolution in Science</w:t>
      </w:r>
      <w:r w:rsidRPr="00A11EFC">
        <w:rPr>
          <w:rFonts w:ascii="Times New Roman" w:eastAsia="Times New Roman" w:hAnsi="Times New Roman" w:cs="Times New Roman"/>
          <w:sz w:val="24"/>
          <w:szCs w:val="24"/>
          <w:lang w:eastAsia="de-DE"/>
        </w:rPr>
        <w:t xml:space="preserve">. </w:t>
      </w:r>
      <w:proofErr w:type="spellStart"/>
      <w:r w:rsidRPr="00A11EFC">
        <w:rPr>
          <w:rFonts w:ascii="Times New Roman" w:eastAsia="Times New Roman" w:hAnsi="Times New Roman" w:cs="Times New Roman"/>
          <w:sz w:val="24"/>
          <w:szCs w:val="24"/>
          <w:lang w:eastAsia="de-DE"/>
        </w:rPr>
        <w:t>Belknap</w:t>
      </w:r>
      <w:proofErr w:type="spellEnd"/>
      <w:r w:rsidRPr="00A11EFC">
        <w:rPr>
          <w:rFonts w:ascii="Times New Roman" w:eastAsia="Times New Roman" w:hAnsi="Times New Roman" w:cs="Times New Roman"/>
          <w:sz w:val="24"/>
          <w:szCs w:val="24"/>
          <w:lang w:eastAsia="de-DE"/>
        </w:rPr>
        <w:t xml:space="preserve"> Press.</w:t>
      </w:r>
      <w:r w:rsidRPr="00A11EFC">
        <w:rPr>
          <w:rFonts w:ascii="Times New Roman" w:eastAsia="Times New Roman" w:hAnsi="Times New Roman" w:cs="Times New Roman"/>
          <w:sz w:val="24"/>
          <w:szCs w:val="24"/>
          <w:lang w:eastAsia="de-DE"/>
        </w:rPr>
        <w:br/>
        <w:t xml:space="preserve">[4] Heisenberg, W. (1958). </w:t>
      </w:r>
      <w:r w:rsidRPr="00A11EFC">
        <w:rPr>
          <w:rFonts w:ascii="Times New Roman" w:eastAsia="Times New Roman" w:hAnsi="Times New Roman" w:cs="Times New Roman"/>
          <w:i/>
          <w:iCs/>
          <w:sz w:val="24"/>
          <w:szCs w:val="24"/>
          <w:lang w:eastAsia="de-DE"/>
        </w:rPr>
        <w:t>Physics and Philosophy</w:t>
      </w:r>
      <w:r w:rsidRPr="00A11EFC">
        <w:rPr>
          <w:rFonts w:ascii="Times New Roman" w:eastAsia="Times New Roman" w:hAnsi="Times New Roman" w:cs="Times New Roman"/>
          <w:sz w:val="24"/>
          <w:szCs w:val="24"/>
          <w:lang w:eastAsia="de-DE"/>
        </w:rPr>
        <w:t xml:space="preserve">. Harper &amp; </w:t>
      </w:r>
      <w:proofErr w:type="spellStart"/>
      <w:r w:rsidRPr="00A11EFC">
        <w:rPr>
          <w:rFonts w:ascii="Times New Roman" w:eastAsia="Times New Roman" w:hAnsi="Times New Roman" w:cs="Times New Roman"/>
          <w:sz w:val="24"/>
          <w:szCs w:val="24"/>
          <w:lang w:eastAsia="de-DE"/>
        </w:rPr>
        <w:t>Row</w:t>
      </w:r>
      <w:proofErr w:type="spellEnd"/>
      <w:r w:rsidRPr="00A11EFC">
        <w:rPr>
          <w:rFonts w:ascii="Times New Roman" w:eastAsia="Times New Roman" w:hAnsi="Times New Roman" w:cs="Times New Roman"/>
          <w:sz w:val="24"/>
          <w:szCs w:val="24"/>
          <w:lang w:eastAsia="de-DE"/>
        </w:rPr>
        <w:t>.</w:t>
      </w:r>
      <w:r w:rsidRPr="00A11EFC">
        <w:rPr>
          <w:rFonts w:ascii="Times New Roman" w:eastAsia="Times New Roman" w:hAnsi="Times New Roman" w:cs="Times New Roman"/>
          <w:sz w:val="24"/>
          <w:szCs w:val="24"/>
          <w:lang w:eastAsia="de-DE"/>
        </w:rPr>
        <w:br/>
        <w:t xml:space="preserve">[5] Piaget, J. (1972). </w:t>
      </w:r>
      <w:r w:rsidRPr="00A11EFC">
        <w:rPr>
          <w:rFonts w:ascii="Times New Roman" w:eastAsia="Times New Roman" w:hAnsi="Times New Roman" w:cs="Times New Roman"/>
          <w:i/>
          <w:iCs/>
          <w:sz w:val="24"/>
          <w:szCs w:val="24"/>
          <w:lang w:eastAsia="de-DE"/>
        </w:rPr>
        <w:t xml:space="preserve">The </w:t>
      </w:r>
      <w:proofErr w:type="spellStart"/>
      <w:r w:rsidRPr="00A11EFC">
        <w:rPr>
          <w:rFonts w:ascii="Times New Roman" w:eastAsia="Times New Roman" w:hAnsi="Times New Roman" w:cs="Times New Roman"/>
          <w:i/>
          <w:iCs/>
          <w:sz w:val="24"/>
          <w:szCs w:val="24"/>
          <w:lang w:eastAsia="de-DE"/>
        </w:rPr>
        <w:t>Principles</w:t>
      </w:r>
      <w:proofErr w:type="spellEnd"/>
      <w:r w:rsidRPr="00A11EFC">
        <w:rPr>
          <w:rFonts w:ascii="Times New Roman" w:eastAsia="Times New Roman" w:hAnsi="Times New Roman" w:cs="Times New Roman"/>
          <w:i/>
          <w:iCs/>
          <w:sz w:val="24"/>
          <w:szCs w:val="24"/>
          <w:lang w:eastAsia="de-DE"/>
        </w:rPr>
        <w:t xml:space="preserve"> </w:t>
      </w:r>
      <w:proofErr w:type="spellStart"/>
      <w:r w:rsidRPr="00A11EFC">
        <w:rPr>
          <w:rFonts w:ascii="Times New Roman" w:eastAsia="Times New Roman" w:hAnsi="Times New Roman" w:cs="Times New Roman"/>
          <w:i/>
          <w:iCs/>
          <w:sz w:val="24"/>
          <w:szCs w:val="24"/>
          <w:lang w:eastAsia="de-DE"/>
        </w:rPr>
        <w:t>of</w:t>
      </w:r>
      <w:proofErr w:type="spellEnd"/>
      <w:r w:rsidRPr="00A11EFC">
        <w:rPr>
          <w:rFonts w:ascii="Times New Roman" w:eastAsia="Times New Roman" w:hAnsi="Times New Roman" w:cs="Times New Roman"/>
          <w:i/>
          <w:iCs/>
          <w:sz w:val="24"/>
          <w:szCs w:val="24"/>
          <w:lang w:eastAsia="de-DE"/>
        </w:rPr>
        <w:t xml:space="preserve"> Genetic </w:t>
      </w:r>
      <w:proofErr w:type="spellStart"/>
      <w:r w:rsidRPr="00A11EFC">
        <w:rPr>
          <w:rFonts w:ascii="Times New Roman" w:eastAsia="Times New Roman" w:hAnsi="Times New Roman" w:cs="Times New Roman"/>
          <w:i/>
          <w:iCs/>
          <w:sz w:val="24"/>
          <w:szCs w:val="24"/>
          <w:lang w:eastAsia="de-DE"/>
        </w:rPr>
        <w:t>Epistemology</w:t>
      </w:r>
      <w:proofErr w:type="spellEnd"/>
      <w:r w:rsidRPr="00A11EFC">
        <w:rPr>
          <w:rFonts w:ascii="Times New Roman" w:eastAsia="Times New Roman" w:hAnsi="Times New Roman" w:cs="Times New Roman"/>
          <w:sz w:val="24"/>
          <w:szCs w:val="24"/>
          <w:lang w:eastAsia="de-DE"/>
        </w:rPr>
        <w:t>. Routledge.</w:t>
      </w:r>
      <w:r w:rsidRPr="00A11EFC">
        <w:rPr>
          <w:rFonts w:ascii="Times New Roman" w:eastAsia="Times New Roman" w:hAnsi="Times New Roman" w:cs="Times New Roman"/>
          <w:sz w:val="24"/>
          <w:szCs w:val="24"/>
          <w:lang w:eastAsia="de-DE"/>
        </w:rPr>
        <w:br/>
        <w:t xml:space="preserve">[6] Galilei, G. (1632). </w:t>
      </w:r>
      <w:proofErr w:type="spellStart"/>
      <w:r w:rsidRPr="00A11EFC">
        <w:rPr>
          <w:rFonts w:ascii="Times New Roman" w:eastAsia="Times New Roman" w:hAnsi="Times New Roman" w:cs="Times New Roman"/>
          <w:i/>
          <w:iCs/>
          <w:sz w:val="24"/>
          <w:szCs w:val="24"/>
          <w:lang w:eastAsia="de-DE"/>
        </w:rPr>
        <w:t>Dialogues</w:t>
      </w:r>
      <w:proofErr w:type="spellEnd"/>
      <w:r w:rsidRPr="00A11EFC">
        <w:rPr>
          <w:rFonts w:ascii="Times New Roman" w:eastAsia="Times New Roman" w:hAnsi="Times New Roman" w:cs="Times New Roman"/>
          <w:i/>
          <w:iCs/>
          <w:sz w:val="24"/>
          <w:szCs w:val="24"/>
          <w:lang w:eastAsia="de-DE"/>
        </w:rPr>
        <w:t xml:space="preserve"> </w:t>
      </w:r>
      <w:proofErr w:type="spellStart"/>
      <w:r w:rsidRPr="00A11EFC">
        <w:rPr>
          <w:rFonts w:ascii="Times New Roman" w:eastAsia="Times New Roman" w:hAnsi="Times New Roman" w:cs="Times New Roman"/>
          <w:i/>
          <w:iCs/>
          <w:sz w:val="24"/>
          <w:szCs w:val="24"/>
          <w:lang w:eastAsia="de-DE"/>
        </w:rPr>
        <w:t>Concerning</w:t>
      </w:r>
      <w:proofErr w:type="spellEnd"/>
      <w:r w:rsidRPr="00A11EFC">
        <w:rPr>
          <w:rFonts w:ascii="Times New Roman" w:eastAsia="Times New Roman" w:hAnsi="Times New Roman" w:cs="Times New Roman"/>
          <w:i/>
          <w:iCs/>
          <w:sz w:val="24"/>
          <w:szCs w:val="24"/>
          <w:lang w:eastAsia="de-DE"/>
        </w:rPr>
        <w:t xml:space="preserve"> </w:t>
      </w:r>
      <w:proofErr w:type="spellStart"/>
      <w:r w:rsidRPr="00A11EFC">
        <w:rPr>
          <w:rFonts w:ascii="Times New Roman" w:eastAsia="Times New Roman" w:hAnsi="Times New Roman" w:cs="Times New Roman"/>
          <w:i/>
          <w:iCs/>
          <w:sz w:val="24"/>
          <w:szCs w:val="24"/>
          <w:lang w:eastAsia="de-DE"/>
        </w:rPr>
        <w:t>Two</w:t>
      </w:r>
      <w:proofErr w:type="spellEnd"/>
      <w:r w:rsidRPr="00A11EFC">
        <w:rPr>
          <w:rFonts w:ascii="Times New Roman" w:eastAsia="Times New Roman" w:hAnsi="Times New Roman" w:cs="Times New Roman"/>
          <w:i/>
          <w:iCs/>
          <w:sz w:val="24"/>
          <w:szCs w:val="24"/>
          <w:lang w:eastAsia="de-DE"/>
        </w:rPr>
        <w:t xml:space="preserve"> New Sciences</w:t>
      </w:r>
      <w:r w:rsidRPr="00A11EFC">
        <w:rPr>
          <w:rFonts w:ascii="Times New Roman" w:eastAsia="Times New Roman" w:hAnsi="Times New Roman" w:cs="Times New Roman"/>
          <w:sz w:val="24"/>
          <w:szCs w:val="24"/>
          <w:lang w:eastAsia="de-DE"/>
        </w:rPr>
        <w:t xml:space="preserve">. </w:t>
      </w:r>
      <w:proofErr w:type="spellStart"/>
      <w:r w:rsidRPr="00A11EFC">
        <w:rPr>
          <w:rFonts w:ascii="Times New Roman" w:eastAsia="Times New Roman" w:hAnsi="Times New Roman" w:cs="Times New Roman"/>
          <w:sz w:val="24"/>
          <w:szCs w:val="24"/>
          <w:lang w:eastAsia="de-DE"/>
        </w:rPr>
        <w:t>Leyden</w:t>
      </w:r>
      <w:proofErr w:type="spellEnd"/>
      <w:r w:rsidRPr="00A11EFC">
        <w:rPr>
          <w:rFonts w:ascii="Times New Roman" w:eastAsia="Times New Roman" w:hAnsi="Times New Roman" w:cs="Times New Roman"/>
          <w:sz w:val="24"/>
          <w:szCs w:val="24"/>
          <w:lang w:eastAsia="de-DE"/>
        </w:rPr>
        <w:t>.</w:t>
      </w:r>
      <w:r w:rsidRPr="00A11EFC">
        <w:rPr>
          <w:rFonts w:ascii="Times New Roman" w:eastAsia="Times New Roman" w:hAnsi="Times New Roman" w:cs="Times New Roman"/>
          <w:sz w:val="24"/>
          <w:szCs w:val="24"/>
          <w:lang w:eastAsia="de-DE"/>
        </w:rPr>
        <w:br/>
        <w:t xml:space="preserve">[7] Aristoteles (ca. 350 v. Chr.). </w:t>
      </w:r>
      <w:r w:rsidRPr="00A11EFC">
        <w:rPr>
          <w:rFonts w:ascii="Times New Roman" w:eastAsia="Times New Roman" w:hAnsi="Times New Roman" w:cs="Times New Roman"/>
          <w:i/>
          <w:iCs/>
          <w:sz w:val="24"/>
          <w:szCs w:val="24"/>
          <w:lang w:eastAsia="de-DE"/>
        </w:rPr>
        <w:t>Physik</w:t>
      </w:r>
      <w:r w:rsidRPr="00A11EFC">
        <w:rPr>
          <w:rFonts w:ascii="Times New Roman" w:eastAsia="Times New Roman" w:hAnsi="Times New Roman" w:cs="Times New Roman"/>
          <w:sz w:val="24"/>
          <w:szCs w:val="24"/>
          <w:lang w:eastAsia="de-DE"/>
        </w:rPr>
        <w:t>. Buch IV.</w:t>
      </w:r>
      <w:r w:rsidRPr="00A11EFC">
        <w:rPr>
          <w:rFonts w:ascii="Times New Roman" w:eastAsia="Times New Roman" w:hAnsi="Times New Roman" w:cs="Times New Roman"/>
          <w:sz w:val="24"/>
          <w:szCs w:val="24"/>
          <w:lang w:eastAsia="de-DE"/>
        </w:rPr>
        <w:br/>
        <w:t xml:space="preserve">[8] Galilei, G. (1632). </w:t>
      </w:r>
      <w:r w:rsidRPr="00A11EFC">
        <w:rPr>
          <w:rFonts w:ascii="Times New Roman" w:eastAsia="Times New Roman" w:hAnsi="Times New Roman" w:cs="Times New Roman"/>
          <w:i/>
          <w:iCs/>
          <w:sz w:val="24"/>
          <w:szCs w:val="24"/>
          <w:lang w:eastAsia="de-DE"/>
        </w:rPr>
        <w:t>Dialog über die zwei hauptsächlichen Weltsysteme</w:t>
      </w:r>
      <w:r w:rsidRPr="00A11EFC">
        <w:rPr>
          <w:rFonts w:ascii="Times New Roman" w:eastAsia="Times New Roman" w:hAnsi="Times New Roman" w:cs="Times New Roman"/>
          <w:sz w:val="24"/>
          <w:szCs w:val="24"/>
          <w:lang w:eastAsia="de-DE"/>
        </w:rPr>
        <w:t>. Florenz.</w:t>
      </w:r>
      <w:r w:rsidRPr="00A11EFC">
        <w:rPr>
          <w:rFonts w:ascii="Times New Roman" w:eastAsia="Times New Roman" w:hAnsi="Times New Roman" w:cs="Times New Roman"/>
          <w:sz w:val="24"/>
          <w:szCs w:val="24"/>
          <w:lang w:eastAsia="de-DE"/>
        </w:rPr>
        <w:br/>
      </w:r>
      <w:r w:rsidRPr="00A11EFC">
        <w:rPr>
          <w:rFonts w:ascii="Times New Roman" w:eastAsia="Times New Roman" w:hAnsi="Times New Roman" w:cs="Times New Roman"/>
          <w:sz w:val="24"/>
          <w:szCs w:val="24"/>
          <w:lang w:eastAsia="de-DE"/>
        </w:rPr>
        <w:lastRenderedPageBreak/>
        <w:t xml:space="preserve">[9] Newton, I. (1687). </w:t>
      </w:r>
      <w:proofErr w:type="spellStart"/>
      <w:r w:rsidRPr="00A11EFC">
        <w:rPr>
          <w:rFonts w:ascii="Times New Roman" w:eastAsia="Times New Roman" w:hAnsi="Times New Roman" w:cs="Times New Roman"/>
          <w:i/>
          <w:iCs/>
          <w:sz w:val="24"/>
          <w:szCs w:val="24"/>
          <w:lang w:eastAsia="de-DE"/>
        </w:rPr>
        <w:t>Philosophiæ</w:t>
      </w:r>
      <w:proofErr w:type="spellEnd"/>
      <w:r w:rsidRPr="00A11EFC">
        <w:rPr>
          <w:rFonts w:ascii="Times New Roman" w:eastAsia="Times New Roman" w:hAnsi="Times New Roman" w:cs="Times New Roman"/>
          <w:i/>
          <w:iCs/>
          <w:sz w:val="24"/>
          <w:szCs w:val="24"/>
          <w:lang w:eastAsia="de-DE"/>
        </w:rPr>
        <w:t xml:space="preserve"> Naturalis Principia Mathematica</w:t>
      </w:r>
      <w:r w:rsidRPr="00A11EFC">
        <w:rPr>
          <w:rFonts w:ascii="Times New Roman" w:eastAsia="Times New Roman" w:hAnsi="Times New Roman" w:cs="Times New Roman"/>
          <w:sz w:val="24"/>
          <w:szCs w:val="24"/>
          <w:lang w:eastAsia="de-DE"/>
        </w:rPr>
        <w:t>. London.</w:t>
      </w:r>
      <w:r w:rsidRPr="00A11EFC">
        <w:rPr>
          <w:rFonts w:ascii="Times New Roman" w:eastAsia="Times New Roman" w:hAnsi="Times New Roman" w:cs="Times New Roman"/>
          <w:sz w:val="24"/>
          <w:szCs w:val="24"/>
          <w:lang w:eastAsia="de-DE"/>
        </w:rPr>
        <w:br/>
        <w:t xml:space="preserve">[10] Einstein, A. (1905, 1915). </w:t>
      </w:r>
      <w:r w:rsidRPr="00A11EFC">
        <w:rPr>
          <w:rFonts w:ascii="Times New Roman" w:eastAsia="Times New Roman" w:hAnsi="Times New Roman" w:cs="Times New Roman"/>
          <w:i/>
          <w:iCs/>
          <w:sz w:val="24"/>
          <w:szCs w:val="24"/>
          <w:lang w:eastAsia="de-DE"/>
        </w:rPr>
        <w:t>Zur Elektrodynamik bewegter Körper</w:t>
      </w:r>
      <w:r w:rsidRPr="00A11EFC">
        <w:rPr>
          <w:rFonts w:ascii="Times New Roman" w:eastAsia="Times New Roman" w:hAnsi="Times New Roman" w:cs="Times New Roman"/>
          <w:sz w:val="24"/>
          <w:szCs w:val="24"/>
          <w:lang w:eastAsia="de-DE"/>
        </w:rPr>
        <w:t xml:space="preserve">; </w:t>
      </w:r>
      <w:r w:rsidRPr="00A11EFC">
        <w:rPr>
          <w:rFonts w:ascii="Times New Roman" w:eastAsia="Times New Roman" w:hAnsi="Times New Roman" w:cs="Times New Roman"/>
          <w:i/>
          <w:iCs/>
          <w:sz w:val="24"/>
          <w:szCs w:val="24"/>
          <w:lang w:eastAsia="de-DE"/>
        </w:rPr>
        <w:t>Allgemeine Relativitätstheorie</w:t>
      </w:r>
      <w:r w:rsidRPr="00A11EFC">
        <w:rPr>
          <w:rFonts w:ascii="Times New Roman" w:eastAsia="Times New Roman" w:hAnsi="Times New Roman" w:cs="Times New Roman"/>
          <w:sz w:val="24"/>
          <w:szCs w:val="24"/>
          <w:lang w:eastAsia="de-DE"/>
        </w:rPr>
        <w:t>.</w:t>
      </w:r>
      <w:r w:rsidRPr="00A11EFC">
        <w:rPr>
          <w:rFonts w:ascii="Times New Roman" w:eastAsia="Times New Roman" w:hAnsi="Times New Roman" w:cs="Times New Roman"/>
          <w:sz w:val="24"/>
          <w:szCs w:val="24"/>
          <w:lang w:eastAsia="de-DE"/>
        </w:rPr>
        <w:br/>
        <w:t xml:space="preserve">[11] Heisenberg, W. (1927). </w:t>
      </w:r>
      <w:r w:rsidRPr="00A11EFC">
        <w:rPr>
          <w:rFonts w:ascii="Times New Roman" w:eastAsia="Times New Roman" w:hAnsi="Times New Roman" w:cs="Times New Roman"/>
          <w:i/>
          <w:iCs/>
          <w:sz w:val="24"/>
          <w:szCs w:val="24"/>
          <w:lang w:eastAsia="de-DE"/>
        </w:rPr>
        <w:t>Über den anschaulichen Inhalt der quantentheoretischen Kinematik und Mechanik</w:t>
      </w:r>
      <w:r w:rsidRPr="00A11EFC">
        <w:rPr>
          <w:rFonts w:ascii="Times New Roman" w:eastAsia="Times New Roman" w:hAnsi="Times New Roman" w:cs="Times New Roman"/>
          <w:sz w:val="24"/>
          <w:szCs w:val="24"/>
          <w:lang w:eastAsia="de-DE"/>
        </w:rPr>
        <w:t>.</w:t>
      </w:r>
      <w:r w:rsidRPr="00A11EFC">
        <w:rPr>
          <w:rFonts w:ascii="Times New Roman" w:eastAsia="Times New Roman" w:hAnsi="Times New Roman" w:cs="Times New Roman"/>
          <w:sz w:val="24"/>
          <w:szCs w:val="24"/>
          <w:lang w:eastAsia="de-DE"/>
        </w:rPr>
        <w:br/>
        <w:t xml:space="preserve">[12] </w:t>
      </w:r>
      <w:proofErr w:type="spellStart"/>
      <w:r w:rsidRPr="00A11EFC">
        <w:rPr>
          <w:rFonts w:ascii="Times New Roman" w:eastAsia="Times New Roman" w:hAnsi="Times New Roman" w:cs="Times New Roman"/>
          <w:sz w:val="24"/>
          <w:szCs w:val="24"/>
          <w:lang w:eastAsia="de-DE"/>
        </w:rPr>
        <w:t>Duit</w:t>
      </w:r>
      <w:proofErr w:type="spellEnd"/>
      <w:r w:rsidRPr="00A11EFC">
        <w:rPr>
          <w:rFonts w:ascii="Times New Roman" w:eastAsia="Times New Roman" w:hAnsi="Times New Roman" w:cs="Times New Roman"/>
          <w:sz w:val="24"/>
          <w:szCs w:val="24"/>
          <w:lang w:eastAsia="de-DE"/>
        </w:rPr>
        <w:t xml:space="preserve">, R. (2004). </w:t>
      </w:r>
      <w:r w:rsidRPr="00A11EFC">
        <w:rPr>
          <w:rFonts w:ascii="Times New Roman" w:eastAsia="Times New Roman" w:hAnsi="Times New Roman" w:cs="Times New Roman"/>
          <w:i/>
          <w:iCs/>
          <w:sz w:val="24"/>
          <w:szCs w:val="24"/>
          <w:lang w:eastAsia="de-DE"/>
        </w:rPr>
        <w:t>Schülervorstellungen und Physikunterricht</w:t>
      </w:r>
      <w:r w:rsidRPr="00A11EFC">
        <w:rPr>
          <w:rFonts w:ascii="Times New Roman" w:eastAsia="Times New Roman" w:hAnsi="Times New Roman" w:cs="Times New Roman"/>
          <w:sz w:val="24"/>
          <w:szCs w:val="24"/>
          <w:lang w:eastAsia="de-DE"/>
        </w:rPr>
        <w:t>. In: Komorek et al. (Hrsg.).</w:t>
      </w:r>
      <w:r w:rsidRPr="00A11EFC">
        <w:rPr>
          <w:rFonts w:ascii="Times New Roman" w:eastAsia="Times New Roman" w:hAnsi="Times New Roman" w:cs="Times New Roman"/>
          <w:sz w:val="24"/>
          <w:szCs w:val="24"/>
          <w:lang w:eastAsia="de-DE"/>
        </w:rPr>
        <w:br/>
        <w:t xml:space="preserve">[13] Kuhn, T. S. (1962). </w:t>
      </w:r>
      <w:r w:rsidRPr="00A11EFC">
        <w:rPr>
          <w:rFonts w:ascii="Times New Roman" w:eastAsia="Times New Roman" w:hAnsi="Times New Roman" w:cs="Times New Roman"/>
          <w:i/>
          <w:iCs/>
          <w:sz w:val="24"/>
          <w:szCs w:val="24"/>
          <w:lang w:eastAsia="de-DE"/>
        </w:rPr>
        <w:t xml:space="preserve">The </w:t>
      </w:r>
      <w:proofErr w:type="spellStart"/>
      <w:r w:rsidRPr="00A11EFC">
        <w:rPr>
          <w:rFonts w:ascii="Times New Roman" w:eastAsia="Times New Roman" w:hAnsi="Times New Roman" w:cs="Times New Roman"/>
          <w:i/>
          <w:iCs/>
          <w:sz w:val="24"/>
          <w:szCs w:val="24"/>
          <w:lang w:eastAsia="de-DE"/>
        </w:rPr>
        <w:t>Structure</w:t>
      </w:r>
      <w:proofErr w:type="spellEnd"/>
      <w:r w:rsidRPr="00A11EFC">
        <w:rPr>
          <w:rFonts w:ascii="Times New Roman" w:eastAsia="Times New Roman" w:hAnsi="Times New Roman" w:cs="Times New Roman"/>
          <w:i/>
          <w:iCs/>
          <w:sz w:val="24"/>
          <w:szCs w:val="24"/>
          <w:lang w:eastAsia="de-DE"/>
        </w:rPr>
        <w:t xml:space="preserve"> </w:t>
      </w:r>
      <w:proofErr w:type="spellStart"/>
      <w:r w:rsidRPr="00A11EFC">
        <w:rPr>
          <w:rFonts w:ascii="Times New Roman" w:eastAsia="Times New Roman" w:hAnsi="Times New Roman" w:cs="Times New Roman"/>
          <w:i/>
          <w:iCs/>
          <w:sz w:val="24"/>
          <w:szCs w:val="24"/>
          <w:lang w:eastAsia="de-DE"/>
        </w:rPr>
        <w:t>of</w:t>
      </w:r>
      <w:proofErr w:type="spellEnd"/>
      <w:r w:rsidRPr="00A11EFC">
        <w:rPr>
          <w:rFonts w:ascii="Times New Roman" w:eastAsia="Times New Roman" w:hAnsi="Times New Roman" w:cs="Times New Roman"/>
          <w:i/>
          <w:iCs/>
          <w:sz w:val="24"/>
          <w:szCs w:val="24"/>
          <w:lang w:eastAsia="de-DE"/>
        </w:rPr>
        <w:t xml:space="preserve"> Scientific </w:t>
      </w:r>
      <w:proofErr w:type="spellStart"/>
      <w:r w:rsidRPr="00A11EFC">
        <w:rPr>
          <w:rFonts w:ascii="Times New Roman" w:eastAsia="Times New Roman" w:hAnsi="Times New Roman" w:cs="Times New Roman"/>
          <w:i/>
          <w:iCs/>
          <w:sz w:val="24"/>
          <w:szCs w:val="24"/>
          <w:lang w:eastAsia="de-DE"/>
        </w:rPr>
        <w:t>Revolutions</w:t>
      </w:r>
      <w:proofErr w:type="spellEnd"/>
      <w:r w:rsidRPr="00A11EFC">
        <w:rPr>
          <w:rFonts w:ascii="Times New Roman" w:eastAsia="Times New Roman" w:hAnsi="Times New Roman" w:cs="Times New Roman"/>
          <w:sz w:val="24"/>
          <w:szCs w:val="24"/>
          <w:lang w:eastAsia="de-DE"/>
        </w:rPr>
        <w:t>.</w:t>
      </w:r>
      <w:r w:rsidRPr="00A11EFC">
        <w:rPr>
          <w:rFonts w:ascii="Times New Roman" w:eastAsia="Times New Roman" w:hAnsi="Times New Roman" w:cs="Times New Roman"/>
          <w:sz w:val="24"/>
          <w:szCs w:val="24"/>
          <w:lang w:eastAsia="de-DE"/>
        </w:rPr>
        <w:br/>
        <w:t xml:space="preserve">[14] </w:t>
      </w:r>
      <w:proofErr w:type="spellStart"/>
      <w:r w:rsidRPr="00A11EFC">
        <w:rPr>
          <w:rFonts w:ascii="Times New Roman" w:eastAsia="Times New Roman" w:hAnsi="Times New Roman" w:cs="Times New Roman"/>
          <w:sz w:val="24"/>
          <w:szCs w:val="24"/>
          <w:lang w:eastAsia="de-DE"/>
        </w:rPr>
        <w:t>Sweller</w:t>
      </w:r>
      <w:proofErr w:type="spellEnd"/>
      <w:r w:rsidRPr="00A11EFC">
        <w:rPr>
          <w:rFonts w:ascii="Times New Roman" w:eastAsia="Times New Roman" w:hAnsi="Times New Roman" w:cs="Times New Roman"/>
          <w:sz w:val="24"/>
          <w:szCs w:val="24"/>
          <w:lang w:eastAsia="de-DE"/>
        </w:rPr>
        <w:t xml:space="preserve">, J. (1988). </w:t>
      </w:r>
      <w:proofErr w:type="spellStart"/>
      <w:r w:rsidRPr="00A11EFC">
        <w:rPr>
          <w:rFonts w:ascii="Times New Roman" w:eastAsia="Times New Roman" w:hAnsi="Times New Roman" w:cs="Times New Roman"/>
          <w:i/>
          <w:iCs/>
          <w:sz w:val="24"/>
          <w:szCs w:val="24"/>
          <w:lang w:eastAsia="de-DE"/>
        </w:rPr>
        <w:t>Cognitive</w:t>
      </w:r>
      <w:proofErr w:type="spellEnd"/>
      <w:r w:rsidRPr="00A11EFC">
        <w:rPr>
          <w:rFonts w:ascii="Times New Roman" w:eastAsia="Times New Roman" w:hAnsi="Times New Roman" w:cs="Times New Roman"/>
          <w:i/>
          <w:iCs/>
          <w:sz w:val="24"/>
          <w:szCs w:val="24"/>
          <w:lang w:eastAsia="de-DE"/>
        </w:rPr>
        <w:t xml:space="preserve"> Load Theory</w:t>
      </w:r>
      <w:r w:rsidRPr="00A11EFC">
        <w:rPr>
          <w:rFonts w:ascii="Times New Roman" w:eastAsia="Times New Roman" w:hAnsi="Times New Roman" w:cs="Times New Roman"/>
          <w:sz w:val="24"/>
          <w:szCs w:val="24"/>
          <w:lang w:eastAsia="de-DE"/>
        </w:rPr>
        <w:t xml:space="preserve">. </w:t>
      </w:r>
      <w:proofErr w:type="spellStart"/>
      <w:r w:rsidRPr="00A11EFC">
        <w:rPr>
          <w:rFonts w:ascii="Times New Roman" w:eastAsia="Times New Roman" w:hAnsi="Times New Roman" w:cs="Times New Roman"/>
          <w:i/>
          <w:iCs/>
          <w:sz w:val="24"/>
          <w:szCs w:val="24"/>
          <w:lang w:eastAsia="de-DE"/>
        </w:rPr>
        <w:t>Cognitive</w:t>
      </w:r>
      <w:proofErr w:type="spellEnd"/>
      <w:r w:rsidRPr="00A11EFC">
        <w:rPr>
          <w:rFonts w:ascii="Times New Roman" w:eastAsia="Times New Roman" w:hAnsi="Times New Roman" w:cs="Times New Roman"/>
          <w:i/>
          <w:iCs/>
          <w:sz w:val="24"/>
          <w:szCs w:val="24"/>
          <w:lang w:eastAsia="de-DE"/>
        </w:rPr>
        <w:t xml:space="preserve"> Science</w:t>
      </w:r>
      <w:r w:rsidRPr="00A11EFC">
        <w:rPr>
          <w:rFonts w:ascii="Times New Roman" w:eastAsia="Times New Roman" w:hAnsi="Times New Roman" w:cs="Times New Roman"/>
          <w:sz w:val="24"/>
          <w:szCs w:val="24"/>
          <w:lang w:eastAsia="de-DE"/>
        </w:rPr>
        <w:t>, 12(2), 257–285.</w:t>
      </w:r>
      <w:r w:rsidRPr="00A11EFC">
        <w:rPr>
          <w:rFonts w:ascii="Times New Roman" w:eastAsia="Times New Roman" w:hAnsi="Times New Roman" w:cs="Times New Roman"/>
          <w:sz w:val="24"/>
          <w:szCs w:val="24"/>
          <w:lang w:eastAsia="de-DE"/>
        </w:rPr>
        <w:br/>
        <w:t xml:space="preserve">[15] Spitzer, M. (2012). </w:t>
      </w:r>
      <w:r w:rsidRPr="00A11EFC">
        <w:rPr>
          <w:rFonts w:ascii="Times New Roman" w:eastAsia="Times New Roman" w:hAnsi="Times New Roman" w:cs="Times New Roman"/>
          <w:i/>
          <w:iCs/>
          <w:sz w:val="24"/>
          <w:szCs w:val="24"/>
          <w:lang w:eastAsia="de-DE"/>
        </w:rPr>
        <w:t>Digitale Demenz</w:t>
      </w:r>
      <w:r w:rsidRPr="00A11EFC">
        <w:rPr>
          <w:rFonts w:ascii="Times New Roman" w:eastAsia="Times New Roman" w:hAnsi="Times New Roman" w:cs="Times New Roman"/>
          <w:sz w:val="24"/>
          <w:szCs w:val="24"/>
          <w:lang w:eastAsia="de-DE"/>
        </w:rPr>
        <w:t>. Droemer.</w:t>
      </w:r>
      <w:r w:rsidRPr="00A11EFC">
        <w:rPr>
          <w:rFonts w:ascii="Times New Roman" w:eastAsia="Times New Roman" w:hAnsi="Times New Roman" w:cs="Times New Roman"/>
          <w:sz w:val="24"/>
          <w:szCs w:val="24"/>
          <w:lang w:eastAsia="de-DE"/>
        </w:rPr>
        <w:br/>
        <w:t xml:space="preserve">[16] Roth, G. (2013). </w:t>
      </w:r>
      <w:r w:rsidRPr="00A11EFC">
        <w:rPr>
          <w:rFonts w:ascii="Times New Roman" w:eastAsia="Times New Roman" w:hAnsi="Times New Roman" w:cs="Times New Roman"/>
          <w:i/>
          <w:iCs/>
          <w:sz w:val="24"/>
          <w:szCs w:val="24"/>
          <w:lang w:eastAsia="de-DE"/>
        </w:rPr>
        <w:t>Bildung braucht Persönlichkeit</w:t>
      </w:r>
      <w:r w:rsidRPr="00A11EFC">
        <w:rPr>
          <w:rFonts w:ascii="Times New Roman" w:eastAsia="Times New Roman" w:hAnsi="Times New Roman" w:cs="Times New Roman"/>
          <w:sz w:val="24"/>
          <w:szCs w:val="24"/>
          <w:lang w:eastAsia="de-DE"/>
        </w:rPr>
        <w:t>. Beltz.</w:t>
      </w:r>
      <w:r w:rsidRPr="00A11EFC">
        <w:rPr>
          <w:rFonts w:ascii="Times New Roman" w:eastAsia="Times New Roman" w:hAnsi="Times New Roman" w:cs="Times New Roman"/>
          <w:sz w:val="24"/>
          <w:szCs w:val="24"/>
          <w:lang w:eastAsia="de-DE"/>
        </w:rPr>
        <w:br/>
        <w:t xml:space="preserve">[17] Bruner, J. S. (1960). </w:t>
      </w:r>
      <w:r w:rsidRPr="00A11EFC">
        <w:rPr>
          <w:rFonts w:ascii="Times New Roman" w:eastAsia="Times New Roman" w:hAnsi="Times New Roman" w:cs="Times New Roman"/>
          <w:i/>
          <w:iCs/>
          <w:sz w:val="24"/>
          <w:szCs w:val="24"/>
          <w:lang w:eastAsia="de-DE"/>
        </w:rPr>
        <w:t xml:space="preserve">The </w:t>
      </w:r>
      <w:proofErr w:type="spellStart"/>
      <w:r w:rsidRPr="00A11EFC">
        <w:rPr>
          <w:rFonts w:ascii="Times New Roman" w:eastAsia="Times New Roman" w:hAnsi="Times New Roman" w:cs="Times New Roman"/>
          <w:i/>
          <w:iCs/>
          <w:sz w:val="24"/>
          <w:szCs w:val="24"/>
          <w:lang w:eastAsia="de-DE"/>
        </w:rPr>
        <w:t>Process</w:t>
      </w:r>
      <w:proofErr w:type="spellEnd"/>
      <w:r w:rsidRPr="00A11EFC">
        <w:rPr>
          <w:rFonts w:ascii="Times New Roman" w:eastAsia="Times New Roman" w:hAnsi="Times New Roman" w:cs="Times New Roman"/>
          <w:i/>
          <w:iCs/>
          <w:sz w:val="24"/>
          <w:szCs w:val="24"/>
          <w:lang w:eastAsia="de-DE"/>
        </w:rPr>
        <w:t xml:space="preserve"> </w:t>
      </w:r>
      <w:proofErr w:type="spellStart"/>
      <w:r w:rsidRPr="00A11EFC">
        <w:rPr>
          <w:rFonts w:ascii="Times New Roman" w:eastAsia="Times New Roman" w:hAnsi="Times New Roman" w:cs="Times New Roman"/>
          <w:i/>
          <w:iCs/>
          <w:sz w:val="24"/>
          <w:szCs w:val="24"/>
          <w:lang w:eastAsia="de-DE"/>
        </w:rPr>
        <w:t>of</w:t>
      </w:r>
      <w:proofErr w:type="spellEnd"/>
      <w:r w:rsidRPr="00A11EFC">
        <w:rPr>
          <w:rFonts w:ascii="Times New Roman" w:eastAsia="Times New Roman" w:hAnsi="Times New Roman" w:cs="Times New Roman"/>
          <w:i/>
          <w:iCs/>
          <w:sz w:val="24"/>
          <w:szCs w:val="24"/>
          <w:lang w:eastAsia="de-DE"/>
        </w:rPr>
        <w:t xml:space="preserve"> Education</w:t>
      </w:r>
      <w:r w:rsidRPr="00A11EFC">
        <w:rPr>
          <w:rFonts w:ascii="Times New Roman" w:eastAsia="Times New Roman" w:hAnsi="Times New Roman" w:cs="Times New Roman"/>
          <w:sz w:val="24"/>
          <w:szCs w:val="24"/>
          <w:lang w:eastAsia="de-DE"/>
        </w:rPr>
        <w:t>. Harvard University Press.</w:t>
      </w:r>
      <w:r w:rsidRPr="00A11EFC">
        <w:rPr>
          <w:rFonts w:ascii="Times New Roman" w:eastAsia="Times New Roman" w:hAnsi="Times New Roman" w:cs="Times New Roman"/>
          <w:sz w:val="24"/>
          <w:szCs w:val="24"/>
          <w:lang w:eastAsia="de-DE"/>
        </w:rPr>
        <w:br/>
        <w:t>[18] Reinmann-</w:t>
      </w:r>
      <w:proofErr w:type="spellStart"/>
      <w:r w:rsidRPr="00A11EFC">
        <w:rPr>
          <w:rFonts w:ascii="Times New Roman" w:eastAsia="Times New Roman" w:hAnsi="Times New Roman" w:cs="Times New Roman"/>
          <w:sz w:val="24"/>
          <w:szCs w:val="24"/>
          <w:lang w:eastAsia="de-DE"/>
        </w:rPr>
        <w:t>Rothmeier</w:t>
      </w:r>
      <w:proofErr w:type="spellEnd"/>
      <w:r w:rsidRPr="00A11EFC">
        <w:rPr>
          <w:rFonts w:ascii="Times New Roman" w:eastAsia="Times New Roman" w:hAnsi="Times New Roman" w:cs="Times New Roman"/>
          <w:sz w:val="24"/>
          <w:szCs w:val="24"/>
          <w:lang w:eastAsia="de-DE"/>
        </w:rPr>
        <w:t xml:space="preserve">, G. &amp; Mandl, H. (2001). </w:t>
      </w:r>
      <w:r w:rsidRPr="00A11EFC">
        <w:rPr>
          <w:rFonts w:ascii="Times New Roman" w:eastAsia="Times New Roman" w:hAnsi="Times New Roman" w:cs="Times New Roman"/>
          <w:i/>
          <w:iCs/>
          <w:sz w:val="24"/>
          <w:szCs w:val="24"/>
          <w:lang w:eastAsia="de-DE"/>
        </w:rPr>
        <w:t>Unterricht gestalten mit kognitiv-psychologischer Grundlage</w:t>
      </w:r>
      <w:r w:rsidRPr="00A11EFC">
        <w:rPr>
          <w:rFonts w:ascii="Times New Roman" w:eastAsia="Times New Roman" w:hAnsi="Times New Roman" w:cs="Times New Roman"/>
          <w:sz w:val="24"/>
          <w:szCs w:val="24"/>
          <w:lang w:eastAsia="de-DE"/>
        </w:rPr>
        <w:t>.</w:t>
      </w:r>
      <w:r w:rsidRPr="00A11EFC">
        <w:rPr>
          <w:rFonts w:ascii="Times New Roman" w:eastAsia="Times New Roman" w:hAnsi="Times New Roman" w:cs="Times New Roman"/>
          <w:sz w:val="24"/>
          <w:szCs w:val="24"/>
          <w:lang w:eastAsia="de-DE"/>
        </w:rPr>
        <w:br/>
        <w:t xml:space="preserve">[19] Seel, N. M. (2012). </w:t>
      </w:r>
      <w:r w:rsidRPr="00A11EFC">
        <w:rPr>
          <w:rFonts w:ascii="Times New Roman" w:eastAsia="Times New Roman" w:hAnsi="Times New Roman" w:cs="Times New Roman"/>
          <w:i/>
          <w:iCs/>
          <w:sz w:val="24"/>
          <w:szCs w:val="24"/>
          <w:lang w:eastAsia="de-DE"/>
        </w:rPr>
        <w:t>Psychologie des Lernens</w:t>
      </w:r>
      <w:r w:rsidRPr="00A11EFC">
        <w:rPr>
          <w:rFonts w:ascii="Times New Roman" w:eastAsia="Times New Roman" w:hAnsi="Times New Roman" w:cs="Times New Roman"/>
          <w:sz w:val="24"/>
          <w:szCs w:val="24"/>
          <w:lang w:eastAsia="de-DE"/>
        </w:rPr>
        <w:t>. Springer.</w:t>
      </w:r>
      <w:r w:rsidRPr="00A11EFC">
        <w:rPr>
          <w:rFonts w:ascii="Times New Roman" w:eastAsia="Times New Roman" w:hAnsi="Times New Roman" w:cs="Times New Roman"/>
          <w:sz w:val="24"/>
          <w:szCs w:val="24"/>
          <w:lang w:eastAsia="de-DE"/>
        </w:rPr>
        <w:br/>
        <w:t xml:space="preserve">[20] </w:t>
      </w:r>
      <w:proofErr w:type="spellStart"/>
      <w:r w:rsidRPr="00A11EFC">
        <w:rPr>
          <w:rFonts w:ascii="Times New Roman" w:eastAsia="Times New Roman" w:hAnsi="Times New Roman" w:cs="Times New Roman"/>
          <w:sz w:val="24"/>
          <w:szCs w:val="24"/>
          <w:lang w:eastAsia="de-DE"/>
        </w:rPr>
        <w:t>Papert</w:t>
      </w:r>
      <w:proofErr w:type="spellEnd"/>
      <w:r w:rsidRPr="00A11EFC">
        <w:rPr>
          <w:rFonts w:ascii="Times New Roman" w:eastAsia="Times New Roman" w:hAnsi="Times New Roman" w:cs="Times New Roman"/>
          <w:sz w:val="24"/>
          <w:szCs w:val="24"/>
          <w:lang w:eastAsia="de-DE"/>
        </w:rPr>
        <w:t xml:space="preserve">, S. (1980). </w:t>
      </w:r>
      <w:r w:rsidRPr="00A11EFC">
        <w:rPr>
          <w:rFonts w:ascii="Times New Roman" w:eastAsia="Times New Roman" w:hAnsi="Times New Roman" w:cs="Times New Roman"/>
          <w:i/>
          <w:iCs/>
          <w:sz w:val="24"/>
          <w:szCs w:val="24"/>
          <w:lang w:eastAsia="de-DE"/>
        </w:rPr>
        <w:t xml:space="preserve">Mindstorms: Children, Computers, and Powerful </w:t>
      </w:r>
      <w:proofErr w:type="spellStart"/>
      <w:r w:rsidRPr="00A11EFC">
        <w:rPr>
          <w:rFonts w:ascii="Times New Roman" w:eastAsia="Times New Roman" w:hAnsi="Times New Roman" w:cs="Times New Roman"/>
          <w:i/>
          <w:iCs/>
          <w:sz w:val="24"/>
          <w:szCs w:val="24"/>
          <w:lang w:eastAsia="de-DE"/>
        </w:rPr>
        <w:t>Ideas</w:t>
      </w:r>
      <w:proofErr w:type="spellEnd"/>
      <w:r w:rsidRPr="00A11EFC">
        <w:rPr>
          <w:rFonts w:ascii="Times New Roman" w:eastAsia="Times New Roman" w:hAnsi="Times New Roman" w:cs="Times New Roman"/>
          <w:sz w:val="24"/>
          <w:szCs w:val="24"/>
          <w:lang w:eastAsia="de-DE"/>
        </w:rPr>
        <w:t>. Basic Books.</w:t>
      </w:r>
      <w:r w:rsidRPr="00A11EFC">
        <w:rPr>
          <w:rFonts w:ascii="Times New Roman" w:eastAsia="Times New Roman" w:hAnsi="Times New Roman" w:cs="Times New Roman"/>
          <w:sz w:val="24"/>
          <w:szCs w:val="24"/>
          <w:lang w:eastAsia="de-DE"/>
        </w:rPr>
        <w:br/>
        <w:t xml:space="preserve">[21] Kaiser, G. (2018). </w:t>
      </w:r>
      <w:r w:rsidRPr="00A11EFC">
        <w:rPr>
          <w:rFonts w:ascii="Times New Roman" w:eastAsia="Times New Roman" w:hAnsi="Times New Roman" w:cs="Times New Roman"/>
          <w:i/>
          <w:iCs/>
          <w:sz w:val="24"/>
          <w:szCs w:val="24"/>
          <w:lang w:eastAsia="de-DE"/>
        </w:rPr>
        <w:t>Systemisches Denken im naturwissenschaftlichen Unterricht</w:t>
      </w:r>
      <w:r w:rsidRPr="00A11EFC">
        <w:rPr>
          <w:rFonts w:ascii="Times New Roman" w:eastAsia="Times New Roman" w:hAnsi="Times New Roman" w:cs="Times New Roman"/>
          <w:sz w:val="24"/>
          <w:szCs w:val="24"/>
          <w:lang w:eastAsia="de-DE"/>
        </w:rPr>
        <w:t xml:space="preserve">. </w:t>
      </w:r>
      <w:proofErr w:type="spellStart"/>
      <w:r w:rsidRPr="00A11EFC">
        <w:rPr>
          <w:rFonts w:ascii="Times New Roman" w:eastAsia="Times New Roman" w:hAnsi="Times New Roman" w:cs="Times New Roman"/>
          <w:i/>
          <w:iCs/>
          <w:sz w:val="24"/>
          <w:szCs w:val="24"/>
          <w:lang w:eastAsia="de-DE"/>
        </w:rPr>
        <w:t>ZfDN</w:t>
      </w:r>
      <w:proofErr w:type="spellEnd"/>
      <w:r w:rsidRPr="00A11EFC">
        <w:rPr>
          <w:rFonts w:ascii="Times New Roman" w:eastAsia="Times New Roman" w:hAnsi="Times New Roman" w:cs="Times New Roman"/>
          <w:sz w:val="24"/>
          <w:szCs w:val="24"/>
          <w:lang w:eastAsia="de-DE"/>
        </w:rPr>
        <w:t>, 24, 135–147.</w:t>
      </w:r>
      <w:r w:rsidRPr="00A11EFC">
        <w:rPr>
          <w:rFonts w:ascii="Times New Roman" w:eastAsia="Times New Roman" w:hAnsi="Times New Roman" w:cs="Times New Roman"/>
          <w:sz w:val="24"/>
          <w:szCs w:val="24"/>
          <w:lang w:eastAsia="de-DE"/>
        </w:rPr>
        <w:br/>
        <w:t xml:space="preserve">[22] Hattie, J. (2009). </w:t>
      </w:r>
      <w:r w:rsidRPr="00A11EFC">
        <w:rPr>
          <w:rFonts w:ascii="Times New Roman" w:eastAsia="Times New Roman" w:hAnsi="Times New Roman" w:cs="Times New Roman"/>
          <w:i/>
          <w:iCs/>
          <w:sz w:val="24"/>
          <w:szCs w:val="24"/>
          <w:lang w:eastAsia="de-DE"/>
        </w:rPr>
        <w:t>Visible Learning</w:t>
      </w:r>
      <w:r w:rsidRPr="00A11EFC">
        <w:rPr>
          <w:rFonts w:ascii="Times New Roman" w:eastAsia="Times New Roman" w:hAnsi="Times New Roman" w:cs="Times New Roman"/>
          <w:sz w:val="24"/>
          <w:szCs w:val="24"/>
          <w:lang w:eastAsia="de-DE"/>
        </w:rPr>
        <w:t>. Routledge.</w:t>
      </w:r>
    </w:p>
    <w:p w14:paraId="6A66DFC6" w14:textId="77777777" w:rsidR="0059657C" w:rsidRDefault="0059657C"/>
    <w:sectPr w:rsidR="0059657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46701"/>
    <w:multiLevelType w:val="multilevel"/>
    <w:tmpl w:val="AFBC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EFC"/>
    <w:rsid w:val="0059657C"/>
    <w:rsid w:val="008871CF"/>
    <w:rsid w:val="00A11EFC"/>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F377B"/>
  <w15:chartTrackingRefBased/>
  <w15:docId w15:val="{67C95094-927C-4B02-A550-DBE3B6070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A11EF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A11EFC"/>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A11EFC"/>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11EFC"/>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A11EFC"/>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A11EFC"/>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A11E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A11EFC"/>
    <w:rPr>
      <w:b/>
      <w:bCs/>
    </w:rPr>
  </w:style>
  <w:style w:type="character" w:styleId="Hervorhebung">
    <w:name w:val="Emphasis"/>
    <w:basedOn w:val="Absatz-Standardschriftart"/>
    <w:uiPriority w:val="20"/>
    <w:qFormat/>
    <w:rsid w:val="00A11E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2681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969</Words>
  <Characters>6111</Characters>
  <Application>Microsoft Office Word</Application>
  <DocSecurity>0</DocSecurity>
  <Lines>50</Lines>
  <Paragraphs>14</Paragraphs>
  <ScaleCrop>false</ScaleCrop>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2025-05-26T08:54:00Z</dcterms:created>
  <dcterms:modified xsi:type="dcterms:W3CDTF">2025-05-26T08:54:00Z</dcterms:modified>
</cp:coreProperties>
</file>