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15927" w14:textId="68594828" w:rsidR="00217B4D" w:rsidRDefault="00217B4D" w:rsidP="00E013D4">
      <w:pPr>
        <w:pStyle w:val="berschrift1"/>
        <w:rPr>
          <w:sz w:val="36"/>
          <w:szCs w:val="36"/>
        </w:rPr>
      </w:pPr>
      <w:r>
        <w:rPr>
          <w:rStyle w:val="Fett"/>
          <w:b/>
          <w:bCs w:val="0"/>
        </w:rPr>
        <w:t>Anlage 4.H – Strukturvergleich klassischer vs. funktionaler Prognosemodelle</w:t>
      </w:r>
    </w:p>
    <w:p w14:paraId="534609DA" w14:textId="77777777" w:rsidR="00217B4D" w:rsidRPr="00E013D4" w:rsidRDefault="00217B4D" w:rsidP="005C3824">
      <w:r w:rsidRPr="00E013D4">
        <w:t>Diese Anlage ergänzt die in Kapitel 4.9 formulierte Vorhersage, dass das FRZK eine neue Form strukturgeleiteter Prognosefähigkeit bereitstellt. Im Gegensatz zu klassischen Prognosemodellen, die meist auf Datenextrapolation, Trendkurven oder statistische Wahrscheinlichkeiten setzen, beruht das FRZK auf modellinterner Strukturlogik, emergenter Ordnung und funktionaler Operatorarchitektur.</w:t>
      </w:r>
    </w:p>
    <w:p w14:paraId="40F4E47C" w14:textId="77777777" w:rsidR="00217B4D" w:rsidRPr="00E013D4" w:rsidRDefault="00217B4D" w:rsidP="005C3824">
      <w:r w:rsidRPr="00E013D4">
        <w:t>Die folgende Gegenüberstellung vergleicht zentrale Merkmale beider Paradigmen.</w:t>
      </w:r>
    </w:p>
    <w:p w14:paraId="0DEE3F4B" w14:textId="77777777" w:rsidR="00217B4D" w:rsidRDefault="00E013D4" w:rsidP="005C3824">
      <w:r>
        <w:pict w14:anchorId="72AD27AB">
          <v:rect id="_x0000_i1025" style="width:0;height:1.5pt" o:hralign="center" o:hrstd="t" o:hr="t" fillcolor="#a0a0a0" stroked="f"/>
        </w:pict>
      </w:r>
    </w:p>
    <w:p w14:paraId="07FED659" w14:textId="77777777" w:rsidR="00217B4D" w:rsidRDefault="00217B4D" w:rsidP="005C3824">
      <w:r>
        <w:rPr>
          <w:rFonts w:ascii="Segoe UI Emoji" w:hAnsi="Segoe UI Emoji" w:cs="Segoe UI Emoji"/>
        </w:rPr>
        <w:t>⚖️</w:t>
      </w:r>
      <w:r>
        <w:t xml:space="preserve"> Vergleich: Klassische vs. funktionale Prognoselogik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5304"/>
        <w:gridCol w:w="6360"/>
      </w:tblGrid>
      <w:tr w:rsidR="00217B4D" w14:paraId="422C09A6" w14:textId="77777777" w:rsidTr="00217B4D">
        <w:trPr>
          <w:tblHeader/>
          <w:tblCellSpacing w:w="15" w:type="dxa"/>
        </w:trPr>
        <w:tc>
          <w:tcPr>
            <w:tcW w:w="0" w:type="auto"/>
            <w:vAlign w:val="center"/>
            <w:hideMark/>
          </w:tcPr>
          <w:p w14:paraId="5671CD5A" w14:textId="77777777" w:rsidR="00217B4D" w:rsidRDefault="00217B4D" w:rsidP="005C3824">
            <w:pPr>
              <w:rPr>
                <w:bCs/>
              </w:rPr>
            </w:pPr>
            <w:r>
              <w:rPr>
                <w:rStyle w:val="Fett"/>
              </w:rPr>
              <w:t>Kriterium</w:t>
            </w:r>
          </w:p>
        </w:tc>
        <w:tc>
          <w:tcPr>
            <w:tcW w:w="0" w:type="auto"/>
            <w:vAlign w:val="center"/>
            <w:hideMark/>
          </w:tcPr>
          <w:p w14:paraId="66DFD84D" w14:textId="77777777" w:rsidR="00217B4D" w:rsidRDefault="00217B4D" w:rsidP="005C3824">
            <w:pPr>
              <w:rPr>
                <w:bCs/>
              </w:rPr>
            </w:pPr>
            <w:r>
              <w:rPr>
                <w:rStyle w:val="Fett"/>
              </w:rPr>
              <w:t>Klassische Prognosemodelle</w:t>
            </w:r>
          </w:p>
        </w:tc>
        <w:tc>
          <w:tcPr>
            <w:tcW w:w="0" w:type="auto"/>
            <w:vAlign w:val="center"/>
            <w:hideMark/>
          </w:tcPr>
          <w:p w14:paraId="3479DD50" w14:textId="77777777" w:rsidR="00217B4D" w:rsidRDefault="00217B4D" w:rsidP="005C3824">
            <w:pPr>
              <w:rPr>
                <w:bCs/>
              </w:rPr>
            </w:pPr>
            <w:r>
              <w:rPr>
                <w:rStyle w:val="Fett"/>
              </w:rPr>
              <w:t>FRZK (funktionales Modell)</w:t>
            </w:r>
          </w:p>
        </w:tc>
      </w:tr>
      <w:tr w:rsidR="00217B4D" w14:paraId="4EF66EB2" w14:textId="77777777" w:rsidTr="00217B4D">
        <w:trPr>
          <w:tblCellSpacing w:w="15" w:type="dxa"/>
        </w:trPr>
        <w:tc>
          <w:tcPr>
            <w:tcW w:w="0" w:type="auto"/>
            <w:vAlign w:val="center"/>
            <w:hideMark/>
          </w:tcPr>
          <w:p w14:paraId="2E7AF900" w14:textId="77777777" w:rsidR="00217B4D" w:rsidRDefault="00217B4D" w:rsidP="005C3824">
            <w:r>
              <w:rPr>
                <w:rStyle w:val="Fett"/>
              </w:rPr>
              <w:t>Grundlage</w:t>
            </w:r>
          </w:p>
        </w:tc>
        <w:tc>
          <w:tcPr>
            <w:tcW w:w="0" w:type="auto"/>
            <w:vAlign w:val="center"/>
            <w:hideMark/>
          </w:tcPr>
          <w:p w14:paraId="3EAF4AB8" w14:textId="77777777" w:rsidR="00217B4D" w:rsidRDefault="00217B4D" w:rsidP="005C3824">
            <w:r>
              <w:t>Empirische Daten, Trendanalysen, Zeitreihen</w:t>
            </w:r>
          </w:p>
        </w:tc>
        <w:tc>
          <w:tcPr>
            <w:tcW w:w="0" w:type="auto"/>
            <w:vAlign w:val="center"/>
            <w:hideMark/>
          </w:tcPr>
          <w:p w14:paraId="65D246E3" w14:textId="77777777" w:rsidR="00217B4D" w:rsidRDefault="00217B4D" w:rsidP="005C3824">
            <w:r>
              <w:t>Strukturlogik, Operatoren, Funktionsarchitektur</w:t>
            </w:r>
          </w:p>
        </w:tc>
      </w:tr>
      <w:tr w:rsidR="00217B4D" w14:paraId="133E22C0" w14:textId="77777777" w:rsidTr="00217B4D">
        <w:trPr>
          <w:tblCellSpacing w:w="15" w:type="dxa"/>
        </w:trPr>
        <w:tc>
          <w:tcPr>
            <w:tcW w:w="0" w:type="auto"/>
            <w:vAlign w:val="center"/>
            <w:hideMark/>
          </w:tcPr>
          <w:p w14:paraId="5F0182A5" w14:textId="77777777" w:rsidR="00217B4D" w:rsidRDefault="00217B4D" w:rsidP="005C3824">
            <w:r>
              <w:rPr>
                <w:rStyle w:val="Fett"/>
              </w:rPr>
              <w:t>Prognosemechanismus</w:t>
            </w:r>
          </w:p>
        </w:tc>
        <w:tc>
          <w:tcPr>
            <w:tcW w:w="0" w:type="auto"/>
            <w:vAlign w:val="center"/>
            <w:hideMark/>
          </w:tcPr>
          <w:p w14:paraId="57FDE7EE" w14:textId="77777777" w:rsidR="00217B4D" w:rsidRDefault="00217B4D" w:rsidP="005C3824">
            <w:r>
              <w:t>Extrapolation bekannter Entwicklungen</w:t>
            </w:r>
          </w:p>
        </w:tc>
        <w:tc>
          <w:tcPr>
            <w:tcW w:w="0" w:type="auto"/>
            <w:vAlign w:val="center"/>
            <w:hideMark/>
          </w:tcPr>
          <w:p w14:paraId="42B77632" w14:textId="77777777" w:rsidR="00217B4D" w:rsidRDefault="00217B4D" w:rsidP="005C3824">
            <w:r>
              <w:t>Ableitung emergenter Systemzustände durch Operatorfolge</w:t>
            </w:r>
          </w:p>
        </w:tc>
      </w:tr>
      <w:tr w:rsidR="00217B4D" w14:paraId="0F0096C3" w14:textId="77777777" w:rsidTr="00217B4D">
        <w:trPr>
          <w:tblCellSpacing w:w="15" w:type="dxa"/>
        </w:trPr>
        <w:tc>
          <w:tcPr>
            <w:tcW w:w="0" w:type="auto"/>
            <w:vAlign w:val="center"/>
            <w:hideMark/>
          </w:tcPr>
          <w:p w14:paraId="51C7D745" w14:textId="77777777" w:rsidR="00217B4D" w:rsidRDefault="00217B4D" w:rsidP="005C3824">
            <w:r>
              <w:rPr>
                <w:rStyle w:val="Fett"/>
              </w:rPr>
              <w:t>Zeitorientierung</w:t>
            </w:r>
          </w:p>
        </w:tc>
        <w:tc>
          <w:tcPr>
            <w:tcW w:w="0" w:type="auto"/>
            <w:vAlign w:val="center"/>
            <w:hideMark/>
          </w:tcPr>
          <w:p w14:paraId="7A9A62C1" w14:textId="77777777" w:rsidR="00217B4D" w:rsidRDefault="00217B4D" w:rsidP="005C3824">
            <w:r>
              <w:t>linear, vergangenheitsorientiert („Fortschreibung“)</w:t>
            </w:r>
          </w:p>
        </w:tc>
        <w:tc>
          <w:tcPr>
            <w:tcW w:w="0" w:type="auto"/>
            <w:vAlign w:val="center"/>
            <w:hideMark/>
          </w:tcPr>
          <w:p w14:paraId="0FCB8D83" w14:textId="77777777" w:rsidR="00217B4D" w:rsidRDefault="00217B4D" w:rsidP="005C3824">
            <w:r>
              <w:t>dynamisch, zukunftsoffen, durch Modellstruktur bestimmt</w:t>
            </w:r>
          </w:p>
        </w:tc>
      </w:tr>
      <w:tr w:rsidR="00217B4D" w14:paraId="7C72B860" w14:textId="77777777" w:rsidTr="00217B4D">
        <w:trPr>
          <w:tblCellSpacing w:w="15" w:type="dxa"/>
        </w:trPr>
        <w:tc>
          <w:tcPr>
            <w:tcW w:w="0" w:type="auto"/>
            <w:vAlign w:val="center"/>
            <w:hideMark/>
          </w:tcPr>
          <w:p w14:paraId="24A464D9" w14:textId="77777777" w:rsidR="00217B4D" w:rsidRDefault="00217B4D" w:rsidP="005C3824">
            <w:r>
              <w:rPr>
                <w:rStyle w:val="Fett"/>
              </w:rPr>
              <w:t>Flexibilität</w:t>
            </w:r>
          </w:p>
        </w:tc>
        <w:tc>
          <w:tcPr>
            <w:tcW w:w="0" w:type="auto"/>
            <w:vAlign w:val="center"/>
            <w:hideMark/>
          </w:tcPr>
          <w:p w14:paraId="51BDA08A" w14:textId="77777777" w:rsidR="00217B4D" w:rsidRDefault="00217B4D" w:rsidP="005C3824">
            <w:r>
              <w:t>begrenzt bei nichtlinearen, disruptiven Prozessen</w:t>
            </w:r>
          </w:p>
        </w:tc>
        <w:tc>
          <w:tcPr>
            <w:tcW w:w="0" w:type="auto"/>
            <w:vAlign w:val="center"/>
            <w:hideMark/>
          </w:tcPr>
          <w:p w14:paraId="72C4A173" w14:textId="77777777" w:rsidR="00217B4D" w:rsidRDefault="00217B4D" w:rsidP="005C3824">
            <w:r>
              <w:t>hoch: auch qualitative Strukturveränderungen erfassbar</w:t>
            </w:r>
          </w:p>
        </w:tc>
      </w:tr>
      <w:tr w:rsidR="00217B4D" w14:paraId="43D64FC2" w14:textId="77777777" w:rsidTr="00217B4D">
        <w:trPr>
          <w:tblCellSpacing w:w="15" w:type="dxa"/>
        </w:trPr>
        <w:tc>
          <w:tcPr>
            <w:tcW w:w="0" w:type="auto"/>
            <w:vAlign w:val="center"/>
            <w:hideMark/>
          </w:tcPr>
          <w:p w14:paraId="581847F7" w14:textId="77777777" w:rsidR="00217B4D" w:rsidRDefault="00217B4D" w:rsidP="005C3824">
            <w:r>
              <w:rPr>
                <w:rStyle w:val="Fett"/>
              </w:rPr>
              <w:t>Unsicherheitsbehandlung</w:t>
            </w:r>
          </w:p>
        </w:tc>
        <w:tc>
          <w:tcPr>
            <w:tcW w:w="0" w:type="auto"/>
            <w:vAlign w:val="center"/>
            <w:hideMark/>
          </w:tcPr>
          <w:p w14:paraId="368DA9C5" w14:textId="77777777" w:rsidR="00217B4D" w:rsidRDefault="00217B4D" w:rsidP="005C3824">
            <w:r>
              <w:t>statistisch, durch Konfidenzintervalle</w:t>
            </w:r>
          </w:p>
        </w:tc>
        <w:tc>
          <w:tcPr>
            <w:tcW w:w="0" w:type="auto"/>
            <w:vAlign w:val="center"/>
            <w:hideMark/>
          </w:tcPr>
          <w:p w14:paraId="73B6B8A4" w14:textId="77777777" w:rsidR="00217B4D" w:rsidRDefault="00217B4D" w:rsidP="005C3824">
            <w:r>
              <w:t>epistemologisch, durch strukturelle Ambiguität und Systemkopplung</w:t>
            </w:r>
          </w:p>
        </w:tc>
      </w:tr>
      <w:tr w:rsidR="00217B4D" w14:paraId="3911712E" w14:textId="77777777" w:rsidTr="00217B4D">
        <w:trPr>
          <w:tblCellSpacing w:w="15" w:type="dxa"/>
        </w:trPr>
        <w:tc>
          <w:tcPr>
            <w:tcW w:w="0" w:type="auto"/>
            <w:vAlign w:val="center"/>
            <w:hideMark/>
          </w:tcPr>
          <w:p w14:paraId="0FBE99C6" w14:textId="77777777" w:rsidR="00217B4D" w:rsidRDefault="00217B4D" w:rsidP="005C3824">
            <w:r>
              <w:rPr>
                <w:rStyle w:val="Fett"/>
              </w:rPr>
              <w:t>Modellverständnis</w:t>
            </w:r>
          </w:p>
        </w:tc>
        <w:tc>
          <w:tcPr>
            <w:tcW w:w="0" w:type="auto"/>
            <w:vAlign w:val="center"/>
            <w:hideMark/>
          </w:tcPr>
          <w:p w14:paraId="1E1E01AC" w14:textId="77777777" w:rsidR="00217B4D" w:rsidRDefault="00217B4D" w:rsidP="005C3824">
            <w:r>
              <w:t>deskriptiv (Abbild der Realität)</w:t>
            </w:r>
          </w:p>
        </w:tc>
        <w:tc>
          <w:tcPr>
            <w:tcW w:w="0" w:type="auto"/>
            <w:vAlign w:val="center"/>
            <w:hideMark/>
          </w:tcPr>
          <w:p w14:paraId="0032D491" w14:textId="77777777" w:rsidR="00217B4D" w:rsidRDefault="00217B4D" w:rsidP="005C3824">
            <w:r>
              <w:t>generativ (Konstitution von Realität)</w:t>
            </w:r>
          </w:p>
        </w:tc>
      </w:tr>
      <w:tr w:rsidR="00217B4D" w14:paraId="1B84ACC0" w14:textId="77777777" w:rsidTr="00217B4D">
        <w:trPr>
          <w:tblCellSpacing w:w="15" w:type="dxa"/>
        </w:trPr>
        <w:tc>
          <w:tcPr>
            <w:tcW w:w="0" w:type="auto"/>
            <w:vAlign w:val="center"/>
            <w:hideMark/>
          </w:tcPr>
          <w:p w14:paraId="6D2FB585" w14:textId="77777777" w:rsidR="00217B4D" w:rsidRDefault="00217B4D" w:rsidP="005C3824">
            <w:r>
              <w:rPr>
                <w:rStyle w:val="Fett"/>
              </w:rPr>
              <w:t>Beispielhafte Verfahren</w:t>
            </w:r>
          </w:p>
        </w:tc>
        <w:tc>
          <w:tcPr>
            <w:tcW w:w="0" w:type="auto"/>
            <w:vAlign w:val="center"/>
            <w:hideMark/>
          </w:tcPr>
          <w:p w14:paraId="5A53A64D" w14:textId="77777777" w:rsidR="00217B4D" w:rsidRDefault="00217B4D" w:rsidP="005C3824">
            <w:r>
              <w:t xml:space="preserve">lineare Regression, ARIMA, </w:t>
            </w:r>
            <w:proofErr w:type="spellStart"/>
            <w:r>
              <w:t>Machine</w:t>
            </w:r>
            <w:proofErr w:type="spellEnd"/>
            <w:r>
              <w:t xml:space="preserve"> Learning, Simulation</w:t>
            </w:r>
          </w:p>
        </w:tc>
        <w:tc>
          <w:tcPr>
            <w:tcW w:w="0" w:type="auto"/>
            <w:vAlign w:val="center"/>
            <w:hideMark/>
          </w:tcPr>
          <w:p w14:paraId="561FC2E5" w14:textId="77777777" w:rsidR="00217B4D" w:rsidRDefault="00217B4D" w:rsidP="005C3824">
            <w:r>
              <w:t>Operatorverknüpfung, Meta-Funktionen, semantische Emergenz</w:t>
            </w:r>
          </w:p>
        </w:tc>
      </w:tr>
      <w:tr w:rsidR="00217B4D" w14:paraId="05BBE93D" w14:textId="77777777" w:rsidTr="00217B4D">
        <w:trPr>
          <w:tblCellSpacing w:w="15" w:type="dxa"/>
        </w:trPr>
        <w:tc>
          <w:tcPr>
            <w:tcW w:w="0" w:type="auto"/>
            <w:vAlign w:val="center"/>
            <w:hideMark/>
          </w:tcPr>
          <w:p w14:paraId="4BE40842" w14:textId="77777777" w:rsidR="00217B4D" w:rsidRDefault="00217B4D" w:rsidP="005C3824">
            <w:r>
              <w:rPr>
                <w:rStyle w:val="Fett"/>
              </w:rPr>
              <w:t>Kritikpunkte</w:t>
            </w:r>
          </w:p>
        </w:tc>
        <w:tc>
          <w:tcPr>
            <w:tcW w:w="0" w:type="auto"/>
            <w:vAlign w:val="center"/>
            <w:hideMark/>
          </w:tcPr>
          <w:p w14:paraId="061DA2E6" w14:textId="77777777" w:rsidR="00217B4D" w:rsidRDefault="00217B4D" w:rsidP="005C3824">
            <w:proofErr w:type="spellStart"/>
            <w:r>
              <w:t>vergangenheitslastig</w:t>
            </w:r>
            <w:proofErr w:type="spellEnd"/>
            <w:r>
              <w:t>, häufig nicht adaptiv</w:t>
            </w:r>
          </w:p>
        </w:tc>
        <w:tc>
          <w:tcPr>
            <w:tcW w:w="0" w:type="auto"/>
            <w:vAlign w:val="center"/>
            <w:hideMark/>
          </w:tcPr>
          <w:p w14:paraId="39FEF9A4" w14:textId="77777777" w:rsidR="00217B4D" w:rsidRDefault="00217B4D" w:rsidP="005C3824">
            <w:r>
              <w:t>hoher Abstraktionsgrad, benötigt formale Kohärenz</w:t>
            </w:r>
          </w:p>
        </w:tc>
      </w:tr>
      <w:tr w:rsidR="00217B4D" w14:paraId="4CDDC3A2" w14:textId="77777777" w:rsidTr="00217B4D">
        <w:trPr>
          <w:tblCellSpacing w:w="15" w:type="dxa"/>
        </w:trPr>
        <w:tc>
          <w:tcPr>
            <w:tcW w:w="0" w:type="auto"/>
            <w:vAlign w:val="center"/>
            <w:hideMark/>
          </w:tcPr>
          <w:p w14:paraId="14EF88C7" w14:textId="77777777" w:rsidR="00217B4D" w:rsidRDefault="00217B4D" w:rsidP="005C3824">
            <w:r>
              <w:rPr>
                <w:rStyle w:val="Fett"/>
              </w:rPr>
              <w:t>Stärken</w:t>
            </w:r>
          </w:p>
        </w:tc>
        <w:tc>
          <w:tcPr>
            <w:tcW w:w="0" w:type="auto"/>
            <w:vAlign w:val="center"/>
            <w:hideMark/>
          </w:tcPr>
          <w:p w14:paraId="445EF5F0" w14:textId="77777777" w:rsidR="00217B4D" w:rsidRDefault="00217B4D" w:rsidP="005C3824">
            <w:r>
              <w:t>empirisch robust bei stabilen Systemen</w:t>
            </w:r>
          </w:p>
        </w:tc>
        <w:tc>
          <w:tcPr>
            <w:tcW w:w="0" w:type="auto"/>
            <w:vAlign w:val="center"/>
            <w:hideMark/>
          </w:tcPr>
          <w:p w14:paraId="0A0DC225" w14:textId="77777777" w:rsidR="00217B4D" w:rsidRDefault="00217B4D" w:rsidP="005C3824">
            <w:r>
              <w:t>erklärungs- und konstruktionsstark bei komplexen, offenen Systemen</w:t>
            </w:r>
          </w:p>
        </w:tc>
      </w:tr>
    </w:tbl>
    <w:p w14:paraId="72A6EE8C" w14:textId="77777777" w:rsidR="00217B4D" w:rsidRDefault="00E013D4" w:rsidP="005C3824">
      <w:r>
        <w:lastRenderedPageBreak/>
        <w:pict w14:anchorId="77D7B4D8">
          <v:rect id="_x0000_i1026" style="width:0;height:1.5pt" o:hralign="center" o:hrstd="t" o:hr="t" fillcolor="#a0a0a0" stroked="f"/>
        </w:pict>
      </w:r>
    </w:p>
    <w:p w14:paraId="091A62C1" w14:textId="30F568BB" w:rsidR="00217B4D" w:rsidRDefault="00217B4D" w:rsidP="00E013D4">
      <w:pPr>
        <w:pStyle w:val="berschrift3"/>
      </w:pPr>
      <w:r>
        <w:t>Erkenntnistheoretische Einordnung:</w:t>
      </w:r>
    </w:p>
    <w:p w14:paraId="544B3D2F" w14:textId="77777777" w:rsidR="00217B4D" w:rsidRDefault="00217B4D" w:rsidP="005C3824">
      <w:r>
        <w:t xml:space="preserve">Klassische Modelle </w:t>
      </w:r>
      <w:r>
        <w:rPr>
          <w:rStyle w:val="Fett"/>
        </w:rPr>
        <w:t>prognostizieren</w:t>
      </w:r>
      <w:r>
        <w:t xml:space="preserve">, was </w:t>
      </w:r>
      <w:r>
        <w:rPr>
          <w:rStyle w:val="Fett"/>
        </w:rPr>
        <w:t>aus dem Gewesenen wahrscheinlich folgt</w:t>
      </w:r>
      <w:r>
        <w:t>.</w:t>
      </w:r>
    </w:p>
    <w:p w14:paraId="65772151" w14:textId="77777777" w:rsidR="00217B4D" w:rsidRDefault="00217B4D" w:rsidP="005C3824">
      <w:r>
        <w:t xml:space="preserve">Das FRZK </w:t>
      </w:r>
      <w:r>
        <w:rPr>
          <w:rStyle w:val="Fett"/>
        </w:rPr>
        <w:t>rekonstruiert</w:t>
      </w:r>
      <w:r>
        <w:t xml:space="preserve">, </w:t>
      </w:r>
      <w:r>
        <w:rPr>
          <w:rStyle w:val="Fett"/>
        </w:rPr>
        <w:t>unter welchen Bedingungen etwas entstehen kann</w:t>
      </w:r>
      <w:r>
        <w:t xml:space="preserve"> – unabhängig davon, ob es in der Vergangenheit bereits beobachtet wurde.</w:t>
      </w:r>
    </w:p>
    <w:p w14:paraId="26461A30" w14:textId="77777777" w:rsidR="00217B4D" w:rsidRDefault="00E013D4" w:rsidP="005C3824">
      <w:r>
        <w:pict w14:anchorId="2941A7B3">
          <v:rect id="_x0000_i1027" style="width:0;height:1.5pt" o:hralign="center" o:hrstd="t" o:hr="t" fillcolor="#a0a0a0" stroked="f"/>
        </w:pict>
      </w:r>
    </w:p>
    <w:p w14:paraId="6A675D48" w14:textId="17F4A0A0" w:rsidR="00217B4D" w:rsidRDefault="00217B4D" w:rsidP="00E013D4">
      <w:pPr>
        <w:pStyle w:val="berschrift3"/>
      </w:pPr>
      <w:r>
        <w:t>Verwendungszweck der Anlage</w:t>
      </w:r>
    </w:p>
    <w:p w14:paraId="1A7275B1" w14:textId="77777777" w:rsidR="00217B4D" w:rsidRDefault="00217B4D" w:rsidP="005C3824">
      <w:r>
        <w:t>Diese Tabelle dient:</w:t>
      </w:r>
    </w:p>
    <w:p w14:paraId="3419B54F" w14:textId="77777777" w:rsidR="00217B4D" w:rsidRPr="00E013D4" w:rsidRDefault="00217B4D" w:rsidP="00E013D4">
      <w:pPr>
        <w:pStyle w:val="Aufzhlung"/>
      </w:pPr>
      <w:r w:rsidRPr="00E013D4">
        <w:t xml:space="preserve">als theoretischer Bezugspunkt für </w:t>
      </w:r>
      <w:proofErr w:type="spellStart"/>
      <w:proofErr w:type="gramStart"/>
      <w:r w:rsidRPr="00E013D4">
        <w:t>Leser:innen</w:t>
      </w:r>
      <w:proofErr w:type="spellEnd"/>
      <w:proofErr w:type="gramEnd"/>
      <w:r w:rsidRPr="00E013D4">
        <w:t xml:space="preserve"> aus Prognostik, Zukunftsforschung, Technikfolgenabschätzung,</w:t>
      </w:r>
    </w:p>
    <w:p w14:paraId="594D5F68" w14:textId="77777777" w:rsidR="00217B4D" w:rsidRPr="00E013D4" w:rsidRDefault="00217B4D" w:rsidP="00E013D4">
      <w:pPr>
        <w:pStyle w:val="Aufzhlung"/>
      </w:pPr>
      <w:r w:rsidRPr="00E013D4">
        <w:t>zur Erklärung der methodischen Andersartigkeit des FRZK,</w:t>
      </w:r>
    </w:p>
    <w:p w14:paraId="0851EC1B" w14:textId="77777777" w:rsidR="00217B4D" w:rsidRPr="00E013D4" w:rsidRDefault="00217B4D" w:rsidP="005C3824">
      <w:r w:rsidRPr="00E013D4">
        <w:t>als Argumentationshilfe zur Begründung alternativer Prognoseverfahren in komplexen, emergenten Kontexten (z. B. Bildung, Technik, Gesellschaft, Ethik).</w:t>
      </w:r>
    </w:p>
    <w:p w14:paraId="1C25F204" w14:textId="77777777" w:rsidR="00106528" w:rsidRPr="00082214" w:rsidRDefault="00106528" w:rsidP="00082214">
      <w:pPr>
        <w:rPr>
          <w:rStyle w:val="IntensiveHervorhebung"/>
          <w:i w:val="0"/>
          <w:iCs w:val="0"/>
          <w:color w:val="auto"/>
        </w:rPr>
      </w:pPr>
    </w:p>
    <w:sectPr w:rsidR="00106528" w:rsidRPr="00082214" w:rsidSect="005C3824">
      <w:pgSz w:w="16838" w:h="11906" w:orient="landscape"/>
      <w:pgMar w:top="1417" w:right="1417" w:bottom="1417" w:left="1134"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167FEB"/>
    <w:multiLevelType w:val="multilevel"/>
    <w:tmpl w:val="74D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D64F1"/>
    <w:multiLevelType w:val="multilevel"/>
    <w:tmpl w:val="8A3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10644"/>
    <w:multiLevelType w:val="multilevel"/>
    <w:tmpl w:val="3C2241E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4D"/>
    <w:rsid w:val="000467F2"/>
    <w:rsid w:val="00082214"/>
    <w:rsid w:val="00106528"/>
    <w:rsid w:val="001830F2"/>
    <w:rsid w:val="0019229D"/>
    <w:rsid w:val="00217B4D"/>
    <w:rsid w:val="002B03D4"/>
    <w:rsid w:val="002D4202"/>
    <w:rsid w:val="00324306"/>
    <w:rsid w:val="00433ECB"/>
    <w:rsid w:val="00436FC4"/>
    <w:rsid w:val="00446557"/>
    <w:rsid w:val="00500020"/>
    <w:rsid w:val="005454E6"/>
    <w:rsid w:val="005B5EFD"/>
    <w:rsid w:val="005C3824"/>
    <w:rsid w:val="005E4CED"/>
    <w:rsid w:val="006016DC"/>
    <w:rsid w:val="007A3369"/>
    <w:rsid w:val="007B7DE7"/>
    <w:rsid w:val="007E333F"/>
    <w:rsid w:val="008871CF"/>
    <w:rsid w:val="008B0C43"/>
    <w:rsid w:val="008C4935"/>
    <w:rsid w:val="009032D7"/>
    <w:rsid w:val="00997246"/>
    <w:rsid w:val="00A307C9"/>
    <w:rsid w:val="00AA4222"/>
    <w:rsid w:val="00AF6392"/>
    <w:rsid w:val="00B53EE0"/>
    <w:rsid w:val="00B873C2"/>
    <w:rsid w:val="00BA664A"/>
    <w:rsid w:val="00C2343F"/>
    <w:rsid w:val="00CD2089"/>
    <w:rsid w:val="00D33BDA"/>
    <w:rsid w:val="00D44FE7"/>
    <w:rsid w:val="00D542C6"/>
    <w:rsid w:val="00D67542"/>
    <w:rsid w:val="00D80CC8"/>
    <w:rsid w:val="00E013D4"/>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E762"/>
  <w15:chartTrackingRefBased/>
  <w15:docId w15:val="{257EEF6B-628E-4FF2-A1B7-9A67B1D0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824"/>
    <w:pPr>
      <w:spacing w:after="120"/>
    </w:pPr>
    <w:rPr>
      <w:rFonts w:asciiTheme="minorHAnsi" w:eastAsia="Times New Roman" w:hAnsiTheme="minorHAns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6"/>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217B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68523914">
      <w:bodyDiv w:val="1"/>
      <w:marLeft w:val="0"/>
      <w:marRight w:val="0"/>
      <w:marTop w:val="0"/>
      <w:marBottom w:val="0"/>
      <w:divBdr>
        <w:top w:val="none" w:sz="0" w:space="0" w:color="auto"/>
        <w:left w:val="none" w:sz="0" w:space="0" w:color="auto"/>
        <w:bottom w:val="none" w:sz="0" w:space="0" w:color="auto"/>
        <w:right w:val="none" w:sz="0" w:space="0" w:color="auto"/>
      </w:divBdr>
      <w:divsChild>
        <w:div w:id="1276908039">
          <w:marLeft w:val="0"/>
          <w:marRight w:val="0"/>
          <w:marTop w:val="0"/>
          <w:marBottom w:val="0"/>
          <w:divBdr>
            <w:top w:val="none" w:sz="0" w:space="0" w:color="auto"/>
            <w:left w:val="none" w:sz="0" w:space="0" w:color="auto"/>
            <w:bottom w:val="none" w:sz="0" w:space="0" w:color="auto"/>
            <w:right w:val="none" w:sz="0" w:space="0" w:color="auto"/>
          </w:divBdr>
          <w:divsChild>
            <w:div w:id="18017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320</Words>
  <Characters>2021</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2025-06-27T06:23:00Z</dcterms:created>
  <dcterms:modified xsi:type="dcterms:W3CDTF">2025-06-29T07:24:00Z</dcterms:modified>
</cp:coreProperties>
</file>