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B9316" w14:textId="5B2257FB" w:rsidR="00002EFB" w:rsidRPr="00B77CF3" w:rsidRDefault="00002EFB" w:rsidP="00002EFB">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 xml:space="preserve">Anlage 4 - 1 - </w:t>
      </w:r>
      <w:r w:rsidRPr="00B77CF3">
        <w:rPr>
          <w:rFonts w:ascii="Times New Roman" w:eastAsia="Times New Roman" w:hAnsi="Times New Roman" w:cs="Times New Roman"/>
          <w:b/>
          <w:bCs/>
          <w:sz w:val="27"/>
          <w:szCs w:val="27"/>
          <w:lang w:eastAsia="de-DE"/>
        </w:rPr>
        <w:t>Iterative Bedeutungszuweisung am Beispiel des Raketenflugs</w:t>
      </w:r>
    </w:p>
    <w:p w14:paraId="0986B5E5"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Zur Operationalisierung der funktionalen Modellierung dient in diesem Abschnitt das Beispiel des zweidimensionalen Raketenflugs. Es bietet ein klassisches physikalisches Szenario, das sich in einem funktionalen Rahmen vollständig rekonstruieren lässt – ohne auf ontologisch vorgegebene Raum-Zeit-Strukturen zurückzugreifen. Die physikalische Beschreibung entsteht hier nicht aus einem physikalischen Weltbild, sondern durch systematische Zuweisung von Funktionen an einen anfangs bedeutungslosen Punkt im Modellraum.</w:t>
      </w:r>
    </w:p>
    <w:p w14:paraId="0FFCD242" w14:textId="77777777" w:rsidR="00002EFB" w:rsidRPr="00B77CF3" w:rsidRDefault="00002EFB" w:rsidP="00002EF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Pr="00B77CF3">
        <w:rPr>
          <w:rFonts w:ascii="Times New Roman" w:eastAsia="Times New Roman" w:hAnsi="Times New Roman" w:cs="Times New Roman"/>
          <w:b/>
          <w:bCs/>
          <w:sz w:val="24"/>
          <w:szCs w:val="24"/>
          <w:lang w:eastAsia="de-DE"/>
        </w:rPr>
        <w:t xml:space="preserve">3.1 Initialpunkt und </w:t>
      </w:r>
      <w:proofErr w:type="spellStart"/>
      <w:r w:rsidRPr="00B77CF3">
        <w:rPr>
          <w:rFonts w:ascii="Times New Roman" w:eastAsia="Times New Roman" w:hAnsi="Times New Roman" w:cs="Times New Roman"/>
          <w:b/>
          <w:bCs/>
          <w:sz w:val="24"/>
          <w:szCs w:val="24"/>
          <w:lang w:eastAsia="de-DE"/>
        </w:rPr>
        <w:t>Temporalisierung</w:t>
      </w:r>
      <w:proofErr w:type="spellEnd"/>
    </w:p>
    <w:p w14:paraId="711AED10"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Ausgangspunkt des funktionalen Modells ist ein einzelner strukturfreier Punkt U</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MU \in MU</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M, der weder räumlich noch zeitlich bestimmt ist. Die erste bedeutungskonstitutive Operation besteht in der Zuweisung einer Zeitfunktion:</w:t>
      </w:r>
    </w:p>
    <w:p w14:paraId="31057CC5" w14:textId="77777777" w:rsidR="00002EFB" w:rsidRPr="00B77CF3" w:rsidRDefault="00002EFB" w:rsidP="00002EFB">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τ(U)=t\tau(U) = </w:t>
      </w:r>
      <w:proofErr w:type="spellStart"/>
      <w:r w:rsidRPr="00B77CF3">
        <w:rPr>
          <w:rFonts w:ascii="Times New Roman" w:eastAsia="Times New Roman" w:hAnsi="Times New Roman" w:cs="Times New Roman"/>
          <w:sz w:val="24"/>
          <w:szCs w:val="24"/>
          <w:lang w:eastAsia="de-DE"/>
        </w:rPr>
        <w:t>tτ</w:t>
      </w:r>
      <w:proofErr w:type="spellEnd"/>
      <w:r w:rsidRPr="00B77CF3">
        <w:rPr>
          <w:rFonts w:ascii="Times New Roman" w:eastAsia="Times New Roman" w:hAnsi="Times New Roman" w:cs="Times New Roman"/>
          <w:sz w:val="24"/>
          <w:szCs w:val="24"/>
          <w:lang w:eastAsia="de-DE"/>
        </w:rPr>
        <w:t xml:space="preserve">(U)=t </w:t>
      </w:r>
    </w:p>
    <w:p w14:paraId="3A905215"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Zuweisung </w:t>
      </w:r>
      <w:proofErr w:type="spellStart"/>
      <w:r w:rsidRPr="00B77CF3">
        <w:rPr>
          <w:rFonts w:ascii="Times New Roman" w:eastAsia="Times New Roman" w:hAnsi="Times New Roman" w:cs="Times New Roman"/>
          <w:sz w:val="24"/>
          <w:szCs w:val="24"/>
          <w:lang w:eastAsia="de-DE"/>
        </w:rPr>
        <w:t>temporalisierter</w:t>
      </w:r>
      <w:proofErr w:type="spellEnd"/>
      <w:r w:rsidRPr="00B77CF3">
        <w:rPr>
          <w:rFonts w:ascii="Times New Roman" w:eastAsia="Times New Roman" w:hAnsi="Times New Roman" w:cs="Times New Roman"/>
          <w:sz w:val="24"/>
          <w:szCs w:val="24"/>
          <w:lang w:eastAsia="de-DE"/>
        </w:rPr>
        <w:t xml:space="preserve"> Zustände markiert den Ursprung eines dynamischen Bezugssystems. Zeit ist hier keine absolute Größe, sondern das Ergebnis einer kontextgebundenen Strukturierung durch das beobachtende Subjekt.</w:t>
      </w:r>
    </w:p>
    <w:p w14:paraId="4DA9B22A" w14:textId="77777777" w:rsidR="00002EFB" w:rsidRPr="00B77CF3" w:rsidRDefault="00002EFB" w:rsidP="00002EF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Pr="00B77CF3">
        <w:rPr>
          <w:rFonts w:ascii="Times New Roman" w:eastAsia="Times New Roman" w:hAnsi="Times New Roman" w:cs="Times New Roman"/>
          <w:b/>
          <w:bCs/>
          <w:sz w:val="24"/>
          <w:szCs w:val="24"/>
          <w:lang w:eastAsia="de-DE"/>
        </w:rPr>
        <w:t>3.2 Raumfunktionale Erweiterung</w:t>
      </w:r>
    </w:p>
    <w:p w14:paraId="0224DA7D"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nächsten Schritt werden dem temporalen Verlauf durch weitere Funktionen räumliche Koordinaten zugewiesen. Für einen ballistischen Flugkörper im zweidimensionalen Raum lauten diese Funktionszuweisungen:</w:t>
      </w:r>
    </w:p>
    <w:p w14:paraId="5ADEB018" w14:textId="77777777" w:rsidR="00002EFB" w:rsidRPr="00B77CF3" w:rsidRDefault="00002EFB" w:rsidP="00002EFB">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x(t)=v0cos⁡(θ)</w:t>
      </w:r>
      <w:r w:rsidRPr="00B77CF3">
        <w:rPr>
          <w:rFonts w:ascii="Cambria Math" w:eastAsia="Times New Roman" w:hAnsi="Cambria Math" w:cs="Cambria Math"/>
          <w:sz w:val="24"/>
          <w:szCs w:val="24"/>
          <w:lang w:eastAsia="de-DE"/>
        </w:rPr>
        <w:t>⋅</w:t>
      </w:r>
      <w:proofErr w:type="spellStart"/>
      <w:r w:rsidRPr="00B77CF3">
        <w:rPr>
          <w:rFonts w:ascii="Times New Roman" w:eastAsia="Times New Roman" w:hAnsi="Times New Roman" w:cs="Times New Roman"/>
          <w:sz w:val="24"/>
          <w:szCs w:val="24"/>
          <w:lang w:eastAsia="de-DE"/>
        </w:rPr>
        <w:t>tx</w:t>
      </w:r>
      <w:proofErr w:type="spellEnd"/>
      <w:r w:rsidRPr="00B77CF3">
        <w:rPr>
          <w:rFonts w:ascii="Times New Roman" w:eastAsia="Times New Roman" w:hAnsi="Times New Roman" w:cs="Times New Roman"/>
          <w:sz w:val="24"/>
          <w:szCs w:val="24"/>
          <w:lang w:eastAsia="de-DE"/>
        </w:rPr>
        <w:t>(t) = v_0 \cos(\</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cdot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tx</w:t>
      </w:r>
      <w:proofErr w:type="spellEnd"/>
      <w:r w:rsidRPr="00B77CF3">
        <w:rPr>
          <w:rFonts w:ascii="Times New Roman" w:eastAsia="Times New Roman" w:hAnsi="Times New Roman" w:cs="Times New Roman"/>
          <w:sz w:val="24"/>
          <w:szCs w:val="24"/>
          <w:lang w:eastAsia="de-DE"/>
        </w:rPr>
        <w:t>(t)=v0​cos(θ)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t y(t)=v0sin⁡(θ)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t−12gt2y(t) = v_0 \sin(\</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cdot</w:t>
      </w:r>
      <w:proofErr w:type="spellEnd"/>
      <w:r w:rsidRPr="00B77CF3">
        <w:rPr>
          <w:rFonts w:ascii="Times New Roman" w:eastAsia="Times New Roman" w:hAnsi="Times New Roman" w:cs="Times New Roman"/>
          <w:sz w:val="24"/>
          <w:szCs w:val="24"/>
          <w:lang w:eastAsia="de-DE"/>
        </w:rPr>
        <w:t xml:space="preserve"> t - \</w:t>
      </w:r>
      <w:proofErr w:type="spellStart"/>
      <w:proofErr w:type="gram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1}{2} g t^2y(t)=v0​sin(θ)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 xml:space="preserve">t−21​gt2 </w:t>
      </w:r>
    </w:p>
    <w:p w14:paraId="2C167BE3"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Funktionen erzeugen ein Koordinatensystem, das nicht als Abbildung eines realen Raumes interpretiert werden darf, sondern als Ergebnis einer modellinternen Zuordnung. Die Koordinaten sind „Labels“, wie </w:t>
      </w:r>
      <w:proofErr w:type="spellStart"/>
      <w:r w:rsidRPr="00B77CF3">
        <w:rPr>
          <w:rFonts w:ascii="Times New Roman" w:eastAsia="Times New Roman" w:hAnsi="Times New Roman" w:cs="Times New Roman"/>
          <w:sz w:val="24"/>
          <w:szCs w:val="24"/>
          <w:lang w:eastAsia="de-DE"/>
        </w:rPr>
        <w:t>Misner</w:t>
      </w:r>
      <w:proofErr w:type="spellEnd"/>
      <w:r w:rsidRPr="00B77CF3">
        <w:rPr>
          <w:rFonts w:ascii="Times New Roman" w:eastAsia="Times New Roman" w:hAnsi="Times New Roman" w:cs="Times New Roman"/>
          <w:sz w:val="24"/>
          <w:szCs w:val="24"/>
          <w:lang w:eastAsia="de-DE"/>
        </w:rPr>
        <w:t>, Thorne und Wheeler betonen:</w:t>
      </w:r>
    </w:p>
    <w:p w14:paraId="759B84E9" w14:textId="77777777" w:rsidR="00002EFB" w:rsidRPr="00B77CF3" w:rsidRDefault="00002EFB" w:rsidP="00002EFB">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„The </w:t>
      </w:r>
      <w:proofErr w:type="spellStart"/>
      <w:r w:rsidRPr="00B77CF3">
        <w:rPr>
          <w:rFonts w:ascii="Times New Roman" w:eastAsia="Times New Roman" w:hAnsi="Times New Roman" w:cs="Times New Roman"/>
          <w:sz w:val="24"/>
          <w:szCs w:val="24"/>
          <w:lang w:eastAsia="de-DE"/>
        </w:rPr>
        <w:t>coordinates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labels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assigned</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events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by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observer</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have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no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meaning</w:t>
      </w:r>
      <w:proofErr w:type="spellEnd"/>
      <w:r w:rsidRPr="00B77CF3">
        <w:rPr>
          <w:rFonts w:ascii="Times New Roman" w:eastAsia="Times New Roman" w:hAnsi="Times New Roman" w:cs="Times New Roman"/>
          <w:sz w:val="24"/>
          <w:szCs w:val="24"/>
          <w:lang w:eastAsia="de-DE"/>
        </w:rPr>
        <w:t xml:space="preserve"> apart </w:t>
      </w:r>
      <w:proofErr w:type="spellStart"/>
      <w:r w:rsidRPr="00B77CF3">
        <w:rPr>
          <w:rFonts w:ascii="Times New Roman" w:eastAsia="Times New Roman" w:hAnsi="Times New Roman" w:cs="Times New Roman"/>
          <w:sz w:val="24"/>
          <w:szCs w:val="24"/>
          <w:lang w:eastAsia="de-DE"/>
        </w:rPr>
        <w:t>from</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rules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that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physical</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quantities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them</w:t>
      </w:r>
      <w:proofErr w:type="spellEnd"/>
      <w:r w:rsidRPr="00B77CF3">
        <w:rPr>
          <w:rFonts w:ascii="Times New Roman" w:eastAsia="Times New Roman" w:hAnsi="Times New Roman" w:cs="Times New Roman"/>
          <w:sz w:val="24"/>
          <w:szCs w:val="24"/>
          <w:lang w:eastAsia="de-DE"/>
        </w:rPr>
        <w:t>.“ [2, S. 396]</w:t>
      </w:r>
    </w:p>
    <w:p w14:paraId="6A46C97D" w14:textId="77777777" w:rsidR="00002EFB" w:rsidRPr="00B77CF3" w:rsidRDefault="00002EFB" w:rsidP="00002EF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Pr="00B77CF3">
        <w:rPr>
          <w:rFonts w:ascii="Times New Roman" w:eastAsia="Times New Roman" w:hAnsi="Times New Roman" w:cs="Times New Roman"/>
          <w:b/>
          <w:bCs/>
          <w:sz w:val="24"/>
          <w:szCs w:val="24"/>
          <w:lang w:eastAsia="de-DE"/>
        </w:rPr>
        <w:t>3.3 Dynamische Struktur durch Ableitung</w:t>
      </w:r>
    </w:p>
    <w:p w14:paraId="38ACC183"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Aus den primären Raumfunktionen werden durch Ableitungsoperationen dynamische Größen wie Geschwindigkeit und Beschleunigung gewonnen:</w:t>
      </w:r>
    </w:p>
    <w:p w14:paraId="56889727" w14:textId="77777777" w:rsidR="00002EFB" w:rsidRPr="00B77CF3" w:rsidRDefault="00002EFB" w:rsidP="00002EFB">
      <w:pPr>
        <w:spacing w:after="0" w:line="240" w:lineRule="auto"/>
        <w:rPr>
          <w:rFonts w:ascii="Times New Roman" w:eastAsia="Times New Roman" w:hAnsi="Times New Roman" w:cs="Times New Roman"/>
          <w:sz w:val="24"/>
          <w:szCs w:val="24"/>
          <w:lang w:eastAsia="de-DE"/>
        </w:rPr>
      </w:pP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(t)=x˙(t)=v0cos⁡(θ),</w:t>
      </w:r>
      <w:proofErr w:type="spellStart"/>
      <w:r w:rsidRPr="00B77CF3">
        <w:rPr>
          <w:rFonts w:ascii="Times New Roman" w:eastAsia="Times New Roman" w:hAnsi="Times New Roman" w:cs="Times New Roman"/>
          <w:sz w:val="24"/>
          <w:szCs w:val="24"/>
          <w:lang w:eastAsia="de-DE"/>
        </w:rPr>
        <w:t>vy</w:t>
      </w:r>
      <w:proofErr w:type="spellEnd"/>
      <w:r w:rsidRPr="00B77CF3">
        <w:rPr>
          <w:rFonts w:ascii="Times New Roman" w:eastAsia="Times New Roman" w:hAnsi="Times New Roman" w:cs="Times New Roman"/>
          <w:sz w:val="24"/>
          <w:szCs w:val="24"/>
          <w:lang w:eastAsia="de-DE"/>
        </w:rPr>
        <w:t>(t)=y˙(t)=v0sin⁡(θ)−</w:t>
      </w:r>
      <w:proofErr w:type="spellStart"/>
      <w:r w:rsidRPr="00B77CF3">
        <w:rPr>
          <w:rFonts w:ascii="Times New Roman" w:eastAsia="Times New Roman" w:hAnsi="Times New Roman" w:cs="Times New Roman"/>
          <w:sz w:val="24"/>
          <w:szCs w:val="24"/>
          <w:lang w:eastAsia="de-DE"/>
        </w:rPr>
        <w:t>gtv_x</w:t>
      </w:r>
      <w:proofErr w:type="spell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dot</w:t>
      </w:r>
      <w:proofErr w:type="spellEnd"/>
      <w:r w:rsidRPr="00B77CF3">
        <w:rPr>
          <w:rFonts w:ascii="Times New Roman" w:eastAsia="Times New Roman" w:hAnsi="Times New Roman" w:cs="Times New Roman"/>
          <w:sz w:val="24"/>
          <w:szCs w:val="24"/>
          <w:lang w:eastAsia="de-DE"/>
        </w:rPr>
        <w:t>{x}(t) = v_0 \cos(\</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quad</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v_y</w:t>
      </w:r>
      <w:proofErr w:type="spell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dot</w:t>
      </w:r>
      <w:proofErr w:type="spellEnd"/>
      <w:r w:rsidRPr="00B77CF3">
        <w:rPr>
          <w:rFonts w:ascii="Times New Roman" w:eastAsia="Times New Roman" w:hAnsi="Times New Roman" w:cs="Times New Roman"/>
          <w:sz w:val="24"/>
          <w:szCs w:val="24"/>
          <w:lang w:eastAsia="de-DE"/>
        </w:rPr>
        <w:t>{y}(t) = v_0 \sin(\</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xml:space="preserve">) - g </w:t>
      </w:r>
      <w:proofErr w:type="spellStart"/>
      <w:r w:rsidRPr="00B77CF3">
        <w:rPr>
          <w:rFonts w:ascii="Times New Roman" w:eastAsia="Times New Roman" w:hAnsi="Times New Roman" w:cs="Times New Roman"/>
          <w:sz w:val="24"/>
          <w:szCs w:val="24"/>
          <w:lang w:eastAsia="de-DE"/>
        </w:rPr>
        <w:t>tvx</w:t>
      </w:r>
      <w:proofErr w:type="spellEnd"/>
      <w:r w:rsidRPr="00B77CF3">
        <w:rPr>
          <w:rFonts w:ascii="Times New Roman" w:eastAsia="Times New Roman" w:hAnsi="Times New Roman" w:cs="Times New Roman"/>
          <w:sz w:val="24"/>
          <w:szCs w:val="24"/>
          <w:lang w:eastAsia="de-DE"/>
        </w:rPr>
        <w:t>​(t)=x˙(t)=v0​cos(θ),</w:t>
      </w:r>
      <w:proofErr w:type="spellStart"/>
      <w:r w:rsidRPr="00B77CF3">
        <w:rPr>
          <w:rFonts w:ascii="Times New Roman" w:eastAsia="Times New Roman" w:hAnsi="Times New Roman" w:cs="Times New Roman"/>
          <w:sz w:val="24"/>
          <w:szCs w:val="24"/>
          <w:lang w:eastAsia="de-DE"/>
        </w:rPr>
        <w:t>vy</w:t>
      </w:r>
      <w:proofErr w:type="spellEnd"/>
      <w:r w:rsidRPr="00B77CF3">
        <w:rPr>
          <w:rFonts w:ascii="Times New Roman" w:eastAsia="Times New Roman" w:hAnsi="Times New Roman" w:cs="Times New Roman"/>
          <w:sz w:val="24"/>
          <w:szCs w:val="24"/>
          <w:lang w:eastAsia="de-DE"/>
        </w:rPr>
        <w:t>​(t)=y˙​(t)=v0​sin(θ)−</w:t>
      </w:r>
      <w:proofErr w:type="spellStart"/>
      <w:r w:rsidRPr="00B77CF3">
        <w:rPr>
          <w:rFonts w:ascii="Times New Roman" w:eastAsia="Times New Roman" w:hAnsi="Times New Roman" w:cs="Times New Roman"/>
          <w:sz w:val="24"/>
          <w:szCs w:val="24"/>
          <w:lang w:eastAsia="de-DE"/>
        </w:rPr>
        <w:t>gt</w:t>
      </w:r>
      <w:proofErr w:type="spellEnd"/>
      <w:r w:rsidRPr="00B77CF3">
        <w:rPr>
          <w:rFonts w:ascii="Times New Roman" w:eastAsia="Times New Roman" w:hAnsi="Times New Roman" w:cs="Times New Roman"/>
          <w:sz w:val="24"/>
          <w:szCs w:val="24"/>
          <w:lang w:eastAsia="de-DE"/>
        </w:rPr>
        <w:t xml:space="preserve"> v(t)=</w:t>
      </w: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(t)2+vy(t)2v(t) = \</w:t>
      </w:r>
      <w:proofErr w:type="spellStart"/>
      <w:r w:rsidRPr="00B77CF3">
        <w:rPr>
          <w:rFonts w:ascii="Times New Roman" w:eastAsia="Times New Roman" w:hAnsi="Times New Roman" w:cs="Times New Roman"/>
          <w:sz w:val="24"/>
          <w:szCs w:val="24"/>
          <w:lang w:eastAsia="de-DE"/>
        </w:rPr>
        <w:t>sqrt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v_x</w:t>
      </w:r>
      <w:proofErr w:type="spellEnd"/>
      <w:r w:rsidRPr="00B77CF3">
        <w:rPr>
          <w:rFonts w:ascii="Times New Roman" w:eastAsia="Times New Roman" w:hAnsi="Times New Roman" w:cs="Times New Roman"/>
          <w:sz w:val="24"/>
          <w:szCs w:val="24"/>
          <w:lang w:eastAsia="de-DE"/>
        </w:rPr>
        <w:t xml:space="preserve">(t)^2 + </w:t>
      </w:r>
      <w:proofErr w:type="spellStart"/>
      <w:r w:rsidRPr="00B77CF3">
        <w:rPr>
          <w:rFonts w:ascii="Times New Roman" w:eastAsia="Times New Roman" w:hAnsi="Times New Roman" w:cs="Times New Roman"/>
          <w:sz w:val="24"/>
          <w:szCs w:val="24"/>
          <w:lang w:eastAsia="de-DE"/>
        </w:rPr>
        <w:t>v_y</w:t>
      </w:r>
      <w:proofErr w:type="spellEnd"/>
      <w:r w:rsidRPr="00B77CF3">
        <w:rPr>
          <w:rFonts w:ascii="Times New Roman" w:eastAsia="Times New Roman" w:hAnsi="Times New Roman" w:cs="Times New Roman"/>
          <w:sz w:val="24"/>
          <w:szCs w:val="24"/>
          <w:lang w:eastAsia="de-DE"/>
        </w:rPr>
        <w:t>(t)^2}v(t)=</w:t>
      </w: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 xml:space="preserve">​(t)2+vy​(t)2​ </w:t>
      </w:r>
    </w:p>
    <w:p w14:paraId="511BA7D5"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Beschleunigung ergibt sich ebenfalls als Ableitung, ist im gegebenen Modell jedoch konstant in vertikaler Richtung:</w:t>
      </w:r>
    </w:p>
    <w:p w14:paraId="2D02691A" w14:textId="77777777" w:rsidR="00002EFB" w:rsidRPr="00B77CF3" w:rsidRDefault="00002EFB" w:rsidP="00002EFB">
      <w:pPr>
        <w:spacing w:after="0" w:line="240" w:lineRule="auto"/>
        <w:rPr>
          <w:rFonts w:ascii="Times New Roman" w:eastAsia="Times New Roman" w:hAnsi="Times New Roman" w:cs="Times New Roman"/>
          <w:sz w:val="24"/>
          <w:szCs w:val="24"/>
          <w:lang w:eastAsia="de-DE"/>
        </w:rPr>
      </w:pPr>
      <w:proofErr w:type="spellStart"/>
      <w:r w:rsidRPr="00B77CF3">
        <w:rPr>
          <w:rFonts w:ascii="Times New Roman" w:eastAsia="Times New Roman" w:hAnsi="Times New Roman" w:cs="Times New Roman"/>
          <w:sz w:val="24"/>
          <w:szCs w:val="24"/>
          <w:lang w:eastAsia="de-DE"/>
        </w:rPr>
        <w:t>ay</w:t>
      </w:r>
      <w:proofErr w:type="spellEnd"/>
      <w:r w:rsidRPr="00B77CF3">
        <w:rPr>
          <w:rFonts w:ascii="Times New Roman" w:eastAsia="Times New Roman" w:hAnsi="Times New Roman" w:cs="Times New Roman"/>
          <w:sz w:val="24"/>
          <w:szCs w:val="24"/>
          <w:lang w:eastAsia="de-DE"/>
        </w:rPr>
        <w:t>(t)=d2ydt2=−</w:t>
      </w:r>
      <w:proofErr w:type="spellStart"/>
      <w:r w:rsidRPr="00B77CF3">
        <w:rPr>
          <w:rFonts w:ascii="Times New Roman" w:eastAsia="Times New Roman" w:hAnsi="Times New Roman" w:cs="Times New Roman"/>
          <w:sz w:val="24"/>
          <w:szCs w:val="24"/>
          <w:lang w:eastAsia="de-DE"/>
        </w:rPr>
        <w:t>ga_y</w:t>
      </w:r>
      <w:proofErr w:type="spellEnd"/>
      <w:r w:rsidRPr="00B77CF3">
        <w:rPr>
          <w:rFonts w:ascii="Times New Roman" w:eastAsia="Times New Roman" w:hAnsi="Times New Roman" w:cs="Times New Roman"/>
          <w:sz w:val="24"/>
          <w:szCs w:val="24"/>
          <w:lang w:eastAsia="de-DE"/>
        </w:rPr>
        <w:t>(t) = \</w:t>
      </w:r>
      <w:proofErr w:type="spellStart"/>
      <w:proofErr w:type="gram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 xml:space="preserve">d^2 y}{dt^2} = -gay​(t)=dt2d2y​=−g </w:t>
      </w:r>
    </w:p>
    <w:p w14:paraId="5086D24D"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lastRenderedPageBreak/>
        <w:t>Diese Dynamik ist nicht vorausgesetzt, sondern Resultat der zuvor getroffenen Raum- und Zeitzuweisungen. In der funktionalen Sicht entsteht Bewegung erst durch diese semantisch aufgeladenen Operationen.</w:t>
      </w:r>
    </w:p>
    <w:p w14:paraId="5F3EB53A" w14:textId="77777777" w:rsidR="00002EFB" w:rsidRPr="00B77CF3" w:rsidRDefault="00002EFB" w:rsidP="00002EF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Pr="00B77CF3">
        <w:rPr>
          <w:rFonts w:ascii="Times New Roman" w:eastAsia="Times New Roman" w:hAnsi="Times New Roman" w:cs="Times New Roman"/>
          <w:b/>
          <w:bCs/>
          <w:sz w:val="24"/>
          <w:szCs w:val="24"/>
          <w:lang w:eastAsia="de-DE"/>
        </w:rPr>
        <w:t>3.4 Energiezuweisung als Sekundärstruktur</w:t>
      </w:r>
    </w:p>
    <w:p w14:paraId="03BB696F"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letzten Schritt wird dem dynamischen Modell eine energetische Interpretation überlagert. Auch hier erfolgt die Bedeutungserzeugung nicht durch Beobachtung, sondern durch weitere Zuweisung:</w:t>
      </w:r>
    </w:p>
    <w:p w14:paraId="47C8885D" w14:textId="77777777" w:rsidR="00002EFB" w:rsidRPr="00B77CF3" w:rsidRDefault="00002EFB" w:rsidP="00002EFB">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Ekin(t)=12mv(t)2E_{\</w:t>
      </w:r>
      <w:proofErr w:type="spellStart"/>
      <w:r w:rsidRPr="00B77CF3">
        <w:rPr>
          <w:rFonts w:ascii="Times New Roman" w:eastAsia="Times New Roman" w:hAnsi="Times New Roman" w:cs="Times New Roman"/>
          <w:sz w:val="24"/>
          <w:szCs w:val="24"/>
          <w:lang w:eastAsia="de-DE"/>
        </w:rPr>
        <w:t>text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kin</w:t>
      </w:r>
      <w:proofErr w:type="spellEnd"/>
      <w:proofErr w:type="gramStart"/>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 xml:space="preserve">{1}{2} m v(t)^2Ekin​(t)=21​mv(t)2 </w:t>
      </w:r>
      <w:proofErr w:type="spellStart"/>
      <w:r w:rsidRPr="00B77CF3">
        <w:rPr>
          <w:rFonts w:ascii="Times New Roman" w:eastAsia="Times New Roman" w:hAnsi="Times New Roman" w:cs="Times New Roman"/>
          <w:sz w:val="24"/>
          <w:szCs w:val="24"/>
          <w:lang w:eastAsia="de-DE"/>
        </w:rPr>
        <w:t>Epot</w:t>
      </w:r>
      <w:proofErr w:type="spellEnd"/>
      <w:r w:rsidRPr="00B77CF3">
        <w:rPr>
          <w:rFonts w:ascii="Times New Roman" w:eastAsia="Times New Roman" w:hAnsi="Times New Roman" w:cs="Times New Roman"/>
          <w:sz w:val="24"/>
          <w:szCs w:val="24"/>
          <w:lang w:eastAsia="de-DE"/>
        </w:rPr>
        <w:t>(t)=</w:t>
      </w:r>
      <w:proofErr w:type="spellStart"/>
      <w:r w:rsidRPr="00B77CF3">
        <w:rPr>
          <w:rFonts w:ascii="Times New Roman" w:eastAsia="Times New Roman" w:hAnsi="Times New Roman" w:cs="Times New Roman"/>
          <w:sz w:val="24"/>
          <w:szCs w:val="24"/>
          <w:lang w:eastAsia="de-DE"/>
        </w:rPr>
        <w:t>mgy</w:t>
      </w:r>
      <w:proofErr w:type="spellEnd"/>
      <w:r w:rsidRPr="00B77CF3">
        <w:rPr>
          <w:rFonts w:ascii="Times New Roman" w:eastAsia="Times New Roman" w:hAnsi="Times New Roman" w:cs="Times New Roman"/>
          <w:sz w:val="24"/>
          <w:szCs w:val="24"/>
          <w:lang w:eastAsia="de-DE"/>
        </w:rPr>
        <w:t>(t)E_{\</w:t>
      </w:r>
      <w:proofErr w:type="spellStart"/>
      <w:r w:rsidRPr="00B77CF3">
        <w:rPr>
          <w:rFonts w:ascii="Times New Roman" w:eastAsia="Times New Roman" w:hAnsi="Times New Roman" w:cs="Times New Roman"/>
          <w:sz w:val="24"/>
          <w:szCs w:val="24"/>
          <w:lang w:eastAsia="de-DE"/>
        </w:rPr>
        <w:t>text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pot</w:t>
      </w:r>
      <w:proofErr w:type="spellEnd"/>
      <w:r w:rsidRPr="00B77CF3">
        <w:rPr>
          <w:rFonts w:ascii="Times New Roman" w:eastAsia="Times New Roman" w:hAnsi="Times New Roman" w:cs="Times New Roman"/>
          <w:sz w:val="24"/>
          <w:szCs w:val="24"/>
          <w:lang w:eastAsia="de-DE"/>
        </w:rPr>
        <w:t>}}(t) = m g y(t)</w:t>
      </w:r>
      <w:proofErr w:type="spellStart"/>
      <w:r w:rsidRPr="00B77CF3">
        <w:rPr>
          <w:rFonts w:ascii="Times New Roman" w:eastAsia="Times New Roman" w:hAnsi="Times New Roman" w:cs="Times New Roman"/>
          <w:sz w:val="24"/>
          <w:szCs w:val="24"/>
          <w:lang w:eastAsia="de-DE"/>
        </w:rPr>
        <w:t>Epot</w:t>
      </w:r>
      <w:proofErr w:type="spellEnd"/>
      <w:r w:rsidRPr="00B77CF3">
        <w:rPr>
          <w:rFonts w:ascii="Times New Roman" w:eastAsia="Times New Roman" w:hAnsi="Times New Roman" w:cs="Times New Roman"/>
          <w:sz w:val="24"/>
          <w:szCs w:val="24"/>
          <w:lang w:eastAsia="de-DE"/>
        </w:rPr>
        <w:t>​(t)=</w:t>
      </w:r>
      <w:proofErr w:type="spellStart"/>
      <w:r w:rsidRPr="00B77CF3">
        <w:rPr>
          <w:rFonts w:ascii="Times New Roman" w:eastAsia="Times New Roman" w:hAnsi="Times New Roman" w:cs="Times New Roman"/>
          <w:sz w:val="24"/>
          <w:szCs w:val="24"/>
          <w:lang w:eastAsia="de-DE"/>
        </w:rPr>
        <w:t>mgy</w:t>
      </w:r>
      <w:proofErr w:type="spellEnd"/>
      <w:r w:rsidRPr="00B77CF3">
        <w:rPr>
          <w:rFonts w:ascii="Times New Roman" w:eastAsia="Times New Roman" w:hAnsi="Times New Roman" w:cs="Times New Roman"/>
          <w:sz w:val="24"/>
          <w:szCs w:val="24"/>
          <w:lang w:eastAsia="de-DE"/>
        </w:rPr>
        <w:t xml:space="preserve">(t) </w:t>
      </w:r>
    </w:p>
    <w:p w14:paraId="732424BC"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Diese sekundären Funktionen erzeugen ein energetisches Feld entlang der Trajektorie, in dem jedem Punkt eine spezifische Energiehöhe zugewiesen wird. Diese Zuweisung lässt sich geometrisch als „</w:t>
      </w:r>
      <w:proofErr w:type="spellStart"/>
      <w:r w:rsidRPr="00B77CF3">
        <w:rPr>
          <w:rFonts w:ascii="Times New Roman" w:eastAsia="Times New Roman" w:hAnsi="Times New Roman" w:cs="Times New Roman"/>
          <w:sz w:val="24"/>
          <w:szCs w:val="24"/>
          <w:lang w:eastAsia="de-DE"/>
        </w:rPr>
        <w:t>Brane</w:t>
      </w:r>
      <w:proofErr w:type="spellEnd"/>
      <w:r w:rsidRPr="00B77CF3">
        <w:rPr>
          <w:rFonts w:ascii="Times New Roman" w:eastAsia="Times New Roman" w:hAnsi="Times New Roman" w:cs="Times New Roman"/>
          <w:sz w:val="24"/>
          <w:szCs w:val="24"/>
          <w:lang w:eastAsia="de-DE"/>
        </w:rPr>
        <w:t xml:space="preserve">“-Struktur interpretieren, wie sie in der Differentialgeometrie zur Beschreibung gekrümmter Felder herangezogen wird. </w:t>
      </w:r>
      <w:proofErr w:type="spellStart"/>
      <w:r w:rsidRPr="00B77CF3">
        <w:rPr>
          <w:rFonts w:ascii="Times New Roman" w:eastAsia="Times New Roman" w:hAnsi="Times New Roman" w:cs="Times New Roman"/>
          <w:sz w:val="24"/>
          <w:szCs w:val="24"/>
          <w:lang w:eastAsia="de-DE"/>
        </w:rPr>
        <w:t>Spivak</w:t>
      </w:r>
      <w:proofErr w:type="spellEnd"/>
      <w:r w:rsidRPr="00B77CF3">
        <w:rPr>
          <w:rFonts w:ascii="Times New Roman" w:eastAsia="Times New Roman" w:hAnsi="Times New Roman" w:cs="Times New Roman"/>
          <w:sz w:val="24"/>
          <w:szCs w:val="24"/>
          <w:lang w:eastAsia="de-DE"/>
        </w:rPr>
        <w:t xml:space="preserve"> bemerkt hierzu:</w:t>
      </w:r>
    </w:p>
    <w:p w14:paraId="4CA22F0A" w14:textId="77777777" w:rsidR="00002EFB" w:rsidRPr="00B77CF3" w:rsidRDefault="00002EFB" w:rsidP="00002EFB">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„The </w:t>
      </w:r>
      <w:proofErr w:type="spellStart"/>
      <w:r w:rsidRPr="00B77CF3">
        <w:rPr>
          <w:rFonts w:ascii="Times New Roman" w:eastAsia="Times New Roman" w:hAnsi="Times New Roman" w:cs="Times New Roman"/>
          <w:sz w:val="24"/>
          <w:szCs w:val="24"/>
          <w:lang w:eastAsia="de-DE"/>
        </w:rPr>
        <w:t>curvature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metric</w:t>
      </w:r>
      <w:proofErr w:type="spellEnd"/>
      <w:r w:rsidRPr="00B77CF3">
        <w:rPr>
          <w:rFonts w:ascii="Times New Roman" w:eastAsia="Times New Roman" w:hAnsi="Times New Roman" w:cs="Times New Roman"/>
          <w:sz w:val="24"/>
          <w:szCs w:val="24"/>
          <w:lang w:eastAsia="de-DE"/>
        </w:rPr>
        <w:t xml:space="preserve">, and </w:t>
      </w:r>
      <w:proofErr w:type="spellStart"/>
      <w:r w:rsidRPr="00B77CF3">
        <w:rPr>
          <w:rFonts w:ascii="Times New Roman" w:eastAsia="Times New Roman" w:hAnsi="Times New Roman" w:cs="Times New Roman"/>
          <w:sz w:val="24"/>
          <w:szCs w:val="24"/>
          <w:lang w:eastAsia="de-DE"/>
        </w:rPr>
        <w:t>dynamics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of</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space</w:t>
      </w:r>
      <w:proofErr w:type="spellEnd"/>
      <w:r w:rsidRPr="00B77CF3">
        <w:rPr>
          <w:rFonts w:ascii="Times New Roman" w:eastAsia="Times New Roman" w:hAnsi="Times New Roman" w:cs="Times New Roman"/>
          <w:sz w:val="24"/>
          <w:szCs w:val="24"/>
          <w:lang w:eastAsia="de-DE"/>
        </w:rPr>
        <w:t xml:space="preserve"> all </w:t>
      </w:r>
      <w:proofErr w:type="spellStart"/>
      <w:r w:rsidRPr="00B77CF3">
        <w:rPr>
          <w:rFonts w:ascii="Times New Roman" w:eastAsia="Times New Roman" w:hAnsi="Times New Roman" w:cs="Times New Roman"/>
          <w:sz w:val="24"/>
          <w:szCs w:val="24"/>
          <w:lang w:eastAsia="de-DE"/>
        </w:rPr>
        <w:t>derive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from</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mappings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that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quantities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points</w:t>
      </w:r>
      <w:proofErr w:type="spellEnd"/>
      <w:r w:rsidRPr="00B77CF3">
        <w:rPr>
          <w:rFonts w:ascii="Times New Roman" w:eastAsia="Times New Roman" w:hAnsi="Times New Roman" w:cs="Times New Roman"/>
          <w:sz w:val="24"/>
          <w:szCs w:val="24"/>
          <w:lang w:eastAsia="de-DE"/>
        </w:rPr>
        <w:t xml:space="preserve"> in a </w:t>
      </w:r>
      <w:proofErr w:type="spellStart"/>
      <w:r w:rsidRPr="00B77CF3">
        <w:rPr>
          <w:rFonts w:ascii="Times New Roman" w:eastAsia="Times New Roman" w:hAnsi="Times New Roman" w:cs="Times New Roman"/>
          <w:sz w:val="24"/>
          <w:szCs w:val="24"/>
          <w:lang w:eastAsia="de-DE"/>
        </w:rPr>
        <w:t>manifold</w:t>
      </w:r>
      <w:proofErr w:type="spellEnd"/>
      <w:r w:rsidRPr="00B77CF3">
        <w:rPr>
          <w:rFonts w:ascii="Times New Roman" w:eastAsia="Times New Roman" w:hAnsi="Times New Roman" w:cs="Times New Roman"/>
          <w:sz w:val="24"/>
          <w:szCs w:val="24"/>
          <w:lang w:eastAsia="de-DE"/>
        </w:rPr>
        <w:t>.“ [3, S. 79]</w:t>
      </w:r>
    </w:p>
    <w:p w14:paraId="04F37E75" w14:textId="77777777" w:rsidR="00002EFB" w:rsidRPr="00B77CF3" w:rsidRDefault="00002EFB" w:rsidP="00002EFB">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Pr="00B77CF3">
        <w:rPr>
          <w:rFonts w:ascii="Times New Roman" w:eastAsia="Times New Roman" w:hAnsi="Times New Roman" w:cs="Times New Roman"/>
          <w:b/>
          <w:bCs/>
          <w:sz w:val="24"/>
          <w:szCs w:val="24"/>
          <w:lang w:eastAsia="de-DE"/>
        </w:rPr>
        <w:t>3.5 Zwischenfazit</w:t>
      </w:r>
    </w:p>
    <w:p w14:paraId="0C471098" w14:textId="77777777" w:rsidR="00002EFB" w:rsidRPr="00B77CF3"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Das Beispiel des Raketenflugs zeigt exemplarisch, wie ein vollständiges physikalisches Modell durch iterative Funktionszuweisungen erzeugt werden kann. Beginnend bei einem bedeutungslosen Punkt wird ein komplexes System aufgebaut, das Bewegung, Energie, Raum und Zeit als Ergebnisse strukturierter Modellierungsentscheidungen sichtbar macht.</w:t>
      </w:r>
    </w:p>
    <w:p w14:paraId="1D5452A4" w14:textId="77777777" w:rsidR="00002EFB" w:rsidRDefault="00002EFB" w:rsidP="00002EFB">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 klassische Modellierung erscheint in dieser Perspektive als ein Sonderfall – als eingefrorene Struktur einer spezifischen Zuweisungslogik. Die funktionale Modellierung hingegen legt diesen Prozess offen und macht ihn didaktisch, philosophisch und numerisch transparent.</w:t>
      </w:r>
    </w:p>
    <w:p w14:paraId="687E9E13" w14:textId="77777777" w:rsidR="0026109B" w:rsidRDefault="0026109B"/>
    <w:sectPr w:rsidR="002610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FB"/>
    <w:rsid w:val="00002EFB"/>
    <w:rsid w:val="0026109B"/>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6850"/>
  <w15:chartTrackingRefBased/>
  <w15:docId w15:val="{E992F216-FFB7-42B3-A52F-C13C2B5C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02EFB"/>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3636</Characters>
  <Application>Microsoft Office Word</Application>
  <DocSecurity>0</DocSecurity>
  <Lines>30</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2025-05-28T05:56:00Z</dcterms:created>
  <dcterms:modified xsi:type="dcterms:W3CDTF">2025-05-28T05:57:00Z</dcterms:modified>
</cp:coreProperties>
</file>