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9253B" w14:textId="77777777" w:rsidR="00137CA4" w:rsidRDefault="00137CA4" w:rsidP="00137CA4">
      <w:pPr>
        <w:pStyle w:val="berschrift3"/>
      </w:pPr>
      <w:r>
        <w:t>Kapitel 4 – Methodik: Funktionale Modellierung in erkenntnistheoretisch rückgebundenen Kontexten (FZRK)</w:t>
      </w:r>
    </w:p>
    <w:p w14:paraId="562FE31D" w14:textId="77777777" w:rsidR="00137CA4" w:rsidRPr="00137CA4" w:rsidRDefault="00137CA4" w:rsidP="00137CA4">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137CA4">
        <w:rPr>
          <w:rFonts w:ascii="Arial" w:eastAsia="Times New Roman" w:hAnsi="Arial" w:cs="Arial"/>
          <w:b/>
          <w:bCs/>
          <w:color w:val="18181B"/>
          <w:sz w:val="30"/>
          <w:szCs w:val="30"/>
          <w:lang w:eastAsia="de-DE"/>
        </w:rPr>
        <w:t>4.1 Grundidee: Modellbildung als epistemische Zuweisung im funktionalen Raum (FZRK)</w:t>
      </w:r>
    </w:p>
    <w:p w14:paraId="0628A435" w14:textId="77777777" w:rsidR="00137CA4" w:rsidRPr="00137CA4" w:rsidRDefault="00137CA4" w:rsidP="00137CA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137CA4">
        <w:rPr>
          <w:rFonts w:ascii="Arial" w:eastAsia="Times New Roman" w:hAnsi="Arial" w:cs="Arial"/>
          <w:color w:val="3F3F46"/>
          <w:sz w:val="24"/>
          <w:szCs w:val="24"/>
          <w:lang w:eastAsia="de-DE"/>
        </w:rPr>
        <w:t>Die funktionale Modellierung in erkenntnistheoretisch rückgebundenen Kontexten (FZRK) stellt einen radikalen Ansatz dar, bei dem die Modellbildung als aktiver, strukturkonstituierender Prozess verstanden wird. Anstatt eine vorgegebene Realität abzubilden, liegt der Fokus auf der Erzeugung von Ordnung und Bedeutung aus einem initialen, bedeutungsfreien Zustand durch iterative Funktionszuweisungen. Dieser Ansatz unterscheidet sich grundlegend von traditionellen abbildungstheoretischen Ansätzen, die davon ausgehen, dass Modelle die Realität passiv widerspiegeln [1, 6].</w:t>
      </w:r>
    </w:p>
    <w:p w14:paraId="60304278" w14:textId="77777777" w:rsidR="00137CA4" w:rsidRPr="00137CA4" w:rsidRDefault="00137CA4" w:rsidP="00137CA4">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137CA4">
        <w:rPr>
          <w:rFonts w:ascii="Arial" w:eastAsia="Times New Roman" w:hAnsi="Arial" w:cs="Arial"/>
          <w:b/>
          <w:bCs/>
          <w:color w:val="18181B"/>
          <w:sz w:val="24"/>
          <w:szCs w:val="24"/>
          <w:lang w:eastAsia="de-DE"/>
        </w:rPr>
        <w:t>4.1.1 Von der Abbildung zur Erzeugung</w:t>
      </w:r>
    </w:p>
    <w:p w14:paraId="3672DECB" w14:textId="77777777" w:rsidR="00137CA4" w:rsidRPr="00137CA4" w:rsidRDefault="00137CA4" w:rsidP="00137CA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137CA4">
        <w:rPr>
          <w:rFonts w:ascii="Arial" w:eastAsia="Times New Roman" w:hAnsi="Arial" w:cs="Arial"/>
          <w:color w:val="3F3F46"/>
          <w:sz w:val="24"/>
          <w:szCs w:val="24"/>
          <w:lang w:eastAsia="de-DE"/>
        </w:rPr>
        <w:t>Im Kern des FZRK-Ansatzes steht die Idee, dass Modelle nicht Abbilder einer äußeren Wirklichkeit sind, sondern vielmehr Werkzeuge zur aktiven Konstruktion von Wirklichkeit. Diese Konstruktion erfolgt durch die Zuweisung von Funktionen zu einem ursprünglich strukturlosen Ausgangspunkt. Diese Funktionen können verschiedenster Natur sein – physikalisch, informationell, kognitiv oder semantisch – und unterliegen keinen vorgegebenen ontologischen Beschränkungen. Die resultierenden Ordnungen entstehen durch die iterative Anwendung von Funktionen und bauen aufeinander auf [2, 7].</w:t>
      </w:r>
    </w:p>
    <w:p w14:paraId="6FD9EC7B" w14:textId="77777777" w:rsidR="00137CA4" w:rsidRPr="00137CA4" w:rsidRDefault="00137CA4" w:rsidP="00137CA4">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137CA4">
        <w:rPr>
          <w:rFonts w:ascii="Arial" w:eastAsia="Times New Roman" w:hAnsi="Arial" w:cs="Arial"/>
          <w:color w:val="3F3F46"/>
          <w:sz w:val="24"/>
          <w:szCs w:val="24"/>
          <w:lang w:eastAsia="de-DE"/>
        </w:rPr>
        <w:t>Diese Sichtweise findet Unterstützung in konstruktivistischen Theorien, die betonen, dass Wissen und Realität aktiv vom Beobachter konstruiert werden und nicht passiv empfangen werden [8]. Der FZRK-Ansatz geht jedoch noch einen Schritt weiter, indem er die Modellbildung selbst als einen solchen konstruktiven Akt begreift.</w:t>
      </w:r>
    </w:p>
    <w:p w14:paraId="1652299D" w14:textId="77777777" w:rsidR="00137CA4" w:rsidRPr="00137CA4" w:rsidRDefault="00137CA4" w:rsidP="00137CA4">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137CA4">
        <w:rPr>
          <w:rFonts w:ascii="Arial" w:eastAsia="Times New Roman" w:hAnsi="Arial" w:cs="Arial"/>
          <w:b/>
          <w:bCs/>
          <w:color w:val="18181B"/>
          <w:sz w:val="24"/>
          <w:szCs w:val="24"/>
          <w:lang w:eastAsia="de-DE"/>
        </w:rPr>
        <w:t>4.1.2 Funktionslogik und Initialzuweisung</w:t>
      </w:r>
    </w:p>
    <w:p w14:paraId="69133A7C" w14:textId="77777777" w:rsidR="00137CA4" w:rsidRPr="00137CA4" w:rsidRDefault="00137CA4" w:rsidP="00137CA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137CA4">
        <w:rPr>
          <w:rFonts w:ascii="Arial" w:eastAsia="Times New Roman" w:hAnsi="Arial" w:cs="Arial"/>
          <w:color w:val="3F3F46"/>
          <w:sz w:val="24"/>
          <w:szCs w:val="24"/>
          <w:lang w:eastAsia="de-DE"/>
        </w:rPr>
        <w:t>Der modelltheoretische Prozess im FZRK beginnt mit der Setzung eines unbestimmten Referenzpunkts </w:t>
      </w:r>
      <w:r w:rsidRPr="00137CA4">
        <w:rPr>
          <w:rFonts w:ascii="Fira Code" w:eastAsia="Times New Roman" w:hAnsi="Fira Code" w:cs="Fira Code"/>
          <w:color w:val="18181B"/>
          <w:sz w:val="21"/>
          <w:szCs w:val="21"/>
          <w:bdr w:val="single" w:sz="2" w:space="0" w:color="E4E4E7" w:frame="1"/>
          <w:shd w:val="clear" w:color="auto" w:fill="F4F4F5"/>
          <w:lang w:eastAsia="de-DE"/>
        </w:rPr>
        <w:t>U</w:t>
      </w:r>
      <w:r w:rsidRPr="00137CA4">
        <w:rPr>
          <w:rFonts w:ascii="Arial" w:eastAsia="Times New Roman" w:hAnsi="Arial" w:cs="Arial"/>
          <w:color w:val="3F3F46"/>
          <w:sz w:val="24"/>
          <w:szCs w:val="24"/>
          <w:lang w:eastAsia="de-DE"/>
        </w:rPr>
        <w:t>, der zunächst keine inhärenten Eigenschaften besitzt. Dieser Punkt dient als Ausgangsbasis für die Modellbildung. Erst durch die Zuweisung einer ersten Funktion, wie beispielsweise </w:t>
      </w:r>
      <w:r w:rsidRPr="00137CA4">
        <w:rPr>
          <w:rFonts w:ascii="Fira Code" w:eastAsia="Times New Roman" w:hAnsi="Fira Code" w:cs="Fira Code"/>
          <w:color w:val="18181B"/>
          <w:sz w:val="21"/>
          <w:szCs w:val="21"/>
          <w:bdr w:val="single" w:sz="2" w:space="0" w:color="E4E4E7" w:frame="1"/>
          <w:shd w:val="clear" w:color="auto" w:fill="F4F4F5"/>
          <w:lang w:eastAsia="de-DE"/>
        </w:rPr>
        <w:t>τ(U) = t</w:t>
      </w:r>
      <w:r w:rsidRPr="00137CA4">
        <w:rPr>
          <w:rFonts w:ascii="Arial" w:eastAsia="Times New Roman" w:hAnsi="Arial" w:cs="Arial"/>
          <w:color w:val="3F3F46"/>
          <w:sz w:val="24"/>
          <w:szCs w:val="24"/>
          <w:lang w:eastAsia="de-DE"/>
        </w:rPr>
        <w:t> (interpretiert als temporale oder serielle Ordnung), wird eine Differenz geschaffen, die die Grundlage für die Entstehung weiterer Strukturen bildet. Ordnung wird somit nicht als abgebildete Realität verstanden, sondern als erzeugte Relation. Dieser Ansatz erinnert an systemtheoretische Überlegungen, die betonen, dass Systeme durch die Abgrenzung von ihrer Umwelt entstehen und sich durch interne Relationen konstituieren [9].</w:t>
      </w:r>
    </w:p>
    <w:p w14:paraId="21B787B5" w14:textId="77777777" w:rsidR="00137CA4" w:rsidRPr="00137CA4" w:rsidRDefault="00137CA4" w:rsidP="00137CA4">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137CA4">
        <w:rPr>
          <w:rFonts w:ascii="Arial" w:eastAsia="Times New Roman" w:hAnsi="Arial" w:cs="Arial"/>
          <w:b/>
          <w:bCs/>
          <w:color w:val="18181B"/>
          <w:sz w:val="24"/>
          <w:szCs w:val="24"/>
          <w:lang w:eastAsia="de-DE"/>
        </w:rPr>
        <w:t>4.1.3 Bedeutung durch Relation</w:t>
      </w:r>
    </w:p>
    <w:p w14:paraId="18DDEA5F" w14:textId="77777777" w:rsidR="00137CA4" w:rsidRPr="00137CA4" w:rsidRDefault="00137CA4" w:rsidP="00137CA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137CA4">
        <w:rPr>
          <w:rFonts w:ascii="Arial" w:eastAsia="Times New Roman" w:hAnsi="Arial" w:cs="Arial"/>
          <w:color w:val="3F3F46"/>
          <w:sz w:val="24"/>
          <w:szCs w:val="24"/>
          <w:lang w:eastAsia="de-DE"/>
        </w:rPr>
        <w:t xml:space="preserve">Zentrale Begriffe wie "Zeit", "Raum", "Energie" oder auch "Informationswert", "Kausalstruktur" oder "Systemzustand" werden im FZRK nicht als entdeckte Entitäten betrachtet, sondern als kontextgebundene Funktionswerte. Ihre Bedeutung entsteht erst innerhalb eines spezifischen Zuweisungsschemas. Die Modellwirklichkeit wird somit durch Relationen konstituiert und nicht durch die Eigenschaften isolierter </w:t>
      </w:r>
      <w:r w:rsidRPr="00137CA4">
        <w:rPr>
          <w:rFonts w:ascii="Arial" w:eastAsia="Times New Roman" w:hAnsi="Arial" w:cs="Arial"/>
          <w:color w:val="3F3F46"/>
          <w:sz w:val="24"/>
          <w:szCs w:val="24"/>
          <w:lang w:eastAsia="de-DE"/>
        </w:rPr>
        <w:lastRenderedPageBreak/>
        <w:t>Objekte. Jeder Funktionswert </w:t>
      </w:r>
      <w:r w:rsidRPr="00137CA4">
        <w:rPr>
          <w:rFonts w:ascii="Fira Code" w:eastAsia="Times New Roman" w:hAnsi="Fira Code" w:cs="Fira Code"/>
          <w:color w:val="18181B"/>
          <w:sz w:val="21"/>
          <w:szCs w:val="21"/>
          <w:bdr w:val="single" w:sz="2" w:space="0" w:color="E4E4E7" w:frame="1"/>
          <w:shd w:val="clear" w:color="auto" w:fill="F4F4F5"/>
          <w:lang w:eastAsia="de-DE"/>
        </w:rPr>
        <w:t>f(U)</w:t>
      </w:r>
      <w:r w:rsidRPr="00137CA4">
        <w:rPr>
          <w:rFonts w:ascii="Arial" w:eastAsia="Times New Roman" w:hAnsi="Arial" w:cs="Arial"/>
          <w:color w:val="3F3F46"/>
          <w:sz w:val="24"/>
          <w:szCs w:val="24"/>
          <w:lang w:eastAsia="de-DE"/>
        </w:rPr>
        <w:t> ist demnach keine inhärente Eigenschaft von </w:t>
      </w:r>
      <w:r w:rsidRPr="00137CA4">
        <w:rPr>
          <w:rFonts w:ascii="Fira Code" w:eastAsia="Times New Roman" w:hAnsi="Fira Code" w:cs="Fira Code"/>
          <w:color w:val="18181B"/>
          <w:sz w:val="21"/>
          <w:szCs w:val="21"/>
          <w:bdr w:val="single" w:sz="2" w:space="0" w:color="E4E4E7" w:frame="1"/>
          <w:shd w:val="clear" w:color="auto" w:fill="F4F4F5"/>
          <w:lang w:eastAsia="de-DE"/>
        </w:rPr>
        <w:t>U</w:t>
      </w:r>
      <w:r w:rsidRPr="00137CA4">
        <w:rPr>
          <w:rFonts w:ascii="Arial" w:eastAsia="Times New Roman" w:hAnsi="Arial" w:cs="Arial"/>
          <w:color w:val="3F3F46"/>
          <w:sz w:val="24"/>
          <w:szCs w:val="24"/>
          <w:lang w:eastAsia="de-DE"/>
        </w:rPr>
        <w:t>, sondern das Resultat einer aktiven Kontextualisierung innerhalb eines semantischen oder systemtheoretischen Rahmens [3, 10].</w:t>
      </w:r>
    </w:p>
    <w:p w14:paraId="1474FA28" w14:textId="77777777" w:rsidR="00137CA4" w:rsidRPr="00137CA4" w:rsidRDefault="00137CA4" w:rsidP="00137CA4">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137CA4">
        <w:rPr>
          <w:rFonts w:ascii="Arial" w:eastAsia="Times New Roman" w:hAnsi="Arial" w:cs="Arial"/>
          <w:color w:val="3F3F46"/>
          <w:sz w:val="24"/>
          <w:szCs w:val="24"/>
          <w:lang w:eastAsia="de-DE"/>
        </w:rPr>
        <w:t>Diese relationale Sichtweise steht im Einklang mit modernen physikalischen Theorien, die betonen, dass die Eigenschaften von Objekten nicht absolut sind, sondern von ihrer Beziehung zu anderen Objekten und dem Beobachter abhängen [11].</w:t>
      </w:r>
    </w:p>
    <w:p w14:paraId="66AD9A7C" w14:textId="77777777" w:rsidR="00137CA4" w:rsidRPr="00137CA4" w:rsidRDefault="00137CA4" w:rsidP="00137CA4">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137CA4">
        <w:rPr>
          <w:rFonts w:ascii="Arial" w:eastAsia="Times New Roman" w:hAnsi="Arial" w:cs="Arial"/>
          <w:b/>
          <w:bCs/>
          <w:color w:val="18181B"/>
          <w:sz w:val="24"/>
          <w:szCs w:val="24"/>
          <w:lang w:eastAsia="de-DE"/>
        </w:rPr>
        <w:t>4.1.4 Perspektivwechsel durch funktionale Kognition</w:t>
      </w:r>
    </w:p>
    <w:p w14:paraId="2D0C6B9A" w14:textId="77777777" w:rsidR="00137CA4" w:rsidRPr="00137CA4" w:rsidRDefault="00137CA4" w:rsidP="00137CA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137CA4">
        <w:rPr>
          <w:rFonts w:ascii="Arial" w:eastAsia="Times New Roman" w:hAnsi="Arial" w:cs="Arial"/>
          <w:color w:val="3F3F46"/>
          <w:sz w:val="24"/>
          <w:szCs w:val="24"/>
          <w:lang w:eastAsia="de-DE"/>
        </w:rPr>
        <w:t>Der FZRK-Ansatz erfordert einen paradigmatischen Perspektivwechsel: Statt eine bestehende Welt abzubilden, wird Welt als Produkt der Modellierung verstanden. Dieser Perspektivwechsel entspricht der Auffassung, dass Bedeutung nicht "wo" ist, sondern "wie" sie zugewiesen wird – "meaning is a morphism, not a location" [4]. Dieser Ansatz betont die aktive Rolle des Beobachters bei der Konstruktion von Bedeutung und Wirklichkeit. Er ähnelt auch der enaktiven Kognitionswissenschaft, die betont, dass Kognition nicht als passive Verarbeitung von Informationen, sondern als aktives Handeln und Interagieren mit der Umwelt verstanden werden muss [12].</w:t>
      </w:r>
    </w:p>
    <w:p w14:paraId="5088C3A4" w14:textId="77777777" w:rsidR="00137CA4" w:rsidRPr="00137CA4" w:rsidRDefault="00137CA4" w:rsidP="00137CA4">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137CA4">
        <w:rPr>
          <w:rFonts w:ascii="Arial" w:eastAsia="Times New Roman" w:hAnsi="Arial" w:cs="Arial"/>
          <w:b/>
          <w:bCs/>
          <w:color w:val="18181B"/>
          <w:sz w:val="24"/>
          <w:szCs w:val="24"/>
          <w:lang w:eastAsia="de-DE"/>
        </w:rPr>
        <w:t>4.1.5 Kohärenz statt Korrespondenz</w:t>
      </w:r>
    </w:p>
    <w:p w14:paraId="29C65C79" w14:textId="77777777" w:rsidR="00137CA4" w:rsidRPr="00137CA4" w:rsidRDefault="00137CA4" w:rsidP="00137CA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137CA4">
        <w:rPr>
          <w:rFonts w:ascii="Arial" w:eastAsia="Times New Roman" w:hAnsi="Arial" w:cs="Arial"/>
          <w:color w:val="3F3F46"/>
          <w:sz w:val="24"/>
          <w:szCs w:val="24"/>
          <w:lang w:eastAsia="de-DE"/>
        </w:rPr>
        <w:t>Methodisch eröffnet der FZRK-Ansatz die Möglichkeit, beliebige Ordnungen aus einem bedeutungslosen Ursprung heraus zu konstruieren – von Bewegungsprofilen über logische Strukturen bis hin zu kommunikativen Kontexten. Jede solche Ordnung ist interpretativ an ein bestimmtes Bezugssystem gebunden und erhält ihre Konsistenz ausschließlich durch interne Kohärenz, nicht durch externen Abgleich. Dies bedeutet, dass die Gültigkeit eines Modells nicht durch seine Übereinstimmung mit einer äußeren Realität bestimmt wird, sondern durch seine interne Konsistenz und die Nachvollziehbarkeit der Funktionszuweisungen [5, 13].</w:t>
      </w:r>
    </w:p>
    <w:p w14:paraId="39D64508" w14:textId="77777777" w:rsidR="00137CA4" w:rsidRPr="00137CA4" w:rsidRDefault="00137CA4" w:rsidP="00137CA4">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137CA4">
        <w:rPr>
          <w:rFonts w:ascii="Arial" w:eastAsia="Times New Roman" w:hAnsi="Arial" w:cs="Arial"/>
          <w:b/>
          <w:bCs/>
          <w:color w:val="18181B"/>
          <w:sz w:val="24"/>
          <w:szCs w:val="24"/>
          <w:lang w:eastAsia="de-DE"/>
        </w:rPr>
        <w:t>4.1.6 Erkenntnishandlung statt Abbildtheorie</w:t>
      </w:r>
    </w:p>
    <w:p w14:paraId="6C230AC9" w14:textId="77777777" w:rsidR="00137CA4" w:rsidRPr="00137CA4" w:rsidRDefault="00137CA4" w:rsidP="00137CA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137CA4">
        <w:rPr>
          <w:rFonts w:ascii="Arial" w:eastAsia="Times New Roman" w:hAnsi="Arial" w:cs="Arial"/>
          <w:color w:val="3F3F46"/>
          <w:sz w:val="24"/>
          <w:szCs w:val="24"/>
          <w:lang w:eastAsia="de-DE"/>
        </w:rPr>
        <w:t>Durch den FZRK wird Modellbildung zu einem erkenntniskonstitutiven Prozess, der nicht voraussetzt, sondern erzeugt. Struktur ist nicht vorgefunden, sondern das Produkt gezielter und nachvollziehbarer Funktionszuweisungen. Dies bedeutet, dass die Modellbildung nicht nur ein Werkzeug zur Erkenntnisgewinnung ist, sondern selbst einen Beitrag zur Konstruktion von Wissen und Wirklichkeit leistet. Dieser Ansatz betont die aktive Rolle des Modellierers bei der Gestaltung von Bedeutung und Struktur [14].</w:t>
      </w:r>
    </w:p>
    <w:p w14:paraId="1761BAC8" w14:textId="77777777" w:rsidR="00137CA4" w:rsidRPr="00137CA4" w:rsidRDefault="00137CA4" w:rsidP="00137CA4">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137CA4">
        <w:rPr>
          <w:rFonts w:ascii="Arial" w:eastAsia="Times New Roman" w:hAnsi="Arial" w:cs="Arial"/>
          <w:color w:val="3F3F46"/>
          <w:sz w:val="24"/>
          <w:szCs w:val="24"/>
          <w:lang w:eastAsia="de-DE"/>
        </w:rPr>
        <w:t>Zusammenfassend lässt sich sagen, dass der FZRK-Ansatz einen radikalen Perspektivwechsel in der Modellbildung darstellt. Er betont die aktive Rolle des Modellierers bei der Konstruktion von Bedeutung und Ordnung und stellt die traditionelle abbildungstheoretische Sichtweise in Frage.</w:t>
      </w:r>
    </w:p>
    <w:p w14:paraId="1B474494" w14:textId="77777777" w:rsidR="00137CA4" w:rsidRPr="00137CA4" w:rsidRDefault="00137CA4" w:rsidP="00137CA4">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137CA4">
        <w:rPr>
          <w:rFonts w:ascii="Arial" w:eastAsia="Times New Roman" w:hAnsi="Arial" w:cs="Arial"/>
          <w:b/>
          <w:bCs/>
          <w:color w:val="18181B"/>
          <w:sz w:val="24"/>
          <w:szCs w:val="24"/>
          <w:bdr w:val="single" w:sz="2" w:space="0" w:color="E4E4E7" w:frame="1"/>
          <w:lang w:eastAsia="de-DE"/>
        </w:rPr>
        <w:t>Literaturverzeichnis:</w:t>
      </w:r>
    </w:p>
    <w:p w14:paraId="181EA4E7" w14:textId="77777777" w:rsidR="00137CA4" w:rsidRPr="00137CA4" w:rsidRDefault="00137CA4" w:rsidP="00137CA4">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37CA4">
        <w:rPr>
          <w:rFonts w:ascii="Arial" w:eastAsia="Times New Roman" w:hAnsi="Arial" w:cs="Arial"/>
          <w:color w:val="3F3F46"/>
          <w:sz w:val="24"/>
          <w:szCs w:val="24"/>
          <w:lang w:eastAsia="de-DE"/>
        </w:rPr>
        <w:t>[1] Simon, H. A. (1955). A Behavioral Model of Rational Choice. </w:t>
      </w:r>
      <w:r w:rsidRPr="00137CA4">
        <w:rPr>
          <w:rFonts w:ascii="Arial" w:eastAsia="Times New Roman" w:hAnsi="Arial" w:cs="Arial"/>
          <w:i/>
          <w:iCs/>
          <w:color w:val="3F3F46"/>
          <w:sz w:val="24"/>
          <w:szCs w:val="24"/>
          <w:bdr w:val="single" w:sz="2" w:space="0" w:color="E4E4E7" w:frame="1"/>
          <w:lang w:eastAsia="de-DE"/>
        </w:rPr>
        <w:t>The Quarterly Journal of Economics, 69</w:t>
      </w:r>
      <w:r w:rsidRPr="00137CA4">
        <w:rPr>
          <w:rFonts w:ascii="Arial" w:eastAsia="Times New Roman" w:hAnsi="Arial" w:cs="Arial"/>
          <w:color w:val="3F3F46"/>
          <w:sz w:val="24"/>
          <w:szCs w:val="24"/>
          <w:lang w:eastAsia="de-DE"/>
        </w:rPr>
        <w:t>(1), 99–118.</w:t>
      </w:r>
    </w:p>
    <w:p w14:paraId="6AA9022A" w14:textId="77777777" w:rsidR="00137CA4" w:rsidRPr="00137CA4" w:rsidRDefault="00137CA4" w:rsidP="00137CA4">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37CA4">
        <w:rPr>
          <w:rFonts w:ascii="Arial" w:eastAsia="Times New Roman" w:hAnsi="Arial" w:cs="Arial"/>
          <w:color w:val="3F3F46"/>
          <w:sz w:val="24"/>
          <w:szCs w:val="24"/>
          <w:lang w:eastAsia="de-DE"/>
        </w:rPr>
        <w:lastRenderedPageBreak/>
        <w:t>[2] Krantz, D. H., Luce, R. D., Suppes, P., &amp; Tversky, A. (1971). </w:t>
      </w:r>
      <w:r w:rsidRPr="00137CA4">
        <w:rPr>
          <w:rFonts w:ascii="Arial" w:eastAsia="Times New Roman" w:hAnsi="Arial" w:cs="Arial"/>
          <w:i/>
          <w:iCs/>
          <w:color w:val="3F3F46"/>
          <w:sz w:val="24"/>
          <w:szCs w:val="24"/>
          <w:bdr w:val="single" w:sz="2" w:space="0" w:color="E4E4E7" w:frame="1"/>
          <w:lang w:eastAsia="de-DE"/>
        </w:rPr>
        <w:t>Foundations of Measurement</w:t>
      </w:r>
      <w:r w:rsidRPr="00137CA4">
        <w:rPr>
          <w:rFonts w:ascii="Arial" w:eastAsia="Times New Roman" w:hAnsi="Arial" w:cs="Arial"/>
          <w:color w:val="3F3F46"/>
          <w:sz w:val="24"/>
          <w:szCs w:val="24"/>
          <w:lang w:eastAsia="de-DE"/>
        </w:rPr>
        <w:t>. Academic Press.</w:t>
      </w:r>
    </w:p>
    <w:p w14:paraId="70C4F3B3" w14:textId="77777777" w:rsidR="00137CA4" w:rsidRPr="00137CA4" w:rsidRDefault="00137CA4" w:rsidP="00137CA4">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37CA4">
        <w:rPr>
          <w:rFonts w:ascii="Arial" w:eastAsia="Times New Roman" w:hAnsi="Arial" w:cs="Arial"/>
          <w:color w:val="3F3F46"/>
          <w:sz w:val="24"/>
          <w:szCs w:val="24"/>
          <w:lang w:eastAsia="de-DE"/>
        </w:rPr>
        <w:t>[3] Weyl, H. (1949). </w:t>
      </w:r>
      <w:r w:rsidRPr="00137CA4">
        <w:rPr>
          <w:rFonts w:ascii="Arial" w:eastAsia="Times New Roman" w:hAnsi="Arial" w:cs="Arial"/>
          <w:i/>
          <w:iCs/>
          <w:color w:val="3F3F46"/>
          <w:sz w:val="24"/>
          <w:szCs w:val="24"/>
          <w:bdr w:val="single" w:sz="2" w:space="0" w:color="E4E4E7" w:frame="1"/>
          <w:lang w:eastAsia="de-DE"/>
        </w:rPr>
        <w:t>Philosophy of Mathematics and Natural Science</w:t>
      </w:r>
      <w:r w:rsidRPr="00137CA4">
        <w:rPr>
          <w:rFonts w:ascii="Arial" w:eastAsia="Times New Roman" w:hAnsi="Arial" w:cs="Arial"/>
          <w:color w:val="3F3F46"/>
          <w:sz w:val="24"/>
          <w:szCs w:val="24"/>
          <w:lang w:eastAsia="de-DE"/>
        </w:rPr>
        <w:t>. Princeton University Press.</w:t>
      </w:r>
    </w:p>
    <w:p w14:paraId="4EC61030" w14:textId="77777777" w:rsidR="00137CA4" w:rsidRPr="00137CA4" w:rsidRDefault="00137CA4" w:rsidP="00137CA4">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37CA4">
        <w:rPr>
          <w:rFonts w:ascii="Arial" w:eastAsia="Times New Roman" w:hAnsi="Arial" w:cs="Arial"/>
          <w:color w:val="3F3F46"/>
          <w:sz w:val="24"/>
          <w:szCs w:val="24"/>
          <w:lang w:eastAsia="de-DE"/>
        </w:rPr>
        <w:t>[4] Baez, J., &amp; Stay, M. (2011). Physics, Topology, Logic and Computation: A Rosetta Stone. In: B. Coecke (Hrsg.), </w:t>
      </w:r>
      <w:r w:rsidRPr="00137CA4">
        <w:rPr>
          <w:rFonts w:ascii="Arial" w:eastAsia="Times New Roman" w:hAnsi="Arial" w:cs="Arial"/>
          <w:i/>
          <w:iCs/>
          <w:color w:val="3F3F46"/>
          <w:sz w:val="24"/>
          <w:szCs w:val="24"/>
          <w:bdr w:val="single" w:sz="2" w:space="0" w:color="E4E4E7" w:frame="1"/>
          <w:lang w:eastAsia="de-DE"/>
        </w:rPr>
        <w:t>New Structures for Physics</w:t>
      </w:r>
      <w:r w:rsidRPr="00137CA4">
        <w:rPr>
          <w:rFonts w:ascii="Arial" w:eastAsia="Times New Roman" w:hAnsi="Arial" w:cs="Arial"/>
          <w:color w:val="3F3F46"/>
          <w:sz w:val="24"/>
          <w:szCs w:val="24"/>
          <w:lang w:eastAsia="de-DE"/>
        </w:rPr>
        <w:t>. Springer.</w:t>
      </w:r>
    </w:p>
    <w:p w14:paraId="1F67EC83" w14:textId="77777777" w:rsidR="00137CA4" w:rsidRPr="00137CA4" w:rsidRDefault="00137CA4" w:rsidP="00137CA4">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37CA4">
        <w:rPr>
          <w:rFonts w:ascii="Arial" w:eastAsia="Times New Roman" w:hAnsi="Arial" w:cs="Arial"/>
          <w:color w:val="3F3F46"/>
          <w:sz w:val="24"/>
          <w:szCs w:val="24"/>
          <w:lang w:eastAsia="de-DE"/>
        </w:rPr>
        <w:t>[5] Giere, R. N. (2006). </w:t>
      </w:r>
      <w:r w:rsidRPr="00137CA4">
        <w:rPr>
          <w:rFonts w:ascii="Arial" w:eastAsia="Times New Roman" w:hAnsi="Arial" w:cs="Arial"/>
          <w:i/>
          <w:iCs/>
          <w:color w:val="3F3F46"/>
          <w:sz w:val="24"/>
          <w:szCs w:val="24"/>
          <w:bdr w:val="single" w:sz="2" w:space="0" w:color="E4E4E7" w:frame="1"/>
          <w:lang w:eastAsia="de-DE"/>
        </w:rPr>
        <w:t>Scientific Perspectivism</w:t>
      </w:r>
      <w:r w:rsidRPr="00137CA4">
        <w:rPr>
          <w:rFonts w:ascii="Arial" w:eastAsia="Times New Roman" w:hAnsi="Arial" w:cs="Arial"/>
          <w:color w:val="3F3F46"/>
          <w:sz w:val="24"/>
          <w:szCs w:val="24"/>
          <w:lang w:eastAsia="de-DE"/>
        </w:rPr>
        <w:t>. University of Chicago Press.</w:t>
      </w:r>
    </w:p>
    <w:p w14:paraId="70E926B8" w14:textId="77777777" w:rsidR="00137CA4" w:rsidRPr="00137CA4" w:rsidRDefault="00137CA4" w:rsidP="00137CA4">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37CA4">
        <w:rPr>
          <w:rFonts w:ascii="Arial" w:eastAsia="Times New Roman" w:hAnsi="Arial" w:cs="Arial"/>
          <w:color w:val="3F3F46"/>
          <w:sz w:val="24"/>
          <w:szCs w:val="24"/>
          <w:lang w:eastAsia="de-DE"/>
        </w:rPr>
        <w:t>[6] Frigg, R., &amp; Hartmann, S. (2012). Models in Science. </w:t>
      </w:r>
      <w:r w:rsidRPr="00137CA4">
        <w:rPr>
          <w:rFonts w:ascii="Arial" w:eastAsia="Times New Roman" w:hAnsi="Arial" w:cs="Arial"/>
          <w:i/>
          <w:iCs/>
          <w:color w:val="3F3F46"/>
          <w:sz w:val="24"/>
          <w:szCs w:val="24"/>
          <w:bdr w:val="single" w:sz="2" w:space="0" w:color="E4E4E7" w:frame="1"/>
          <w:lang w:eastAsia="de-DE"/>
        </w:rPr>
        <w:t>Stanford Encyclopedia of Philosophy</w:t>
      </w:r>
      <w:r w:rsidRPr="00137CA4">
        <w:rPr>
          <w:rFonts w:ascii="Arial" w:eastAsia="Times New Roman" w:hAnsi="Arial" w:cs="Arial"/>
          <w:color w:val="3F3F46"/>
          <w:sz w:val="24"/>
          <w:szCs w:val="24"/>
          <w:lang w:eastAsia="de-DE"/>
        </w:rPr>
        <w:t>.</w:t>
      </w:r>
    </w:p>
    <w:p w14:paraId="3B7F4579" w14:textId="77777777" w:rsidR="00137CA4" w:rsidRPr="00137CA4" w:rsidRDefault="00137CA4" w:rsidP="00137CA4">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37CA4">
        <w:rPr>
          <w:rFonts w:ascii="Arial" w:eastAsia="Times New Roman" w:hAnsi="Arial" w:cs="Arial"/>
          <w:color w:val="3F3F46"/>
          <w:sz w:val="24"/>
          <w:szCs w:val="24"/>
          <w:lang w:eastAsia="de-DE"/>
        </w:rPr>
        <w:t>[7] Rosen, R. (1991). </w:t>
      </w:r>
      <w:r w:rsidRPr="00137CA4">
        <w:rPr>
          <w:rFonts w:ascii="Arial" w:eastAsia="Times New Roman" w:hAnsi="Arial" w:cs="Arial"/>
          <w:i/>
          <w:iCs/>
          <w:color w:val="3F3F46"/>
          <w:sz w:val="24"/>
          <w:szCs w:val="24"/>
          <w:bdr w:val="single" w:sz="2" w:space="0" w:color="E4E4E7" w:frame="1"/>
          <w:lang w:eastAsia="de-DE"/>
        </w:rPr>
        <w:t>Life Itself: A Comprehensive Inquiry Into the Nature, Origin, and Fabrication of Life</w:t>
      </w:r>
      <w:r w:rsidRPr="00137CA4">
        <w:rPr>
          <w:rFonts w:ascii="Arial" w:eastAsia="Times New Roman" w:hAnsi="Arial" w:cs="Arial"/>
          <w:color w:val="3F3F46"/>
          <w:sz w:val="24"/>
          <w:szCs w:val="24"/>
          <w:lang w:eastAsia="de-DE"/>
        </w:rPr>
        <w:t>. Columbia University Press.</w:t>
      </w:r>
    </w:p>
    <w:p w14:paraId="1C990AB3" w14:textId="77777777" w:rsidR="00137CA4" w:rsidRPr="00137CA4" w:rsidRDefault="00137CA4" w:rsidP="00137CA4">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37CA4">
        <w:rPr>
          <w:rFonts w:ascii="Arial" w:eastAsia="Times New Roman" w:hAnsi="Arial" w:cs="Arial"/>
          <w:color w:val="3F3F46"/>
          <w:sz w:val="24"/>
          <w:szCs w:val="24"/>
          <w:lang w:eastAsia="de-DE"/>
        </w:rPr>
        <w:t>[8] von Glasersfeld, E. (1995). </w:t>
      </w:r>
      <w:r w:rsidRPr="00137CA4">
        <w:rPr>
          <w:rFonts w:ascii="Arial" w:eastAsia="Times New Roman" w:hAnsi="Arial" w:cs="Arial"/>
          <w:i/>
          <w:iCs/>
          <w:color w:val="3F3F46"/>
          <w:sz w:val="24"/>
          <w:szCs w:val="24"/>
          <w:bdr w:val="single" w:sz="2" w:space="0" w:color="E4E4E7" w:frame="1"/>
          <w:lang w:eastAsia="de-DE"/>
        </w:rPr>
        <w:t>Radical Constructivism: A Way of Knowing and Learning</w:t>
      </w:r>
      <w:r w:rsidRPr="00137CA4">
        <w:rPr>
          <w:rFonts w:ascii="Arial" w:eastAsia="Times New Roman" w:hAnsi="Arial" w:cs="Arial"/>
          <w:color w:val="3F3F46"/>
          <w:sz w:val="24"/>
          <w:szCs w:val="24"/>
          <w:lang w:eastAsia="de-DE"/>
        </w:rPr>
        <w:t>. Falmer Press.</w:t>
      </w:r>
    </w:p>
    <w:p w14:paraId="363C4367" w14:textId="77777777" w:rsidR="00137CA4" w:rsidRPr="00137CA4" w:rsidRDefault="00137CA4" w:rsidP="00137CA4">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37CA4">
        <w:rPr>
          <w:rFonts w:ascii="Arial" w:eastAsia="Times New Roman" w:hAnsi="Arial" w:cs="Arial"/>
          <w:color w:val="3F3F46"/>
          <w:sz w:val="24"/>
          <w:szCs w:val="24"/>
          <w:lang w:eastAsia="de-DE"/>
        </w:rPr>
        <w:t>[9] Luhmann, N. (1995). </w:t>
      </w:r>
      <w:r w:rsidRPr="00137CA4">
        <w:rPr>
          <w:rFonts w:ascii="Arial" w:eastAsia="Times New Roman" w:hAnsi="Arial" w:cs="Arial"/>
          <w:i/>
          <w:iCs/>
          <w:color w:val="3F3F46"/>
          <w:sz w:val="24"/>
          <w:szCs w:val="24"/>
          <w:bdr w:val="single" w:sz="2" w:space="0" w:color="E4E4E7" w:frame="1"/>
          <w:lang w:eastAsia="de-DE"/>
        </w:rPr>
        <w:t>Social Systems</w:t>
      </w:r>
      <w:r w:rsidRPr="00137CA4">
        <w:rPr>
          <w:rFonts w:ascii="Arial" w:eastAsia="Times New Roman" w:hAnsi="Arial" w:cs="Arial"/>
          <w:color w:val="3F3F46"/>
          <w:sz w:val="24"/>
          <w:szCs w:val="24"/>
          <w:lang w:eastAsia="de-DE"/>
        </w:rPr>
        <w:t>. Stanford University Press.</w:t>
      </w:r>
    </w:p>
    <w:p w14:paraId="40F2A01B" w14:textId="77777777" w:rsidR="00137CA4" w:rsidRPr="00137CA4" w:rsidRDefault="00137CA4" w:rsidP="00137CA4">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37CA4">
        <w:rPr>
          <w:rFonts w:ascii="Arial" w:eastAsia="Times New Roman" w:hAnsi="Arial" w:cs="Arial"/>
          <w:color w:val="3F3F46"/>
          <w:sz w:val="24"/>
          <w:szCs w:val="24"/>
          <w:lang w:eastAsia="de-DE"/>
        </w:rPr>
        <w:t>[10] Cassirer, E. (1923). </w:t>
      </w:r>
      <w:r w:rsidRPr="00137CA4">
        <w:rPr>
          <w:rFonts w:ascii="Arial" w:eastAsia="Times New Roman" w:hAnsi="Arial" w:cs="Arial"/>
          <w:i/>
          <w:iCs/>
          <w:color w:val="3F3F46"/>
          <w:sz w:val="24"/>
          <w:szCs w:val="24"/>
          <w:bdr w:val="single" w:sz="2" w:space="0" w:color="E4E4E7" w:frame="1"/>
          <w:lang w:eastAsia="de-DE"/>
        </w:rPr>
        <w:t>Substance and Function</w:t>
      </w:r>
      <w:r w:rsidRPr="00137CA4">
        <w:rPr>
          <w:rFonts w:ascii="Arial" w:eastAsia="Times New Roman" w:hAnsi="Arial" w:cs="Arial"/>
          <w:color w:val="3F3F46"/>
          <w:sz w:val="24"/>
          <w:szCs w:val="24"/>
          <w:lang w:eastAsia="de-DE"/>
        </w:rPr>
        <w:t>. Open Court Publishing.</w:t>
      </w:r>
    </w:p>
    <w:p w14:paraId="36F515E8" w14:textId="77777777" w:rsidR="00137CA4" w:rsidRPr="00137CA4" w:rsidRDefault="00137CA4" w:rsidP="00137CA4">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37CA4">
        <w:rPr>
          <w:rFonts w:ascii="Arial" w:eastAsia="Times New Roman" w:hAnsi="Arial" w:cs="Arial"/>
          <w:color w:val="3F3F46"/>
          <w:sz w:val="24"/>
          <w:szCs w:val="24"/>
          <w:lang w:eastAsia="de-DE"/>
        </w:rPr>
        <w:t>[11] Rovelli, C. (2014). Reality Is Not What It Seems: The Journey to Quantum Gravity. Riverhead Books.</w:t>
      </w:r>
    </w:p>
    <w:p w14:paraId="735646E9" w14:textId="77777777" w:rsidR="00137CA4" w:rsidRPr="00137CA4" w:rsidRDefault="00137CA4" w:rsidP="00137CA4">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37CA4">
        <w:rPr>
          <w:rFonts w:ascii="Arial" w:eastAsia="Times New Roman" w:hAnsi="Arial" w:cs="Arial"/>
          <w:color w:val="3F3F46"/>
          <w:sz w:val="24"/>
          <w:szCs w:val="24"/>
          <w:lang w:eastAsia="de-DE"/>
        </w:rPr>
        <w:t>[12] Thompson, E. (2007). </w:t>
      </w:r>
      <w:r w:rsidRPr="00137CA4">
        <w:rPr>
          <w:rFonts w:ascii="Arial" w:eastAsia="Times New Roman" w:hAnsi="Arial" w:cs="Arial"/>
          <w:i/>
          <w:iCs/>
          <w:color w:val="3F3F46"/>
          <w:sz w:val="24"/>
          <w:szCs w:val="24"/>
          <w:bdr w:val="single" w:sz="2" w:space="0" w:color="E4E4E7" w:frame="1"/>
          <w:lang w:eastAsia="de-DE"/>
        </w:rPr>
        <w:t>Mind in Life: Biology, Phenomenology, and the Sciences of Mind</w:t>
      </w:r>
      <w:r w:rsidRPr="00137CA4">
        <w:rPr>
          <w:rFonts w:ascii="Arial" w:eastAsia="Times New Roman" w:hAnsi="Arial" w:cs="Arial"/>
          <w:color w:val="3F3F46"/>
          <w:sz w:val="24"/>
          <w:szCs w:val="24"/>
          <w:lang w:eastAsia="de-DE"/>
        </w:rPr>
        <w:t>. Harvard University Press.</w:t>
      </w:r>
    </w:p>
    <w:p w14:paraId="4FEB4C7C" w14:textId="77777777" w:rsidR="00137CA4" w:rsidRPr="00137CA4" w:rsidRDefault="00137CA4" w:rsidP="00137CA4">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37CA4">
        <w:rPr>
          <w:rFonts w:ascii="Arial" w:eastAsia="Times New Roman" w:hAnsi="Arial" w:cs="Arial"/>
          <w:color w:val="3F3F46"/>
          <w:sz w:val="24"/>
          <w:szCs w:val="24"/>
          <w:lang w:eastAsia="de-DE"/>
        </w:rPr>
        <w:t>[13] Morrison, M. (2015). </w:t>
      </w:r>
      <w:r w:rsidRPr="00137CA4">
        <w:rPr>
          <w:rFonts w:ascii="Arial" w:eastAsia="Times New Roman" w:hAnsi="Arial" w:cs="Arial"/>
          <w:i/>
          <w:iCs/>
          <w:color w:val="3F3F46"/>
          <w:sz w:val="24"/>
          <w:szCs w:val="24"/>
          <w:bdr w:val="single" w:sz="2" w:space="0" w:color="E4E4E7" w:frame="1"/>
          <w:lang w:eastAsia="de-DE"/>
        </w:rPr>
        <w:t>Reconstructing Reality: Models, Mathematics, and Simulation</w:t>
      </w:r>
      <w:r w:rsidRPr="00137CA4">
        <w:rPr>
          <w:rFonts w:ascii="Arial" w:eastAsia="Times New Roman" w:hAnsi="Arial" w:cs="Arial"/>
          <w:color w:val="3F3F46"/>
          <w:sz w:val="24"/>
          <w:szCs w:val="24"/>
          <w:lang w:eastAsia="de-DE"/>
        </w:rPr>
        <w:t>. Oxford University Press.</w:t>
      </w:r>
    </w:p>
    <w:p w14:paraId="10E203FF" w14:textId="77777777" w:rsidR="00137CA4" w:rsidRPr="00137CA4" w:rsidRDefault="00137CA4" w:rsidP="00137CA4">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37CA4">
        <w:rPr>
          <w:rFonts w:ascii="Arial" w:eastAsia="Times New Roman" w:hAnsi="Arial" w:cs="Arial"/>
          <w:color w:val="3F3F46"/>
          <w:sz w:val="24"/>
          <w:szCs w:val="24"/>
          <w:lang w:eastAsia="de-DE"/>
        </w:rPr>
        <w:t>[14] Pickering, A. (1995). </w:t>
      </w:r>
      <w:r w:rsidRPr="00137CA4">
        <w:rPr>
          <w:rFonts w:ascii="Arial" w:eastAsia="Times New Roman" w:hAnsi="Arial" w:cs="Arial"/>
          <w:i/>
          <w:iCs/>
          <w:color w:val="3F3F46"/>
          <w:sz w:val="24"/>
          <w:szCs w:val="24"/>
          <w:bdr w:val="single" w:sz="2" w:space="0" w:color="E4E4E7" w:frame="1"/>
          <w:lang w:eastAsia="de-DE"/>
        </w:rPr>
        <w:t>The Mangle of Practice: Time, Agency, and Science</w:t>
      </w:r>
      <w:r w:rsidRPr="00137CA4">
        <w:rPr>
          <w:rFonts w:ascii="Arial" w:eastAsia="Times New Roman" w:hAnsi="Arial" w:cs="Arial"/>
          <w:color w:val="3F3F46"/>
          <w:sz w:val="24"/>
          <w:szCs w:val="24"/>
          <w:lang w:eastAsia="de-DE"/>
        </w:rPr>
        <w:t>. University of Chicago Press.</w:t>
      </w:r>
    </w:p>
    <w:p w14:paraId="3D1620E8" w14:textId="77777777" w:rsidR="00C954C1" w:rsidRPr="00C954C1" w:rsidRDefault="00C954C1" w:rsidP="00C954C1">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C954C1">
        <w:rPr>
          <w:rFonts w:ascii="Arial" w:eastAsia="Times New Roman" w:hAnsi="Arial" w:cs="Arial"/>
          <w:b/>
          <w:bCs/>
          <w:color w:val="18181B"/>
          <w:sz w:val="30"/>
          <w:szCs w:val="30"/>
          <w:lang w:eastAsia="de-DE"/>
        </w:rPr>
        <w:t>4.2 Epistemologischer Rahmen: Modellbildung als relationale Bedeutungsarchitektur</w:t>
      </w:r>
    </w:p>
    <w:p w14:paraId="14F93E6C" w14:textId="77777777" w:rsidR="00C954C1" w:rsidRPr="00C954C1" w:rsidRDefault="00C954C1" w:rsidP="00C954C1">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C954C1">
        <w:rPr>
          <w:rFonts w:ascii="Arial" w:eastAsia="Times New Roman" w:hAnsi="Arial" w:cs="Arial"/>
          <w:color w:val="3F3F46"/>
          <w:sz w:val="24"/>
          <w:szCs w:val="24"/>
          <w:lang w:eastAsia="de-DE"/>
        </w:rPr>
        <w:t>Im Zentrum des FZRK steht die Modellbildung als relationale Bedeutungsarchitektur. Dies bedeutet, dass Wissen und Bedeutung nicht als Abbildungen einer vorgegebenen Realität verstanden werden, sondern als Ergebnisse strukturierter Zuweisungsprozesse [1]. Dieser Ansatz impliziert einen grundlegenden erkenntnistheoretischen Perspektivwechsel, der weitreichende Konsequenzen für die Art und Weise hat, wie wir Modelle konstruieren und bewerten.</w:t>
      </w:r>
    </w:p>
    <w:p w14:paraId="38DC7C6B" w14:textId="77777777" w:rsidR="00C954C1" w:rsidRPr="00C954C1" w:rsidRDefault="00C954C1" w:rsidP="00C954C1">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C954C1">
        <w:rPr>
          <w:rFonts w:ascii="Arial" w:eastAsia="Times New Roman" w:hAnsi="Arial" w:cs="Arial"/>
          <w:b/>
          <w:bCs/>
          <w:color w:val="18181B"/>
          <w:sz w:val="24"/>
          <w:szCs w:val="24"/>
          <w:lang w:eastAsia="de-DE"/>
        </w:rPr>
        <w:t>4.2.1 Grundlagen des erkenntnistheoretischen Perspektivwechsels</w:t>
      </w:r>
    </w:p>
    <w:p w14:paraId="7D9DDDC6" w14:textId="77777777" w:rsidR="00C954C1" w:rsidRPr="00C954C1" w:rsidRDefault="00C954C1" w:rsidP="00C954C1">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C954C1">
        <w:rPr>
          <w:rFonts w:ascii="Arial" w:eastAsia="Times New Roman" w:hAnsi="Arial" w:cs="Arial"/>
          <w:color w:val="3F3F46"/>
          <w:sz w:val="24"/>
          <w:szCs w:val="24"/>
          <w:lang w:eastAsia="de-DE"/>
        </w:rPr>
        <w:t>Der FZRK basiert auf einem erkenntnistheoretischen Paradigma, in dem Wissen nicht als Repräsentation einer vorgegebenen Welt aufgefasst wird, sondern als Ergebnis strukturierter Zuweisungsvorgänge. Anstelle eines ontologischen Realismus, der Phänomene als unabhängig existierende Entitäten betrachtet, steht im Zentrum des FZRK ein konstruktiver Prozess: Bedeutung entsteht nicht durch Abbildung, sondern durch Zuweisung – nicht durch Entdeckung, sondern durch Strukturierung [7]. Dieser konstruktivistische Ansatz betont die aktive Rolle des Beobachters bei der Konstitution von Wissen und Wirklichkeit.</w:t>
      </w:r>
    </w:p>
    <w:p w14:paraId="2C51EB05" w14:textId="77777777" w:rsidR="00C954C1" w:rsidRPr="00C954C1" w:rsidRDefault="00C954C1" w:rsidP="00C954C1">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C954C1">
        <w:rPr>
          <w:rFonts w:ascii="Arial" w:eastAsia="Times New Roman" w:hAnsi="Arial" w:cs="Arial"/>
          <w:b/>
          <w:bCs/>
          <w:color w:val="18181B"/>
          <w:sz w:val="24"/>
          <w:szCs w:val="24"/>
          <w:lang w:eastAsia="de-DE"/>
        </w:rPr>
        <w:lastRenderedPageBreak/>
        <w:t>4.2.2 Begriffliche Bestimmungen: Relation statt Entität</w:t>
      </w:r>
    </w:p>
    <w:p w14:paraId="5DB1DC7B" w14:textId="77777777" w:rsidR="00C954C1" w:rsidRPr="00C954C1" w:rsidRDefault="00C954C1" w:rsidP="00C954C1">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C954C1">
        <w:rPr>
          <w:rFonts w:ascii="Arial" w:eastAsia="Times New Roman" w:hAnsi="Arial" w:cs="Arial"/>
          <w:color w:val="3F3F46"/>
          <w:sz w:val="24"/>
          <w:szCs w:val="24"/>
          <w:lang w:eastAsia="de-DE"/>
        </w:rPr>
        <w:t>In dieser Perspektive sind alle modellrelevanten Größen – seien es Zeit, Raum, Energie, Informationsgehalt oder auch soziale Kategorien wie Rollen oder Funktionen – nicht "gegeben", sondern erzeugt. Jeder Wert </w:t>
      </w:r>
      <w:r w:rsidRPr="00C954C1">
        <w:rPr>
          <w:rFonts w:ascii="Fira Code" w:eastAsia="Times New Roman" w:hAnsi="Fira Code" w:cs="Fira Code"/>
          <w:color w:val="18181B"/>
          <w:sz w:val="21"/>
          <w:szCs w:val="21"/>
          <w:bdr w:val="single" w:sz="2" w:space="0" w:color="E4E4E7" w:frame="1"/>
          <w:shd w:val="clear" w:color="auto" w:fill="F4F4F5"/>
          <w:lang w:eastAsia="de-DE"/>
        </w:rPr>
        <w:t>b</w:t>
      </w:r>
      <w:r w:rsidRPr="00C954C1">
        <w:rPr>
          <w:rFonts w:ascii="Arial" w:eastAsia="Times New Roman" w:hAnsi="Arial" w:cs="Arial"/>
          <w:color w:val="3F3F46"/>
          <w:sz w:val="24"/>
          <w:szCs w:val="24"/>
          <w:lang w:eastAsia="de-DE"/>
        </w:rPr>
        <w:t> innerhalb eines Funktionsrahmens </w:t>
      </w:r>
      <w:r w:rsidRPr="00C954C1">
        <w:rPr>
          <w:rFonts w:ascii="Fira Code" w:eastAsia="Times New Roman" w:hAnsi="Fira Code" w:cs="Fira Code"/>
          <w:color w:val="18181B"/>
          <w:sz w:val="21"/>
          <w:szCs w:val="21"/>
          <w:bdr w:val="single" w:sz="2" w:space="0" w:color="E4E4E7" w:frame="1"/>
          <w:shd w:val="clear" w:color="auto" w:fill="F4F4F5"/>
          <w:lang w:eastAsia="de-DE"/>
        </w:rPr>
        <w:t>B(U) = b</w:t>
      </w:r>
      <w:r w:rsidRPr="00C954C1">
        <w:rPr>
          <w:rFonts w:ascii="Arial" w:eastAsia="Times New Roman" w:hAnsi="Arial" w:cs="Arial"/>
          <w:color w:val="3F3F46"/>
          <w:sz w:val="24"/>
          <w:szCs w:val="24"/>
          <w:lang w:eastAsia="de-DE"/>
        </w:rPr>
        <w:t> ist nicht als Eigenschaft des Trägers </w:t>
      </w:r>
      <w:r w:rsidRPr="00C954C1">
        <w:rPr>
          <w:rFonts w:ascii="Fira Code" w:eastAsia="Times New Roman" w:hAnsi="Fira Code" w:cs="Fira Code"/>
          <w:color w:val="18181B"/>
          <w:sz w:val="21"/>
          <w:szCs w:val="21"/>
          <w:bdr w:val="single" w:sz="2" w:space="0" w:color="E4E4E7" w:frame="1"/>
          <w:shd w:val="clear" w:color="auto" w:fill="F4F4F5"/>
          <w:lang w:eastAsia="de-DE"/>
        </w:rPr>
        <w:t>U</w:t>
      </w:r>
      <w:r w:rsidRPr="00C954C1">
        <w:rPr>
          <w:rFonts w:ascii="Arial" w:eastAsia="Times New Roman" w:hAnsi="Arial" w:cs="Arial"/>
          <w:color w:val="3F3F46"/>
          <w:sz w:val="24"/>
          <w:szCs w:val="24"/>
          <w:lang w:eastAsia="de-DE"/>
        </w:rPr>
        <w:t> zu verstehen, sondern als Ausdruck einer regelgeleiteten Relation im Rahmen eines konstruierten Bezugssystems [2]. Diese relationale Sichtweise impliziert, dass die Bedeutung eines Elements nur im Kontext seiner Beziehungen zu anderen Elementen innerhalb des Modells verstanden werden kann.</w:t>
      </w:r>
    </w:p>
    <w:p w14:paraId="0B644755" w14:textId="77777777" w:rsidR="00C954C1" w:rsidRPr="00C954C1" w:rsidRDefault="00C954C1" w:rsidP="00C954C1">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C954C1">
        <w:rPr>
          <w:rFonts w:ascii="Arial" w:eastAsia="Times New Roman" w:hAnsi="Arial" w:cs="Arial"/>
          <w:b/>
          <w:bCs/>
          <w:color w:val="18181B"/>
          <w:sz w:val="24"/>
          <w:szCs w:val="24"/>
          <w:lang w:eastAsia="de-DE"/>
        </w:rPr>
        <w:t>4.2.3 Anschluss an den radikalen Konstruktivismus</w:t>
      </w:r>
    </w:p>
    <w:p w14:paraId="211149E5" w14:textId="77777777" w:rsidR="00C954C1" w:rsidRPr="00C954C1" w:rsidRDefault="00C954C1" w:rsidP="00C954C1">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C954C1">
        <w:rPr>
          <w:rFonts w:ascii="Arial" w:eastAsia="Times New Roman" w:hAnsi="Arial" w:cs="Arial"/>
          <w:color w:val="3F3F46"/>
          <w:sz w:val="24"/>
          <w:szCs w:val="24"/>
          <w:lang w:eastAsia="de-DE"/>
        </w:rPr>
        <w:t>Diese Sichtweise schließt konsequent an konstruktivistische und strukturalistische Positionen an. Von Glasersfeld betont, dass Wissen immer das Resultat individueller (und kollektiv vermittelter) Strukturierungsleistungen ist – und niemals eine objektive Kopie der Welt [3]. Auch in der modernen Wissenschaftstheorie (etwa bei Giere oder van Fraassen) wird zunehmend anerkannt, dass Modelle nicht "wahr" im klassischen Sinne, sondern nützlich, kohärent und kontextsensibel sein müssen [4]. Diese konstruktivistische Perspektive wird auch durch Arbeiten in der Kognitionswissenschaft gestützt, die zeigen, dass unsere Wahrnehmung und unser Verständnis der Welt aktiv von unseren kognitiven Strukturen und Erfahrungen geformt werden [8].</w:t>
      </w:r>
    </w:p>
    <w:p w14:paraId="2F4C8AA4" w14:textId="77777777" w:rsidR="00C954C1" w:rsidRPr="00C954C1" w:rsidRDefault="00C954C1" w:rsidP="00C954C1">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C954C1">
        <w:rPr>
          <w:rFonts w:ascii="Arial" w:eastAsia="Times New Roman" w:hAnsi="Arial" w:cs="Arial"/>
          <w:b/>
          <w:bCs/>
          <w:color w:val="18181B"/>
          <w:sz w:val="24"/>
          <w:szCs w:val="24"/>
          <w:lang w:eastAsia="de-DE"/>
        </w:rPr>
        <w:t>4.2.4 Bedeutung als Netz funktionaler Rollen</w:t>
      </w:r>
    </w:p>
    <w:p w14:paraId="266F951D" w14:textId="77777777" w:rsidR="00C954C1" w:rsidRPr="00C954C1" w:rsidRDefault="00C954C1" w:rsidP="00C954C1">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C954C1">
        <w:rPr>
          <w:rFonts w:ascii="Arial" w:eastAsia="Times New Roman" w:hAnsi="Arial" w:cs="Arial"/>
          <w:color w:val="3F3F46"/>
          <w:sz w:val="24"/>
          <w:szCs w:val="24"/>
          <w:lang w:eastAsia="de-DE"/>
        </w:rPr>
        <w:t>Bedeutung entsteht im FZRK also nicht durch intrinsische Eigenschaften, sondern durch Einbettung in ein funktionales Netz von Relationen. Jede Größe ist innerhalb dieses Systems nur sinnvoll, wenn sie eine zugewiesene Rolle spielt – etwa als Wert einer Zeitfunktion </w:t>
      </w:r>
      <w:r w:rsidRPr="00C954C1">
        <w:rPr>
          <w:rFonts w:ascii="Fira Code" w:eastAsia="Times New Roman" w:hAnsi="Fira Code" w:cs="Fira Code"/>
          <w:color w:val="18181B"/>
          <w:sz w:val="21"/>
          <w:szCs w:val="21"/>
          <w:bdr w:val="single" w:sz="2" w:space="0" w:color="E4E4E7" w:frame="1"/>
          <w:shd w:val="clear" w:color="auto" w:fill="F4F4F5"/>
          <w:lang w:eastAsia="de-DE"/>
        </w:rPr>
        <w:t>τ(U) = t</w:t>
      </w:r>
      <w:r w:rsidRPr="00C954C1">
        <w:rPr>
          <w:rFonts w:ascii="Arial" w:eastAsia="Times New Roman" w:hAnsi="Arial" w:cs="Arial"/>
          <w:color w:val="3F3F46"/>
          <w:sz w:val="24"/>
          <w:szCs w:val="24"/>
          <w:lang w:eastAsia="de-DE"/>
        </w:rPr>
        <w:t>, einer Raumfunktion </w:t>
      </w:r>
      <w:r w:rsidRPr="00C954C1">
        <w:rPr>
          <w:rFonts w:ascii="Fira Code" w:eastAsia="Times New Roman" w:hAnsi="Fira Code" w:cs="Fira Code"/>
          <w:color w:val="18181B"/>
          <w:sz w:val="21"/>
          <w:szCs w:val="21"/>
          <w:bdr w:val="single" w:sz="2" w:space="0" w:color="E4E4E7" w:frame="1"/>
          <w:shd w:val="clear" w:color="auto" w:fill="F4F4F5"/>
          <w:lang w:eastAsia="de-DE"/>
        </w:rPr>
        <w:t>x(U) = x</w:t>
      </w:r>
      <w:r w:rsidRPr="00C954C1">
        <w:rPr>
          <w:rFonts w:ascii="Arial" w:eastAsia="Times New Roman" w:hAnsi="Arial" w:cs="Arial"/>
          <w:color w:val="3F3F46"/>
          <w:sz w:val="24"/>
          <w:szCs w:val="24"/>
          <w:lang w:eastAsia="de-DE"/>
        </w:rPr>
        <w:t> oder eines beliebigen systeminternen Attributs. Ohne diese Zuweisung bleibt der Referenzpunkt </w:t>
      </w:r>
      <w:r w:rsidRPr="00C954C1">
        <w:rPr>
          <w:rFonts w:ascii="Fira Code" w:eastAsia="Times New Roman" w:hAnsi="Fira Code" w:cs="Fira Code"/>
          <w:color w:val="18181B"/>
          <w:sz w:val="21"/>
          <w:szCs w:val="21"/>
          <w:bdr w:val="single" w:sz="2" w:space="0" w:color="E4E4E7" w:frame="1"/>
          <w:shd w:val="clear" w:color="auto" w:fill="F4F4F5"/>
          <w:lang w:eastAsia="de-DE"/>
        </w:rPr>
        <w:t>U</w:t>
      </w:r>
      <w:r w:rsidRPr="00C954C1">
        <w:rPr>
          <w:rFonts w:ascii="Arial" w:eastAsia="Times New Roman" w:hAnsi="Arial" w:cs="Arial"/>
          <w:color w:val="3F3F46"/>
          <w:sz w:val="24"/>
          <w:szCs w:val="24"/>
          <w:lang w:eastAsia="de-DE"/>
        </w:rPr>
        <w:t> bedeutungsfrei – ein leerer Platzhalter [5]. Dieses Konzept der Bedeutung als funktionale Rolle erinnert an systemtheoretische Ansätze, die betonen, dass die Funktion eines Elements in einem System durch seine Beziehungen zu anderen Elementen bestimmt wird [9].</w:t>
      </w:r>
    </w:p>
    <w:p w14:paraId="21B843B7" w14:textId="77777777" w:rsidR="00C954C1" w:rsidRPr="00C954C1" w:rsidRDefault="00C954C1" w:rsidP="00C954C1">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C954C1">
        <w:rPr>
          <w:rFonts w:ascii="Arial" w:eastAsia="Times New Roman" w:hAnsi="Arial" w:cs="Arial"/>
          <w:b/>
          <w:bCs/>
          <w:color w:val="18181B"/>
          <w:sz w:val="24"/>
          <w:szCs w:val="24"/>
          <w:lang w:eastAsia="de-DE"/>
        </w:rPr>
        <w:t>4.2.5 Modellkriterien: Konsistenz, Kontextsensibilität und Anschlussfähigkeit</w:t>
      </w:r>
    </w:p>
    <w:p w14:paraId="350A9694" w14:textId="77777777" w:rsidR="00C954C1" w:rsidRPr="00C954C1" w:rsidRDefault="00C954C1" w:rsidP="00C954C1">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C954C1">
        <w:rPr>
          <w:rFonts w:ascii="Arial" w:eastAsia="Times New Roman" w:hAnsi="Arial" w:cs="Arial"/>
          <w:color w:val="3F3F46"/>
          <w:sz w:val="24"/>
          <w:szCs w:val="24"/>
          <w:lang w:eastAsia="de-DE"/>
        </w:rPr>
        <w:t>Der zentrale epistemologische Schritt besteht somit nicht darin, Dinge zu benennen, sondern Regeln zu definieren, nach denen Zuweisungen erfolgen. Damit verschiebt sich der Fokus: Weg von der Suche nach objektiver Wahrheit – hin zur Reflexion über die Bedingungen, unter denen Bedeutung konstruiert wird. Die Gültigkeit eines Modells bemisst sich nicht an seiner Korrespondenz mit einer Außenwelt, sondern an der Konsistenz und Anschlussfähigkeit seiner internen Zuweisungsstrukturen [6]. Dies bedeutet, dass ein Modell nicht "wahr" sein muss, um nützlich zu sein. Stattdessen sollte es in der Lage sein, kohärente Erklärungen zu liefern und sich in bestehende Wissensstrukturen zu integrieren [10].</w:t>
      </w:r>
    </w:p>
    <w:p w14:paraId="723F7019" w14:textId="77777777" w:rsidR="00C954C1" w:rsidRPr="00C954C1" w:rsidRDefault="00C954C1" w:rsidP="00C954C1">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C954C1">
        <w:rPr>
          <w:rFonts w:ascii="Arial" w:eastAsia="Times New Roman" w:hAnsi="Arial" w:cs="Arial"/>
          <w:color w:val="3F3F46"/>
          <w:sz w:val="24"/>
          <w:szCs w:val="24"/>
          <w:lang w:eastAsia="de-DE"/>
        </w:rPr>
        <w:t xml:space="preserve">Zusammenfassend lässt sich sagen, dass der FZRK einen erkenntnistheoretischen Rahmen für die Modellbildung bietet, der die aktive Rolle des Modellierers bei der Konstruktion von Wissen und Bedeutung betont. Dieser Rahmen basiert auf den </w:t>
      </w:r>
      <w:r w:rsidRPr="00C954C1">
        <w:rPr>
          <w:rFonts w:ascii="Arial" w:eastAsia="Times New Roman" w:hAnsi="Arial" w:cs="Arial"/>
          <w:color w:val="3F3F46"/>
          <w:sz w:val="24"/>
          <w:szCs w:val="24"/>
          <w:lang w:eastAsia="de-DE"/>
        </w:rPr>
        <w:lastRenderedPageBreak/>
        <w:t>Prinzipien des Konstruktivismus und Strukturalismus und legt Wert auf die Bedeutung von Relationen, Kontextsensibilität und Kohärenz.</w:t>
      </w:r>
    </w:p>
    <w:p w14:paraId="06BC621A" w14:textId="77777777" w:rsidR="00C954C1" w:rsidRPr="00C954C1" w:rsidRDefault="00C954C1" w:rsidP="00C954C1">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C954C1">
        <w:rPr>
          <w:rFonts w:ascii="Arial" w:eastAsia="Times New Roman" w:hAnsi="Arial" w:cs="Arial"/>
          <w:b/>
          <w:bCs/>
          <w:color w:val="18181B"/>
          <w:sz w:val="24"/>
          <w:szCs w:val="24"/>
          <w:bdr w:val="single" w:sz="2" w:space="0" w:color="E4E4E7" w:frame="1"/>
          <w:lang w:eastAsia="de-DE"/>
        </w:rPr>
        <w:t>Literaturverzeichnis:</w:t>
      </w:r>
    </w:p>
    <w:p w14:paraId="040C2C08" w14:textId="77777777" w:rsidR="00C954C1" w:rsidRPr="00C954C1" w:rsidRDefault="00C954C1" w:rsidP="00C954C1">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954C1">
        <w:rPr>
          <w:rFonts w:ascii="Arial" w:eastAsia="Times New Roman" w:hAnsi="Arial" w:cs="Arial"/>
          <w:color w:val="3F3F46"/>
          <w:sz w:val="24"/>
          <w:szCs w:val="24"/>
          <w:lang w:eastAsia="de-DE"/>
        </w:rPr>
        <w:t>[1] Knorr Cetina, K. (1981). </w:t>
      </w:r>
      <w:r w:rsidRPr="00C954C1">
        <w:rPr>
          <w:rFonts w:ascii="Arial" w:eastAsia="Times New Roman" w:hAnsi="Arial" w:cs="Arial"/>
          <w:i/>
          <w:iCs/>
          <w:color w:val="3F3F46"/>
          <w:sz w:val="24"/>
          <w:szCs w:val="24"/>
          <w:bdr w:val="single" w:sz="2" w:space="0" w:color="E4E4E7" w:frame="1"/>
          <w:lang w:eastAsia="de-DE"/>
        </w:rPr>
        <w:t>The Manufacture of Knowledge</w:t>
      </w:r>
      <w:r w:rsidRPr="00C954C1">
        <w:rPr>
          <w:rFonts w:ascii="Arial" w:eastAsia="Times New Roman" w:hAnsi="Arial" w:cs="Arial"/>
          <w:color w:val="3F3F46"/>
          <w:sz w:val="24"/>
          <w:szCs w:val="24"/>
          <w:lang w:eastAsia="de-DE"/>
        </w:rPr>
        <w:t>. Pergamon Press.</w:t>
      </w:r>
    </w:p>
    <w:p w14:paraId="6201E54D" w14:textId="77777777" w:rsidR="00C954C1" w:rsidRPr="00C954C1" w:rsidRDefault="00C954C1" w:rsidP="00C954C1">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954C1">
        <w:rPr>
          <w:rFonts w:ascii="Arial" w:eastAsia="Times New Roman" w:hAnsi="Arial" w:cs="Arial"/>
          <w:color w:val="3F3F46"/>
          <w:sz w:val="24"/>
          <w:szCs w:val="24"/>
          <w:lang w:eastAsia="de-DE"/>
        </w:rPr>
        <w:t>[2] Krantz, D. H., Luce, R. D., Suppes, P., &amp; Tversky, A. (1971). </w:t>
      </w:r>
      <w:r w:rsidRPr="00C954C1">
        <w:rPr>
          <w:rFonts w:ascii="Arial" w:eastAsia="Times New Roman" w:hAnsi="Arial" w:cs="Arial"/>
          <w:i/>
          <w:iCs/>
          <w:color w:val="3F3F46"/>
          <w:sz w:val="24"/>
          <w:szCs w:val="24"/>
          <w:bdr w:val="single" w:sz="2" w:space="0" w:color="E4E4E7" w:frame="1"/>
          <w:lang w:eastAsia="de-DE"/>
        </w:rPr>
        <w:t>Foundations of Measurement</w:t>
      </w:r>
      <w:r w:rsidRPr="00C954C1">
        <w:rPr>
          <w:rFonts w:ascii="Arial" w:eastAsia="Times New Roman" w:hAnsi="Arial" w:cs="Arial"/>
          <w:color w:val="3F3F46"/>
          <w:sz w:val="24"/>
          <w:szCs w:val="24"/>
          <w:lang w:eastAsia="de-DE"/>
        </w:rPr>
        <w:t>. Academic Press.</w:t>
      </w:r>
    </w:p>
    <w:p w14:paraId="7DC6B63A" w14:textId="77777777" w:rsidR="00C954C1" w:rsidRPr="00C954C1" w:rsidRDefault="00C954C1" w:rsidP="00C954C1">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954C1">
        <w:rPr>
          <w:rFonts w:ascii="Arial" w:eastAsia="Times New Roman" w:hAnsi="Arial" w:cs="Arial"/>
          <w:color w:val="3F3F46"/>
          <w:sz w:val="24"/>
          <w:szCs w:val="24"/>
          <w:lang w:eastAsia="de-DE"/>
        </w:rPr>
        <w:t>[3] von Glasersfeld, E. (1995). </w:t>
      </w:r>
      <w:r w:rsidRPr="00C954C1">
        <w:rPr>
          <w:rFonts w:ascii="Arial" w:eastAsia="Times New Roman" w:hAnsi="Arial" w:cs="Arial"/>
          <w:i/>
          <w:iCs/>
          <w:color w:val="3F3F46"/>
          <w:sz w:val="24"/>
          <w:szCs w:val="24"/>
          <w:bdr w:val="single" w:sz="2" w:space="0" w:color="E4E4E7" w:frame="1"/>
          <w:lang w:eastAsia="de-DE"/>
        </w:rPr>
        <w:t>Radical Constructivism: A Way of Knowing and Learning</w:t>
      </w:r>
      <w:r w:rsidRPr="00C954C1">
        <w:rPr>
          <w:rFonts w:ascii="Arial" w:eastAsia="Times New Roman" w:hAnsi="Arial" w:cs="Arial"/>
          <w:color w:val="3F3F46"/>
          <w:sz w:val="24"/>
          <w:szCs w:val="24"/>
          <w:lang w:eastAsia="de-DE"/>
        </w:rPr>
        <w:t>. RoutledgeFalmer.</w:t>
      </w:r>
    </w:p>
    <w:p w14:paraId="4B49C78E" w14:textId="77777777" w:rsidR="00C954C1" w:rsidRPr="00C954C1" w:rsidRDefault="00C954C1" w:rsidP="00C954C1">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954C1">
        <w:rPr>
          <w:rFonts w:ascii="Arial" w:eastAsia="Times New Roman" w:hAnsi="Arial" w:cs="Arial"/>
          <w:color w:val="3F3F46"/>
          <w:sz w:val="24"/>
          <w:szCs w:val="24"/>
          <w:lang w:eastAsia="de-DE"/>
        </w:rPr>
        <w:t>[4] van Fraassen, B. C. (1980). </w:t>
      </w:r>
      <w:r w:rsidRPr="00C954C1">
        <w:rPr>
          <w:rFonts w:ascii="Arial" w:eastAsia="Times New Roman" w:hAnsi="Arial" w:cs="Arial"/>
          <w:i/>
          <w:iCs/>
          <w:color w:val="3F3F46"/>
          <w:sz w:val="24"/>
          <w:szCs w:val="24"/>
          <w:bdr w:val="single" w:sz="2" w:space="0" w:color="E4E4E7" w:frame="1"/>
          <w:lang w:eastAsia="de-DE"/>
        </w:rPr>
        <w:t>The Scientific Image</w:t>
      </w:r>
      <w:r w:rsidRPr="00C954C1">
        <w:rPr>
          <w:rFonts w:ascii="Arial" w:eastAsia="Times New Roman" w:hAnsi="Arial" w:cs="Arial"/>
          <w:color w:val="3F3F46"/>
          <w:sz w:val="24"/>
          <w:szCs w:val="24"/>
          <w:lang w:eastAsia="de-DE"/>
        </w:rPr>
        <w:t>. Oxford University Press.</w:t>
      </w:r>
    </w:p>
    <w:p w14:paraId="68796F6C" w14:textId="77777777" w:rsidR="00C954C1" w:rsidRPr="00C954C1" w:rsidRDefault="00C954C1" w:rsidP="00C954C1">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954C1">
        <w:rPr>
          <w:rFonts w:ascii="Arial" w:eastAsia="Times New Roman" w:hAnsi="Arial" w:cs="Arial"/>
          <w:color w:val="3F3F46"/>
          <w:sz w:val="24"/>
          <w:szCs w:val="24"/>
          <w:lang w:eastAsia="de-DE"/>
        </w:rPr>
        <w:t>[5] Luhmann, N. (1990). </w:t>
      </w:r>
      <w:r w:rsidRPr="00C954C1">
        <w:rPr>
          <w:rFonts w:ascii="Arial" w:eastAsia="Times New Roman" w:hAnsi="Arial" w:cs="Arial"/>
          <w:i/>
          <w:iCs/>
          <w:color w:val="3F3F46"/>
          <w:sz w:val="24"/>
          <w:szCs w:val="24"/>
          <w:bdr w:val="single" w:sz="2" w:space="0" w:color="E4E4E7" w:frame="1"/>
          <w:lang w:eastAsia="de-DE"/>
        </w:rPr>
        <w:t>Die Wissenschaft der Gesellschaft</w:t>
      </w:r>
      <w:r w:rsidRPr="00C954C1">
        <w:rPr>
          <w:rFonts w:ascii="Arial" w:eastAsia="Times New Roman" w:hAnsi="Arial" w:cs="Arial"/>
          <w:color w:val="3F3F46"/>
          <w:sz w:val="24"/>
          <w:szCs w:val="24"/>
          <w:lang w:eastAsia="de-DE"/>
        </w:rPr>
        <w:t>. Suhrkamp.</w:t>
      </w:r>
    </w:p>
    <w:p w14:paraId="15B45E19" w14:textId="77777777" w:rsidR="00C954C1" w:rsidRPr="00C954C1" w:rsidRDefault="00C954C1" w:rsidP="00C954C1">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954C1">
        <w:rPr>
          <w:rFonts w:ascii="Arial" w:eastAsia="Times New Roman" w:hAnsi="Arial" w:cs="Arial"/>
          <w:color w:val="3F3F46"/>
          <w:sz w:val="24"/>
          <w:szCs w:val="24"/>
          <w:lang w:eastAsia="de-DE"/>
        </w:rPr>
        <w:t>[6] Giere, R. N. (2006). </w:t>
      </w:r>
      <w:r w:rsidRPr="00C954C1">
        <w:rPr>
          <w:rFonts w:ascii="Arial" w:eastAsia="Times New Roman" w:hAnsi="Arial" w:cs="Arial"/>
          <w:i/>
          <w:iCs/>
          <w:color w:val="3F3F46"/>
          <w:sz w:val="24"/>
          <w:szCs w:val="24"/>
          <w:bdr w:val="single" w:sz="2" w:space="0" w:color="E4E4E7" w:frame="1"/>
          <w:lang w:eastAsia="de-DE"/>
        </w:rPr>
        <w:t>Scientific Perspectivism</w:t>
      </w:r>
      <w:r w:rsidRPr="00C954C1">
        <w:rPr>
          <w:rFonts w:ascii="Arial" w:eastAsia="Times New Roman" w:hAnsi="Arial" w:cs="Arial"/>
          <w:color w:val="3F3F46"/>
          <w:sz w:val="24"/>
          <w:szCs w:val="24"/>
          <w:lang w:eastAsia="de-DE"/>
        </w:rPr>
        <w:t>. University of Chicago Press.</w:t>
      </w:r>
    </w:p>
    <w:p w14:paraId="438AB315" w14:textId="77777777" w:rsidR="00C954C1" w:rsidRPr="00C954C1" w:rsidRDefault="00C954C1" w:rsidP="00C954C1">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954C1">
        <w:rPr>
          <w:rFonts w:ascii="Arial" w:eastAsia="Times New Roman" w:hAnsi="Arial" w:cs="Arial"/>
          <w:color w:val="3F3F46"/>
          <w:sz w:val="24"/>
          <w:szCs w:val="24"/>
          <w:lang w:eastAsia="de-DE"/>
        </w:rPr>
        <w:t>[7] Rorty, R. (1979). </w:t>
      </w:r>
      <w:r w:rsidRPr="00C954C1">
        <w:rPr>
          <w:rFonts w:ascii="Arial" w:eastAsia="Times New Roman" w:hAnsi="Arial" w:cs="Arial"/>
          <w:i/>
          <w:iCs/>
          <w:color w:val="3F3F46"/>
          <w:sz w:val="24"/>
          <w:szCs w:val="24"/>
          <w:bdr w:val="single" w:sz="2" w:space="0" w:color="E4E4E7" w:frame="1"/>
          <w:lang w:eastAsia="de-DE"/>
        </w:rPr>
        <w:t>Philosophy and the Mirror of Nature</w:t>
      </w:r>
      <w:r w:rsidRPr="00C954C1">
        <w:rPr>
          <w:rFonts w:ascii="Arial" w:eastAsia="Times New Roman" w:hAnsi="Arial" w:cs="Arial"/>
          <w:color w:val="3F3F46"/>
          <w:sz w:val="24"/>
          <w:szCs w:val="24"/>
          <w:lang w:eastAsia="de-DE"/>
        </w:rPr>
        <w:t>. Princeton University Press.</w:t>
      </w:r>
    </w:p>
    <w:p w14:paraId="3B0509D7" w14:textId="77777777" w:rsidR="00C954C1" w:rsidRPr="00C954C1" w:rsidRDefault="00C954C1" w:rsidP="00C954C1">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954C1">
        <w:rPr>
          <w:rFonts w:ascii="Arial" w:eastAsia="Times New Roman" w:hAnsi="Arial" w:cs="Arial"/>
          <w:color w:val="3F3F46"/>
          <w:sz w:val="24"/>
          <w:szCs w:val="24"/>
          <w:lang w:eastAsia="de-DE"/>
        </w:rPr>
        <w:t>[8] Clark, A. (1997). </w:t>
      </w:r>
      <w:r w:rsidRPr="00C954C1">
        <w:rPr>
          <w:rFonts w:ascii="Arial" w:eastAsia="Times New Roman" w:hAnsi="Arial" w:cs="Arial"/>
          <w:i/>
          <w:iCs/>
          <w:color w:val="3F3F46"/>
          <w:sz w:val="24"/>
          <w:szCs w:val="24"/>
          <w:bdr w:val="single" w:sz="2" w:space="0" w:color="E4E4E7" w:frame="1"/>
          <w:lang w:eastAsia="de-DE"/>
        </w:rPr>
        <w:t>Being There: Putting Brain, Body, and World Together Again</w:t>
      </w:r>
      <w:r w:rsidRPr="00C954C1">
        <w:rPr>
          <w:rFonts w:ascii="Arial" w:eastAsia="Times New Roman" w:hAnsi="Arial" w:cs="Arial"/>
          <w:color w:val="3F3F46"/>
          <w:sz w:val="24"/>
          <w:szCs w:val="24"/>
          <w:lang w:eastAsia="de-DE"/>
        </w:rPr>
        <w:t>. MIT Press.</w:t>
      </w:r>
    </w:p>
    <w:p w14:paraId="4B575572" w14:textId="77777777" w:rsidR="00C954C1" w:rsidRPr="00C954C1" w:rsidRDefault="00C954C1" w:rsidP="00C954C1">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954C1">
        <w:rPr>
          <w:rFonts w:ascii="Arial" w:eastAsia="Times New Roman" w:hAnsi="Arial" w:cs="Arial"/>
          <w:color w:val="3F3F46"/>
          <w:sz w:val="24"/>
          <w:szCs w:val="24"/>
          <w:lang w:eastAsia="de-DE"/>
        </w:rPr>
        <w:t>[9] Buckley, W. (1967). </w:t>
      </w:r>
      <w:r w:rsidRPr="00C954C1">
        <w:rPr>
          <w:rFonts w:ascii="Arial" w:eastAsia="Times New Roman" w:hAnsi="Arial" w:cs="Arial"/>
          <w:i/>
          <w:iCs/>
          <w:color w:val="3F3F46"/>
          <w:sz w:val="24"/>
          <w:szCs w:val="24"/>
          <w:bdr w:val="single" w:sz="2" w:space="0" w:color="E4E4E7" w:frame="1"/>
          <w:lang w:eastAsia="de-DE"/>
        </w:rPr>
        <w:t>Sociology and Modern Systems Theory</w:t>
      </w:r>
      <w:r w:rsidRPr="00C954C1">
        <w:rPr>
          <w:rFonts w:ascii="Arial" w:eastAsia="Times New Roman" w:hAnsi="Arial" w:cs="Arial"/>
          <w:color w:val="3F3F46"/>
          <w:sz w:val="24"/>
          <w:szCs w:val="24"/>
          <w:lang w:eastAsia="de-DE"/>
        </w:rPr>
        <w:t>. Prentice-Hall.</w:t>
      </w:r>
    </w:p>
    <w:p w14:paraId="7075D62B" w14:textId="77777777" w:rsidR="00C954C1" w:rsidRPr="00C954C1" w:rsidRDefault="00C954C1" w:rsidP="00C954C1">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954C1">
        <w:rPr>
          <w:rFonts w:ascii="Arial" w:eastAsia="Times New Roman" w:hAnsi="Arial" w:cs="Arial"/>
          <w:color w:val="3F3F46"/>
          <w:sz w:val="24"/>
          <w:szCs w:val="24"/>
          <w:lang w:eastAsia="de-DE"/>
        </w:rPr>
        <w:t>[10] Longino, H. E. (1990). </w:t>
      </w:r>
      <w:r w:rsidRPr="00C954C1">
        <w:rPr>
          <w:rFonts w:ascii="Arial" w:eastAsia="Times New Roman" w:hAnsi="Arial" w:cs="Arial"/>
          <w:i/>
          <w:iCs/>
          <w:color w:val="3F3F46"/>
          <w:sz w:val="24"/>
          <w:szCs w:val="24"/>
          <w:bdr w:val="single" w:sz="2" w:space="0" w:color="E4E4E7" w:frame="1"/>
          <w:lang w:eastAsia="de-DE"/>
        </w:rPr>
        <w:t>Science as Social Knowledge</w:t>
      </w:r>
      <w:r w:rsidRPr="00C954C1">
        <w:rPr>
          <w:rFonts w:ascii="Arial" w:eastAsia="Times New Roman" w:hAnsi="Arial" w:cs="Arial"/>
          <w:color w:val="3F3F46"/>
          <w:sz w:val="24"/>
          <w:szCs w:val="24"/>
          <w:lang w:eastAsia="de-DE"/>
        </w:rPr>
        <w:t>. Princeton University Press.</w:t>
      </w:r>
    </w:p>
    <w:p w14:paraId="535BC858" w14:textId="2E4216C6" w:rsidR="0026109B" w:rsidRDefault="0026109B"/>
    <w:p w14:paraId="4F06138A" w14:textId="78B600AA" w:rsidR="00C954C1" w:rsidRDefault="00C954C1" w:rsidP="00C954C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t>4.</w:t>
      </w:r>
      <w:r w:rsidRPr="00B77CF3">
        <w:rPr>
          <w:rFonts w:ascii="Times New Roman" w:eastAsia="Times New Roman" w:hAnsi="Times New Roman" w:cs="Times New Roman"/>
          <w:b/>
          <w:bCs/>
          <w:sz w:val="27"/>
          <w:szCs w:val="27"/>
          <w:lang w:eastAsia="de-DE"/>
        </w:rPr>
        <w:t>3 Iterative Bedeutungszuweisung am Beispiel des Raketenflugs</w:t>
      </w:r>
      <w:r>
        <w:rPr>
          <w:rFonts w:ascii="Times New Roman" w:eastAsia="Times New Roman" w:hAnsi="Times New Roman" w:cs="Times New Roman"/>
          <w:b/>
          <w:bCs/>
          <w:sz w:val="27"/>
          <w:szCs w:val="27"/>
          <w:lang w:eastAsia="de-DE"/>
        </w:rPr>
        <w:t xml:space="preserve"> (muss durch ein anders beispiel ersetzt werden!</w:t>
      </w:r>
    </w:p>
    <w:p w14:paraId="7944722A" w14:textId="51DCB190" w:rsidR="00C954C1" w:rsidRDefault="00C954C1" w:rsidP="00C954C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p>
    <w:p w14:paraId="6B54A322" w14:textId="3BEFC0E3"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956EF4">
        <w:rPr>
          <w:rFonts w:ascii="Arial" w:eastAsia="Times New Roman" w:hAnsi="Arial" w:cs="Arial"/>
          <w:b/>
          <w:bCs/>
          <w:color w:val="18181B"/>
          <w:sz w:val="30"/>
          <w:szCs w:val="30"/>
          <w:lang w:eastAsia="de-DE"/>
        </w:rPr>
        <w:t>4.4 Didaktische Relevanz und methodische Potenziale funktionaler Modellierung</w:t>
      </w:r>
      <w:r w:rsidR="00B758E1">
        <w:rPr>
          <w:rFonts w:ascii="Arial" w:eastAsia="Times New Roman" w:hAnsi="Arial" w:cs="Arial"/>
          <w:b/>
          <w:bCs/>
          <w:color w:val="18181B"/>
          <w:sz w:val="30"/>
          <w:szCs w:val="30"/>
          <w:lang w:eastAsia="de-DE"/>
        </w:rPr>
        <w:t xml:space="preserve"> anhand des Lehrfaches Physik</w:t>
      </w:r>
    </w:p>
    <w:p w14:paraId="29034969"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Die Methodik der funktionalen Modellierung eröffnet nicht nur neue erkenntnistheoretische Perspektiven auf die Physik, sondern entfaltet auch weitreichende didaktische Implikationen. Indem physikalische Größen nicht mehr als "gegeben", sondern als "zugewiesen" verstanden werden, wird ein Reflexionsraum geschaffen, der Lernenden ermöglicht, physikalische Begriffe als Konstruktionen nachzuvollziehen – und damit tiefgreifender zu verstehen [11]. Dieser Ansatz kann dazu beitragen, traditionelle Schwierigkeiten im Physikunterricht zu überwinden und ein tieferes, konzeptuelles Verständnis zu fördern.</w:t>
      </w:r>
    </w:p>
    <w:p w14:paraId="7E2416EF"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956EF4">
        <w:rPr>
          <w:rFonts w:ascii="Arial" w:eastAsia="Times New Roman" w:hAnsi="Arial" w:cs="Arial"/>
          <w:b/>
          <w:bCs/>
          <w:color w:val="18181B"/>
          <w:sz w:val="24"/>
          <w:szCs w:val="24"/>
          <w:lang w:eastAsia="de-DE"/>
        </w:rPr>
        <w:t>4.4.1 Funktionale Transparenz statt formelhafter Reproduktion</w:t>
      </w:r>
    </w:p>
    <w:p w14:paraId="4990CE34"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 xml:space="preserve">Ein zentrales didaktisches Defizit der klassischen Physikvermittlung liegt in der Tendenz zur formelhaften Anwendung ohne konzeptuelles Verständnis. Die funktionale Modellierung durchbricht diesen Automatismus: Jede Größe – ob Zeit, Geschwindigkeit oder Energie – wird im Modellprozess als gezielte Zuweisung </w:t>
      </w:r>
      <w:r w:rsidRPr="00956EF4">
        <w:rPr>
          <w:rFonts w:ascii="Arial" w:eastAsia="Times New Roman" w:hAnsi="Arial" w:cs="Arial"/>
          <w:color w:val="3F3F46"/>
          <w:sz w:val="24"/>
          <w:szCs w:val="24"/>
          <w:lang w:eastAsia="de-DE"/>
        </w:rPr>
        <w:lastRenderedPageBreak/>
        <w:t>eingeführt und dadurch in ihrer Bedeutung sichtbar gemacht. An die Stelle einer rezeptiven Haltung tritt ein aktiver Konstruktionsprozess:</w:t>
      </w:r>
    </w:p>
    <w:p w14:paraId="534372A3" w14:textId="77777777" w:rsidR="00956EF4" w:rsidRPr="00956EF4" w:rsidRDefault="00956EF4" w:rsidP="00956EF4">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Zeit ist keine abstrakte Koordinate, sondern die erste Bedeutungszuweisung an ein strukturfreies Modellobjekt.</w:t>
      </w:r>
    </w:p>
    <w:p w14:paraId="5D91B792" w14:textId="77777777" w:rsidR="00956EF4" w:rsidRPr="00956EF4" w:rsidRDefault="00956EF4" w:rsidP="00956EF4">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Ort ist nicht Position im Raum, sondern Ergebnis einer zeitabhängigen Funktionszuweisung.</w:t>
      </w:r>
    </w:p>
    <w:p w14:paraId="3A3C4C82" w14:textId="77777777" w:rsidR="00956EF4" w:rsidRPr="00956EF4" w:rsidRDefault="00956EF4" w:rsidP="00956EF4">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Energie ist keine konservierte Substanz, sondern eine sekundäre Funktion innerhalb eines interpretativen Rahmens.</w:t>
      </w:r>
    </w:p>
    <w:p w14:paraId="364FE35B"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Diese Transparenz der Bedeutungsentstehung fördert sowohl konzeptuelles Verständnis als auch metakognitive Kompetenz [12]. Indem Lernende die Konstruktion physikalischer Konzepte aktiv nachvollziehen, entwickeln sie ein tieferes Verständnis für die zugrunde liegenden Prinzipien und können diese besser auf neue Situationen anwenden.</w:t>
      </w:r>
    </w:p>
    <w:p w14:paraId="31D1E284"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956EF4">
        <w:rPr>
          <w:rFonts w:ascii="Arial" w:eastAsia="Times New Roman" w:hAnsi="Arial" w:cs="Arial"/>
          <w:b/>
          <w:bCs/>
          <w:color w:val="18181B"/>
          <w:sz w:val="24"/>
          <w:szCs w:val="24"/>
          <w:lang w:eastAsia="de-DE"/>
        </w:rPr>
        <w:t>4.4.2 Reflexives Lernen durch Bedeutungszuschreibung</w:t>
      </w:r>
    </w:p>
    <w:p w14:paraId="5BEBAE3B"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Die funktionale Modellierung aktiviert eine tiefere Ebene des Lernens, die über das bloße Lösen von Aufgaben hinausgeht: das Reflektieren über die Struktur von Wissen. Lernende erleben die physikalischen Begriffe als gestaltbar und im Prinzip rekonstruierbar. Dies fördert eine epistemologische Haltung, in der Physik nicht mehr als objektive Wahrheit, sondern als strukturierter Denkraum verstanden wird – eine Haltung, die besonders im Umgang mit komplexen oder abstrakten Modellen (z. B. Quantenmechanik, Relativitätstheorie) bedeutsam ist [13]. Diese reflexive Auseinandersetzung mit dem Wissen ermöglicht es den Lernenden, ihre eigenen Wissensstrukturen zu hinterfragen und kritisch zu reflektieren.</w:t>
      </w:r>
    </w:p>
    <w:p w14:paraId="7B87E3D3"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956EF4">
        <w:rPr>
          <w:rFonts w:ascii="Arial" w:eastAsia="Times New Roman" w:hAnsi="Arial" w:cs="Arial"/>
          <w:b/>
          <w:bCs/>
          <w:color w:val="18181B"/>
          <w:sz w:val="24"/>
          <w:szCs w:val="24"/>
          <w:lang w:eastAsia="de-DE"/>
        </w:rPr>
        <w:t>4.4.3 Anschlussfähigkeit an digitale Werkzeuge und Simulation</w:t>
      </w:r>
    </w:p>
    <w:p w14:paraId="273C000D"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Da die funktionale Modellierung ausschließlich über mathematisch klar definierte Funktionsstrukturen operiert, ist sie ideal geeignet für digitale Umgebungen wie Python, GeoGebra, GeoLab oder Jupyter Notebooks. Dies ermöglicht einen nahtlosen Übergang von konzeptueller Modellbildung zu numerischer Simulation. Besonders in projektbasierten Lernsettings oder forschendem Lernen kann dies didaktisch nutzbar gemacht werden:</w:t>
      </w:r>
    </w:p>
    <w:p w14:paraId="43DAC9DD" w14:textId="77777777" w:rsidR="00956EF4" w:rsidRPr="00956EF4" w:rsidRDefault="00956EF4" w:rsidP="00956EF4">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Jede Funktionszuweisung kann als Codezeile realisiert werden.</w:t>
      </w:r>
    </w:p>
    <w:p w14:paraId="3B7F06A4" w14:textId="77777777" w:rsidR="00956EF4" w:rsidRPr="00956EF4" w:rsidRDefault="00956EF4" w:rsidP="00956EF4">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Dynamische Visualisierungen (z. B. Flugbahn, Energieprofil) machen das Modell konkret erfahrbar.</w:t>
      </w:r>
    </w:p>
    <w:p w14:paraId="132E95E0" w14:textId="77777777" w:rsidR="00956EF4" w:rsidRPr="00956EF4" w:rsidRDefault="00956EF4" w:rsidP="00956EF4">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Iterative Modellmodifikationen (z. B. Variation von Anfangswerten) fördern hypothesengeleitetes Denken.</w:t>
      </w:r>
    </w:p>
    <w:p w14:paraId="7D38731C"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Der Einsatz digitaler Werkzeuge ermöglicht es den Lernenden, ihre Modelle zu visualisieren, zu simulieren und zu manipulieren. Dies fördert ein aktives und exploratives Lernen, bei dem die Lernenden ihre eigenen Hypothesen testen und ihre Modelle iterativ verbessern können [14].</w:t>
      </w:r>
    </w:p>
    <w:p w14:paraId="79A4F6F9"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956EF4">
        <w:rPr>
          <w:rFonts w:ascii="Arial" w:eastAsia="Times New Roman" w:hAnsi="Arial" w:cs="Arial"/>
          <w:b/>
          <w:bCs/>
          <w:color w:val="18181B"/>
          <w:sz w:val="24"/>
          <w:szCs w:val="24"/>
          <w:lang w:eastAsia="de-DE"/>
        </w:rPr>
        <w:t>4.4.4 Förderung strukturellen Denkens</w:t>
      </w:r>
    </w:p>
    <w:p w14:paraId="48A3ADC3"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lastRenderedPageBreak/>
        <w:t>Schließlich leistet die funktionale Modellierung einen Beitrag zur Entwicklung eines strukturorientierten physikalischen Denkens. Es geht nicht mehr primär um das Anwenden bekannter Formeln, sondern um das Verstehen der Relationen zwischen Funktionswerten. Diese Fähigkeit ist nicht nur für die moderne Physik zentral, sondern auch für mathematische und informatische Problemstellungen, in denen Abstraktion und Funktionalität zentrale Rollen spielen [15]. Das Verständnis der zugrunde liegenden Strukturen ermöglicht es den Lernenden, komplexe Probleme zu analysieren und innovative Lösungen zu entwickeln.</w:t>
      </w:r>
    </w:p>
    <w:p w14:paraId="4A4DDCB1"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Baez und Stay formulieren dies paradigmatisch:</w:t>
      </w:r>
    </w:p>
    <w:p w14:paraId="28185DC0"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„Meaning is a morphism, not a location.“ [4, S. 117]</w:t>
      </w:r>
    </w:p>
    <w:p w14:paraId="49D1545C"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Zusammenfassend lässt sich sagen, dass die funktionale Modellierung ein vielversprechendes didaktisches Instrument darstellt, um ein tieferes, konzeptuelles Verständnis der Physik zu fördern. Durch die Betonung der aktiven Konstruktion von Wissen, die Reflexion über Wissensstrukturen, den Einsatz digitaler Werkzeuge und die Förderung strukturellen Denkens kann die funktionale Modellierung dazu beitragen, den Physikunterricht attraktiver, effektiver und relevanter für die Lernenden zu gestalten.</w:t>
      </w:r>
    </w:p>
    <w:p w14:paraId="7E9E1D71"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956EF4">
        <w:rPr>
          <w:rFonts w:ascii="Arial" w:eastAsia="Times New Roman" w:hAnsi="Arial" w:cs="Arial"/>
          <w:b/>
          <w:bCs/>
          <w:color w:val="18181B"/>
          <w:sz w:val="24"/>
          <w:szCs w:val="24"/>
          <w:bdr w:val="single" w:sz="2" w:space="0" w:color="E4E4E7" w:frame="1"/>
          <w:lang w:eastAsia="de-DE"/>
        </w:rPr>
        <w:t>Literaturverzeichnis:</w:t>
      </w:r>
    </w:p>
    <w:p w14:paraId="12DC77F5" w14:textId="77777777" w:rsidR="00956EF4" w:rsidRPr="00956EF4" w:rsidRDefault="00956EF4" w:rsidP="00956EF4">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[4] Baez, J., &amp; Stay, M. (2011). Physics, Topology, Logic and Computation: A Rosetta Stone. In: B. Coecke (Hrsg.), </w:t>
      </w:r>
      <w:r w:rsidRPr="00956EF4">
        <w:rPr>
          <w:rFonts w:ascii="Arial" w:eastAsia="Times New Roman" w:hAnsi="Arial" w:cs="Arial"/>
          <w:i/>
          <w:iCs/>
          <w:color w:val="3F3F46"/>
          <w:sz w:val="24"/>
          <w:szCs w:val="24"/>
          <w:bdr w:val="single" w:sz="2" w:space="0" w:color="E4E4E7" w:frame="1"/>
          <w:lang w:eastAsia="de-DE"/>
        </w:rPr>
        <w:t>New Structures for Physics</w:t>
      </w:r>
      <w:r w:rsidRPr="00956EF4">
        <w:rPr>
          <w:rFonts w:ascii="Arial" w:eastAsia="Times New Roman" w:hAnsi="Arial" w:cs="Arial"/>
          <w:color w:val="3F3F46"/>
          <w:sz w:val="24"/>
          <w:szCs w:val="24"/>
          <w:lang w:eastAsia="de-DE"/>
        </w:rPr>
        <w:t>. Springer.</w:t>
      </w:r>
    </w:p>
    <w:p w14:paraId="2EF2A7E1" w14:textId="77777777" w:rsidR="00956EF4" w:rsidRPr="00956EF4" w:rsidRDefault="00956EF4" w:rsidP="00956EF4">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[11] Hestenes, D. (1987). Toward a modeling theory of physics instruction. </w:t>
      </w:r>
      <w:r w:rsidRPr="00956EF4">
        <w:rPr>
          <w:rFonts w:ascii="Arial" w:eastAsia="Times New Roman" w:hAnsi="Arial" w:cs="Arial"/>
          <w:i/>
          <w:iCs/>
          <w:color w:val="3F3F46"/>
          <w:sz w:val="24"/>
          <w:szCs w:val="24"/>
          <w:bdr w:val="single" w:sz="2" w:space="0" w:color="E4E4E7" w:frame="1"/>
          <w:lang w:eastAsia="de-DE"/>
        </w:rPr>
        <w:t>American Journal of Physics, 55</w:t>
      </w:r>
      <w:r w:rsidRPr="00956EF4">
        <w:rPr>
          <w:rFonts w:ascii="Arial" w:eastAsia="Times New Roman" w:hAnsi="Arial" w:cs="Arial"/>
          <w:color w:val="3F3F46"/>
          <w:sz w:val="24"/>
          <w:szCs w:val="24"/>
          <w:lang w:eastAsia="de-DE"/>
        </w:rPr>
        <w:t>(5), 440-454.</w:t>
      </w:r>
    </w:p>
    <w:p w14:paraId="2E1F2D38" w14:textId="77777777" w:rsidR="00956EF4" w:rsidRPr="00956EF4" w:rsidRDefault="00956EF4" w:rsidP="00956EF4">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[12] Chi, M. T. H., Bassok, M., Lewis, M. W., Reimann, P., &amp; Glaser, R. (1989). Self-explanations: How students study and use examples in learning to solve problems. </w:t>
      </w:r>
      <w:r w:rsidRPr="00956EF4">
        <w:rPr>
          <w:rFonts w:ascii="Arial" w:eastAsia="Times New Roman" w:hAnsi="Arial" w:cs="Arial"/>
          <w:i/>
          <w:iCs/>
          <w:color w:val="3F3F46"/>
          <w:sz w:val="24"/>
          <w:szCs w:val="24"/>
          <w:bdr w:val="single" w:sz="2" w:space="0" w:color="E4E4E7" w:frame="1"/>
          <w:lang w:eastAsia="de-DE"/>
        </w:rPr>
        <w:t>Cognitive Science, 13</w:t>
      </w:r>
      <w:r w:rsidRPr="00956EF4">
        <w:rPr>
          <w:rFonts w:ascii="Arial" w:eastAsia="Times New Roman" w:hAnsi="Arial" w:cs="Arial"/>
          <w:color w:val="3F3F46"/>
          <w:sz w:val="24"/>
          <w:szCs w:val="24"/>
          <w:lang w:eastAsia="de-DE"/>
        </w:rPr>
        <w:t>(2), 145-182.</w:t>
      </w:r>
    </w:p>
    <w:p w14:paraId="7D1685F2" w14:textId="77777777" w:rsidR="00956EF4" w:rsidRPr="00956EF4" w:rsidRDefault="00956EF4" w:rsidP="00956EF4">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[13] Hammer, D., &amp; Elby, A. (2003). Tapping epistemological resources for learning physics. </w:t>
      </w:r>
      <w:r w:rsidRPr="00956EF4">
        <w:rPr>
          <w:rFonts w:ascii="Arial" w:eastAsia="Times New Roman" w:hAnsi="Arial" w:cs="Arial"/>
          <w:i/>
          <w:iCs/>
          <w:color w:val="3F3F46"/>
          <w:sz w:val="24"/>
          <w:szCs w:val="24"/>
          <w:bdr w:val="single" w:sz="2" w:space="0" w:color="E4E4E7" w:frame="1"/>
          <w:lang w:eastAsia="de-DE"/>
        </w:rPr>
        <w:t>Journal of the Learning Sciences, 12</w:t>
      </w:r>
      <w:r w:rsidRPr="00956EF4">
        <w:rPr>
          <w:rFonts w:ascii="Arial" w:eastAsia="Times New Roman" w:hAnsi="Arial" w:cs="Arial"/>
          <w:color w:val="3F3F46"/>
          <w:sz w:val="24"/>
          <w:szCs w:val="24"/>
          <w:lang w:eastAsia="de-DE"/>
        </w:rPr>
        <w:t>(1), 53-90.</w:t>
      </w:r>
    </w:p>
    <w:p w14:paraId="641D957D" w14:textId="77777777" w:rsidR="00956EF4" w:rsidRPr="00956EF4" w:rsidRDefault="00956EF4" w:rsidP="00956EF4">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[14] Rutten, N., van Joolingen, W. R., &amp; van der Veen, J. T. (2012). The learning effects of computer simulations in science education: A meta-analysis. </w:t>
      </w:r>
      <w:r w:rsidRPr="00956EF4">
        <w:rPr>
          <w:rFonts w:ascii="Arial" w:eastAsia="Times New Roman" w:hAnsi="Arial" w:cs="Arial"/>
          <w:i/>
          <w:iCs/>
          <w:color w:val="3F3F46"/>
          <w:sz w:val="24"/>
          <w:szCs w:val="24"/>
          <w:bdr w:val="single" w:sz="2" w:space="0" w:color="E4E4E7" w:frame="1"/>
          <w:lang w:eastAsia="de-DE"/>
        </w:rPr>
        <w:t>Computers &amp; Education, 58</w:t>
      </w:r>
      <w:r w:rsidRPr="00956EF4">
        <w:rPr>
          <w:rFonts w:ascii="Arial" w:eastAsia="Times New Roman" w:hAnsi="Arial" w:cs="Arial"/>
          <w:color w:val="3F3F46"/>
          <w:sz w:val="24"/>
          <w:szCs w:val="24"/>
          <w:lang w:eastAsia="de-DE"/>
        </w:rPr>
        <w:t>(1), 137-153.</w:t>
      </w:r>
    </w:p>
    <w:p w14:paraId="5DFCD0EC" w14:textId="77777777" w:rsidR="00956EF4" w:rsidRPr="00956EF4" w:rsidRDefault="00956EF4" w:rsidP="00956EF4">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[15] Wing, J. M. (2006). Computational thinking. </w:t>
      </w:r>
      <w:r w:rsidRPr="00956EF4">
        <w:rPr>
          <w:rFonts w:ascii="Arial" w:eastAsia="Times New Roman" w:hAnsi="Arial" w:cs="Arial"/>
          <w:i/>
          <w:iCs/>
          <w:color w:val="3F3F46"/>
          <w:sz w:val="24"/>
          <w:szCs w:val="24"/>
          <w:bdr w:val="single" w:sz="2" w:space="0" w:color="E4E4E7" w:frame="1"/>
          <w:lang w:eastAsia="de-DE"/>
        </w:rPr>
        <w:t>Communications of the ACM, 49</w:t>
      </w:r>
      <w:r w:rsidRPr="00956EF4">
        <w:rPr>
          <w:rFonts w:ascii="Arial" w:eastAsia="Times New Roman" w:hAnsi="Arial" w:cs="Arial"/>
          <w:color w:val="3F3F46"/>
          <w:sz w:val="24"/>
          <w:szCs w:val="24"/>
          <w:lang w:eastAsia="de-DE"/>
        </w:rPr>
        <w:t>(3), 33-35.</w:t>
      </w:r>
    </w:p>
    <w:p w14:paraId="387080B3" w14:textId="21E0430E" w:rsidR="00C954C1" w:rsidRDefault="00C954C1"/>
    <w:p w14:paraId="28E1E888"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956EF4">
        <w:rPr>
          <w:rFonts w:ascii="Arial" w:eastAsia="Times New Roman" w:hAnsi="Arial" w:cs="Arial"/>
          <w:b/>
          <w:bCs/>
          <w:color w:val="18181B"/>
          <w:sz w:val="30"/>
          <w:szCs w:val="30"/>
          <w:lang w:eastAsia="de-DE"/>
        </w:rPr>
        <w:t>4.5 Methodologische Konsequenzen der funktionalen Modellierung</w:t>
      </w:r>
    </w:p>
    <w:p w14:paraId="7DA27D9F"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 xml:space="preserve">Die funktionale Modellierung physikalischer Prozesse verändert nicht nur die Struktur physikalischer Modelle, sondern hat tiefgreifende Konsequenzen für das physiktheoretische Selbstverständnis. Im Gegensatz zur traditionellen Vorstellung von Physik als Beschreibung einer unabhängig existierenden Realität wird hier ein erkenntnistheoretisch reflektierter Zugang gewählt: Physik wird als konsistenter Akt </w:t>
      </w:r>
      <w:r w:rsidRPr="00956EF4">
        <w:rPr>
          <w:rFonts w:ascii="Arial" w:eastAsia="Times New Roman" w:hAnsi="Arial" w:cs="Arial"/>
          <w:color w:val="3F3F46"/>
          <w:sz w:val="24"/>
          <w:szCs w:val="24"/>
          <w:lang w:eastAsia="de-DE"/>
        </w:rPr>
        <w:lastRenderedPageBreak/>
        <w:t>der Bedeutungszuweisung innerhalb eines konstruierten Referenzsystems begriffen [16]. Dieser Ansatz verschiebt den Fokus von der Suche nach objektiver Wahrheit hin zur Reflexion über die Bedingungen, unter denen Bedeutung konstruiert wird.</w:t>
      </w:r>
    </w:p>
    <w:p w14:paraId="5DBA4342"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956EF4">
        <w:rPr>
          <w:rFonts w:ascii="Arial" w:eastAsia="Times New Roman" w:hAnsi="Arial" w:cs="Arial"/>
          <w:b/>
          <w:bCs/>
          <w:color w:val="18181B"/>
          <w:sz w:val="24"/>
          <w:szCs w:val="24"/>
          <w:lang w:eastAsia="de-DE"/>
        </w:rPr>
        <w:t>4.5.1 Physik als Modellierung – nicht als Abbildung</w:t>
      </w:r>
    </w:p>
    <w:p w14:paraId="4DB3169D"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Innerhalb der funktionalen Methodik besteht kein Anspruch auf Abbildtreue im klassischen Sinn. Das physikalische Modell ist nicht Spiegel einer objektiven Welt, sondern eine strukturierte, regelgeleitete Bedeutungsarchitektur, die auf Konsistenz, Anschlussfähigkeit und Zweckmäßigkeit geprüft wird. Wahrheit wird dabei durch Modellkohärenz und interne Stimmigkeit ersetzt – in Anlehnung an moderne Wissenschaftstheorien (vgl. Giere, van Fraassen, Cartwright) [17]. Dieser konstruktivistische Ansatz betont, dass Modelle nicht die Realität "widerspiegeln", sondern vielmehr Werkzeuge sind, um die Realität zu verstehen und zu manipulieren.</w:t>
      </w:r>
    </w:p>
    <w:p w14:paraId="6A77647E"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Weyl bringt diesen Perspektivwechsel prägnant auf den Punkt:</w:t>
      </w:r>
    </w:p>
    <w:p w14:paraId="01571F5A"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„All physical order is relational and depends on the scheme of assignment chosen by the observer.“ [5, S. 47]</w:t>
      </w:r>
    </w:p>
    <w:p w14:paraId="065A708D"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Damit wird deutlich: Die Ordnung, die das physikalische Modell beschreibt, ist nicht der Welt inhärent, sondern eine Folge der gewählten Zuweisungsstruktur. Der Beobachter ist nicht mehr nur externer Betrachter, sondern aktiver Mit-Erzeuger physikalischer Struktur. Diese Sichtweise steht im Einklang mit neueren Erkenntnissen in der Quantenphysik, die zeigen, dass der Beobachter einen direkten Einfluss auf das beobachtete System hat [18].</w:t>
      </w:r>
    </w:p>
    <w:p w14:paraId="569C952F"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956EF4">
        <w:rPr>
          <w:rFonts w:ascii="Arial" w:eastAsia="Times New Roman" w:hAnsi="Arial" w:cs="Arial"/>
          <w:b/>
          <w:bCs/>
          <w:color w:val="18181B"/>
          <w:sz w:val="24"/>
          <w:szCs w:val="24"/>
          <w:lang w:eastAsia="de-DE"/>
        </w:rPr>
        <w:t>4.5.2 Der Modellierungsakt als erkenntniskonstitutiver Prozess</w:t>
      </w:r>
    </w:p>
    <w:p w14:paraId="501407BE"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Die Modellierung physikalischer Phänomene wird in der funktionalen Sicht selbst zum Erkenntnisprozess. Es ist nicht das Modell, das „etwas zeigt“, sondern der Modellierungsprozess, der etwas erzeugt – nämlich eine spezifische Form physikalischer Welt. Dies verschiebt den Fokus physikalischer Theoriearbeit:</w:t>
      </w:r>
    </w:p>
    <w:p w14:paraId="2B79F28B" w14:textId="77777777" w:rsidR="00956EF4" w:rsidRPr="00956EF4" w:rsidRDefault="00956EF4" w:rsidP="00956EF4">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Weg von der Frage „Was ist die Natur der Realität?“</w:t>
      </w:r>
    </w:p>
    <w:p w14:paraId="005A9544" w14:textId="77777777" w:rsidR="00956EF4" w:rsidRPr="00956EF4" w:rsidRDefault="00956EF4" w:rsidP="00956EF4">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Hin zur Frage „Welche Struktur entsteht durch welche Zuweisungsregeln?“</w:t>
      </w:r>
    </w:p>
    <w:p w14:paraId="2E1D1238"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Diese erkenntnistheoretische Verschiebung erlaubt eine kritisch-reflektierte Analyse bestehender Modelle und eröffnet Spielräume für alternative Modellkonstruktionen, die bisher ausgeblendete Aspekte (z. B. subjektive Perspektiven, Informationsflüsse, kontextabhängige Dynamiken) explizit berücksichtigen können [19]. Dieser Ansatz kann dazu beitragen, die Grenzen traditioneller Modelle zu überwinden und neue Perspektiven auf physikalische Phänomene zu eröffnen.</w:t>
      </w:r>
    </w:p>
    <w:p w14:paraId="2C50B0E2"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956EF4">
        <w:rPr>
          <w:rFonts w:ascii="Arial" w:eastAsia="Times New Roman" w:hAnsi="Arial" w:cs="Arial"/>
          <w:b/>
          <w:bCs/>
          <w:color w:val="18181B"/>
          <w:sz w:val="24"/>
          <w:szCs w:val="24"/>
          <w:lang w:eastAsia="de-DE"/>
        </w:rPr>
        <w:t>4.5.3 Paradigmatisches Potenzial des Raketenflugmodells</w:t>
      </w:r>
    </w:p>
    <w:p w14:paraId="2E9E9B5B"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 xml:space="preserve">Das in Abschnitt 4.3 entwickelte Beispiel des Raketenflugs ist dabei nicht nur ein praktischer Anwendungsfall, sondern ein epistemisches Paradigma: Es demonstriert in klarer, reduzierter Form den gesamten Prozess funktionaler Modellbildung – von </w:t>
      </w:r>
      <w:r w:rsidRPr="00956EF4">
        <w:rPr>
          <w:rFonts w:ascii="Arial" w:eastAsia="Times New Roman" w:hAnsi="Arial" w:cs="Arial"/>
          <w:color w:val="3F3F46"/>
          <w:sz w:val="24"/>
          <w:szCs w:val="24"/>
          <w:lang w:eastAsia="de-DE"/>
        </w:rPr>
        <w:lastRenderedPageBreak/>
        <w:t>der Initialisierung eines bedeutungslosen Punktes bis hin zur energetischen Interpretation einer dynamischen Bewegung.</w:t>
      </w:r>
    </w:p>
    <w:p w14:paraId="15BAAFF4"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Dieses Beispiel erfüllt damit drei Funktionen:</w:t>
      </w:r>
    </w:p>
    <w:p w14:paraId="35FCD877" w14:textId="77777777" w:rsidR="00956EF4" w:rsidRPr="00956EF4" w:rsidRDefault="00956EF4" w:rsidP="00956EF4">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Didaktisches Modell – Es ist einfach genug, um Lernprozesse zu strukturieren.</w:t>
      </w:r>
    </w:p>
    <w:p w14:paraId="4009293E" w14:textId="77777777" w:rsidR="00956EF4" w:rsidRPr="00956EF4" w:rsidRDefault="00956EF4" w:rsidP="00956EF4">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Methodologisches Exempel – Es zeigt, wie physikalische Größen aus Zuweisungen entstehen.</w:t>
      </w:r>
    </w:p>
    <w:p w14:paraId="3A800B76" w14:textId="77777777" w:rsidR="00956EF4" w:rsidRPr="00956EF4" w:rsidRDefault="00956EF4" w:rsidP="00956EF4">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Theoriepraktisches Paradigma – Es erlaubt Reflexion über die Grenzen klassischer Modellkonzepte.</w:t>
      </w:r>
    </w:p>
    <w:p w14:paraId="5D4482D6"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Das Raketenflugmodell dient somit als anschauliches Beispiel für die Anwendung der funktionalen Modellierung und verdeutlicht die methodologischen Konsequenzen dieses Ansatzes.</w:t>
      </w:r>
    </w:p>
    <w:p w14:paraId="285C24D5"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956EF4">
        <w:rPr>
          <w:rFonts w:ascii="Arial" w:eastAsia="Times New Roman" w:hAnsi="Arial" w:cs="Arial"/>
          <w:b/>
          <w:bCs/>
          <w:color w:val="18181B"/>
          <w:sz w:val="24"/>
          <w:szCs w:val="24"/>
          <w:lang w:eastAsia="de-DE"/>
        </w:rPr>
        <w:t>4.5.4 Schlussfolgerung: Physik als funktionale Ordnungsbildung</w:t>
      </w:r>
    </w:p>
    <w:p w14:paraId="71FDD817"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Die hier vertretene Methodik erhebt nicht den Anspruch, bestehende physikalische Theorien zu ersetzen. Vielmehr zeigt sie einen Weg, ihre erkenntnistheoretischen Voraussetzungen offenzulegen und alternative Formen der Modellbildung zu ermöglichen. In einer Zeit, in der physikalische Theorien zunehmend formal, abstrakt und rechnergestützt operieren, bietet die funktionale Modellierung ein transparentes, konsistentes und anschlussfähiges Verfahren, um physikalisches Wissen als strukturierte Ordnung zu rekonstruieren [20]. Dieser Ansatz kann dazu beitragen, die Kluft zwischen theoretischer Physik und praktischer Anwendung zu überbrücken und ein tieferes Verständnis für die Grundlagen physikalischer Modelle zu entwickeln.</w:t>
      </w:r>
    </w:p>
    <w:p w14:paraId="3257ECF5"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956EF4">
        <w:rPr>
          <w:rFonts w:ascii="Arial" w:eastAsia="Times New Roman" w:hAnsi="Arial" w:cs="Arial"/>
          <w:b/>
          <w:bCs/>
          <w:color w:val="18181B"/>
          <w:sz w:val="24"/>
          <w:szCs w:val="24"/>
          <w:bdr w:val="single" w:sz="2" w:space="0" w:color="E4E4E7" w:frame="1"/>
          <w:lang w:eastAsia="de-DE"/>
        </w:rPr>
        <w:t>Literaturverzeichnis:</w:t>
      </w:r>
    </w:p>
    <w:p w14:paraId="722A3D8E" w14:textId="77777777" w:rsidR="00956EF4" w:rsidRPr="00956EF4" w:rsidRDefault="00956EF4" w:rsidP="00956EF4">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[5] Weyl, H. (1949). </w:t>
      </w:r>
      <w:r w:rsidRPr="00956EF4">
        <w:rPr>
          <w:rFonts w:ascii="Arial" w:eastAsia="Times New Roman" w:hAnsi="Arial" w:cs="Arial"/>
          <w:i/>
          <w:iCs/>
          <w:color w:val="3F3F46"/>
          <w:sz w:val="24"/>
          <w:szCs w:val="24"/>
          <w:bdr w:val="single" w:sz="2" w:space="0" w:color="E4E4E7" w:frame="1"/>
          <w:lang w:eastAsia="de-DE"/>
        </w:rPr>
        <w:t>Philosophy of Mathematics and Natural Science</w:t>
      </w:r>
      <w:r w:rsidRPr="00956EF4">
        <w:rPr>
          <w:rFonts w:ascii="Arial" w:eastAsia="Times New Roman" w:hAnsi="Arial" w:cs="Arial"/>
          <w:color w:val="3F3F46"/>
          <w:sz w:val="24"/>
          <w:szCs w:val="24"/>
          <w:lang w:eastAsia="de-DE"/>
        </w:rPr>
        <w:t>. Princeton University Press.</w:t>
      </w:r>
    </w:p>
    <w:p w14:paraId="59886686" w14:textId="77777777" w:rsidR="00956EF4" w:rsidRPr="00956EF4" w:rsidRDefault="00956EF4" w:rsidP="00956EF4">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[16] Suppe, F. (1977). </w:t>
      </w:r>
      <w:r w:rsidRPr="00956EF4">
        <w:rPr>
          <w:rFonts w:ascii="Arial" w:eastAsia="Times New Roman" w:hAnsi="Arial" w:cs="Arial"/>
          <w:i/>
          <w:iCs/>
          <w:color w:val="3F3F46"/>
          <w:sz w:val="24"/>
          <w:szCs w:val="24"/>
          <w:bdr w:val="single" w:sz="2" w:space="0" w:color="E4E4E7" w:frame="1"/>
          <w:lang w:eastAsia="de-DE"/>
        </w:rPr>
        <w:t>The Structure of Scientific Theories</w:t>
      </w:r>
      <w:r w:rsidRPr="00956EF4">
        <w:rPr>
          <w:rFonts w:ascii="Arial" w:eastAsia="Times New Roman" w:hAnsi="Arial" w:cs="Arial"/>
          <w:color w:val="3F3F46"/>
          <w:sz w:val="24"/>
          <w:szCs w:val="24"/>
          <w:lang w:eastAsia="de-DE"/>
        </w:rPr>
        <w:t>. University of Illinois Press.</w:t>
      </w:r>
    </w:p>
    <w:p w14:paraId="60D1F8EC" w14:textId="77777777" w:rsidR="00956EF4" w:rsidRPr="00956EF4" w:rsidRDefault="00956EF4" w:rsidP="00956EF4">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[17] Cartwright, N. (1983). </w:t>
      </w:r>
      <w:r w:rsidRPr="00956EF4">
        <w:rPr>
          <w:rFonts w:ascii="Arial" w:eastAsia="Times New Roman" w:hAnsi="Arial" w:cs="Arial"/>
          <w:i/>
          <w:iCs/>
          <w:color w:val="3F3F46"/>
          <w:sz w:val="24"/>
          <w:szCs w:val="24"/>
          <w:bdr w:val="single" w:sz="2" w:space="0" w:color="E4E4E7" w:frame="1"/>
          <w:lang w:eastAsia="de-DE"/>
        </w:rPr>
        <w:t>How the Laws of Physics Lie</w:t>
      </w:r>
      <w:r w:rsidRPr="00956EF4">
        <w:rPr>
          <w:rFonts w:ascii="Arial" w:eastAsia="Times New Roman" w:hAnsi="Arial" w:cs="Arial"/>
          <w:color w:val="3F3F46"/>
          <w:sz w:val="24"/>
          <w:szCs w:val="24"/>
          <w:lang w:eastAsia="de-DE"/>
        </w:rPr>
        <w:t>. Oxford University Press.</w:t>
      </w:r>
    </w:p>
    <w:p w14:paraId="72475231" w14:textId="77777777" w:rsidR="00956EF4" w:rsidRPr="00956EF4" w:rsidRDefault="00956EF4" w:rsidP="00956EF4">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[18] Bohr, N. (1934). </w:t>
      </w:r>
      <w:r w:rsidRPr="00956EF4">
        <w:rPr>
          <w:rFonts w:ascii="Arial" w:eastAsia="Times New Roman" w:hAnsi="Arial" w:cs="Arial"/>
          <w:i/>
          <w:iCs/>
          <w:color w:val="3F3F46"/>
          <w:sz w:val="24"/>
          <w:szCs w:val="24"/>
          <w:bdr w:val="single" w:sz="2" w:space="0" w:color="E4E4E7" w:frame="1"/>
          <w:lang w:eastAsia="de-DE"/>
        </w:rPr>
        <w:t>Atomic Theory and the Description of Nature</w:t>
      </w:r>
      <w:r w:rsidRPr="00956EF4">
        <w:rPr>
          <w:rFonts w:ascii="Arial" w:eastAsia="Times New Roman" w:hAnsi="Arial" w:cs="Arial"/>
          <w:color w:val="3F3F46"/>
          <w:sz w:val="24"/>
          <w:szCs w:val="24"/>
          <w:lang w:eastAsia="de-DE"/>
        </w:rPr>
        <w:t>. Cambridge University Press.</w:t>
      </w:r>
    </w:p>
    <w:p w14:paraId="3529278C" w14:textId="77777777" w:rsidR="00956EF4" w:rsidRPr="00956EF4" w:rsidRDefault="00956EF4" w:rsidP="00956EF4">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[19] Latour, B. (1987). </w:t>
      </w:r>
      <w:r w:rsidRPr="00956EF4">
        <w:rPr>
          <w:rFonts w:ascii="Arial" w:eastAsia="Times New Roman" w:hAnsi="Arial" w:cs="Arial"/>
          <w:i/>
          <w:iCs/>
          <w:color w:val="3F3F46"/>
          <w:sz w:val="24"/>
          <w:szCs w:val="24"/>
          <w:bdr w:val="single" w:sz="2" w:space="0" w:color="E4E4E7" w:frame="1"/>
          <w:lang w:eastAsia="de-DE"/>
        </w:rPr>
        <w:t>Science in Action: How to Follow Scientists and Engineers Through Society</w:t>
      </w:r>
      <w:r w:rsidRPr="00956EF4">
        <w:rPr>
          <w:rFonts w:ascii="Arial" w:eastAsia="Times New Roman" w:hAnsi="Arial" w:cs="Arial"/>
          <w:color w:val="3F3F46"/>
          <w:sz w:val="24"/>
          <w:szCs w:val="24"/>
          <w:lang w:eastAsia="de-DE"/>
        </w:rPr>
        <w:t>. Harvard University Press.</w:t>
      </w:r>
    </w:p>
    <w:p w14:paraId="06DF088B" w14:textId="77777777" w:rsidR="00956EF4" w:rsidRPr="00956EF4" w:rsidRDefault="00956EF4" w:rsidP="00956EF4">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[20] Hacking, I. (1983). </w:t>
      </w:r>
      <w:r w:rsidRPr="00956EF4">
        <w:rPr>
          <w:rFonts w:ascii="Arial" w:eastAsia="Times New Roman" w:hAnsi="Arial" w:cs="Arial"/>
          <w:i/>
          <w:iCs/>
          <w:color w:val="3F3F46"/>
          <w:sz w:val="24"/>
          <w:szCs w:val="24"/>
          <w:bdr w:val="single" w:sz="2" w:space="0" w:color="E4E4E7" w:frame="1"/>
          <w:lang w:eastAsia="de-DE"/>
        </w:rPr>
        <w:t>Representing and Intervening</w:t>
      </w:r>
      <w:r w:rsidRPr="00956EF4">
        <w:rPr>
          <w:rFonts w:ascii="Arial" w:eastAsia="Times New Roman" w:hAnsi="Arial" w:cs="Arial"/>
          <w:color w:val="3F3F46"/>
          <w:sz w:val="24"/>
          <w:szCs w:val="24"/>
          <w:lang w:eastAsia="de-DE"/>
        </w:rPr>
        <w:t>. Cambridge University Press.</w:t>
      </w:r>
    </w:p>
    <w:p w14:paraId="6133C7F1"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956EF4">
        <w:rPr>
          <w:rFonts w:ascii="Arial" w:eastAsia="Times New Roman" w:hAnsi="Arial" w:cs="Arial"/>
          <w:b/>
          <w:bCs/>
          <w:color w:val="18181B"/>
          <w:sz w:val="30"/>
          <w:szCs w:val="30"/>
          <w:lang w:eastAsia="de-DE"/>
        </w:rPr>
        <w:t>4.6 Perspektiven und Begrenzungen funktionaler Modellierung</w:t>
      </w:r>
    </w:p>
    <w:p w14:paraId="1A8A5400"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 xml:space="preserve">Die funktionale Modellierung physikalischer Prozesse ist ein erkenntnistheoretisch kohärentes und didaktisch anschlussfähiges Konzept, das neue Wege der Weltbeschreibung eröffnet. Zugleich ist es notwendig, die Reichweite, Grenzen und </w:t>
      </w:r>
      <w:r w:rsidRPr="00956EF4">
        <w:rPr>
          <w:rFonts w:ascii="Arial" w:eastAsia="Times New Roman" w:hAnsi="Arial" w:cs="Arial"/>
          <w:color w:val="3F3F46"/>
          <w:sz w:val="24"/>
          <w:szCs w:val="24"/>
          <w:lang w:eastAsia="de-DE"/>
        </w:rPr>
        <w:lastRenderedPageBreak/>
        <w:t>Erweiterungsperspektiven dieser Methodik kritisch zu reflektieren. Nur so kann sie in den Kanon physikalischer Modellansätze nachhaltig integriert und weiterentwickelt werden [21]. Eine umfassende Bewertung der funktionalen Modellierung erfordert die Berücksichtigung sowohl ihrer Stärken als auch ihrer Schwächen.</w:t>
      </w:r>
    </w:p>
    <w:p w14:paraId="47C5499C"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956EF4">
        <w:rPr>
          <w:rFonts w:ascii="Arial" w:eastAsia="Times New Roman" w:hAnsi="Arial" w:cs="Arial"/>
          <w:b/>
          <w:bCs/>
          <w:color w:val="18181B"/>
          <w:sz w:val="24"/>
          <w:szCs w:val="24"/>
          <w:lang w:eastAsia="de-DE"/>
        </w:rPr>
        <w:t>4.6.1 Begrenzungen der Methodik: Abstraktion, Idealisierung, Realitätsbezug</w:t>
      </w:r>
    </w:p>
    <w:p w14:paraId="76A5B5B1"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So radikal die funktionale Modellierung in ihrer erkenntnistheoretischen Konsequenz ist, so sehr ist sie doch auch auf Abstraktion und Idealisierung angewiesen. Dies betrifft vor allem:</w:t>
      </w:r>
    </w:p>
    <w:p w14:paraId="4E384734" w14:textId="77777777" w:rsidR="00956EF4" w:rsidRPr="00956EF4" w:rsidRDefault="00956EF4" w:rsidP="00956EF4">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Die strukturelle Leere des Initialpunkts: In realen physikalischen Anwendungen sind Ausgangszustände nie vollkommen bedeutungsfrei. Die funktionale Modellierung beginnt idealtypisch „ex nihilo“, was zwar erkenntnislogisch konsequent ist, aber den Anschluss an konkrete Messpraktiken und empirische Daten begrenzt [22].</w:t>
      </w:r>
    </w:p>
    <w:p w14:paraId="60107220" w14:textId="77777777" w:rsidR="00956EF4" w:rsidRPr="00956EF4" w:rsidRDefault="00956EF4" w:rsidP="00956EF4">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Die Wahl der Zuweisungsregeln: Jede Modellierung beruht auf Entscheidungen darüber, welche Funktionen wie zugewiesen werden. Diese Entscheidungen sind nicht rein formal, sondern implizieren normative und theoretische Setzungen, die nicht aus dem System selbst hervorgehen [23].</w:t>
      </w:r>
    </w:p>
    <w:p w14:paraId="71F72677" w14:textId="77777777" w:rsidR="00956EF4" w:rsidRPr="00956EF4" w:rsidRDefault="00956EF4" w:rsidP="00956EF4">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Der Ausschluss nicht-funktionaler Effekte: Phänomene wie Störungen, chaotische Dynamiken, Nichtlinearitäten oder Quantenfluktuationen lassen sich nur bedingt in eine rein funktionale Struktur überführen – zumindest nicht ohne eine erhebliche Erweiterung der zugrunde liegenden mathematischen Werkzeuge [24].</w:t>
      </w:r>
    </w:p>
    <w:p w14:paraId="318B9233"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Diese Begrenzungen verdeutlichen, dass die funktionale Modellierung nicht als Allheilmittel für alle physikalischen Probleme betrachtet werden sollte. Vielmehr ist sie als ein spezifischer Ansatz zu verstehen, der seine Stärken vor allem in der Verdeutlichung der Konstruktionsprozesse physikalischer Modelle hat.</w:t>
      </w:r>
    </w:p>
    <w:p w14:paraId="527488D1"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956EF4">
        <w:rPr>
          <w:rFonts w:ascii="Arial" w:eastAsia="Times New Roman" w:hAnsi="Arial" w:cs="Arial"/>
          <w:b/>
          <w:bCs/>
          <w:color w:val="18181B"/>
          <w:sz w:val="24"/>
          <w:szCs w:val="24"/>
          <w:lang w:eastAsia="de-DE"/>
        </w:rPr>
        <w:t>4.6.2 Anschlussfähigkeit an moderne theoretische Physik</w:t>
      </w:r>
    </w:p>
    <w:p w14:paraId="5BB18F0B"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Trotz (oder gerade wegen) ihrer idealisierten Struktur bietet die funktionale Modellierung zahlreiche Anknüpfungspunkte an moderne Theoriebildung, etwa:</w:t>
      </w:r>
    </w:p>
    <w:p w14:paraId="45C98006" w14:textId="77777777" w:rsidR="00956EF4" w:rsidRPr="00956EF4" w:rsidRDefault="00956EF4" w:rsidP="00956EF4">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In der Relativitätstheorie: Die Idee, dass Raum und Zeit nicht gegeben, sondern durch metrische und dynamische Zuweisungen erzeugt sind, findet sich sowohl in Einsteins Feldgleichungen als auch in neueren Ansätzen wie der Loop-Quantengravitation [25].</w:t>
      </w:r>
    </w:p>
    <w:p w14:paraId="5E4136A7" w14:textId="77777777" w:rsidR="00956EF4" w:rsidRPr="00956EF4" w:rsidRDefault="00956EF4" w:rsidP="00956EF4">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In der Quanteninformationstheorie: Informationszuweisungen an Zustände (z. B. über Dichtematrizen oder Wellenfunktionen) sind konzeptionell verwandt mit funktionalen Zuweisungsstrukturen [26].</w:t>
      </w:r>
    </w:p>
    <w:p w14:paraId="06DA81A8" w14:textId="77777777" w:rsidR="00956EF4" w:rsidRPr="00956EF4" w:rsidRDefault="00956EF4" w:rsidP="00956EF4">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In der Kategorientheorie und Toposphysik: Die Sichtweise, dass Bedeutungen morphisch (also beziehungsbezogen) sind, ist zentral für moderne strukturalistische Formalisierungen physikalischer Theorien [27].</w:t>
      </w:r>
    </w:p>
    <w:p w14:paraId="07ACCD78" w14:textId="77777777" w:rsidR="00956EF4" w:rsidRPr="00956EF4" w:rsidRDefault="00956EF4" w:rsidP="00956EF4">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In der Systemtheorie und Kybernetik: Die iterative Konstruktion komplexer Zustände aus einfachen Ausgangszuständen ist methodisch anschlussfähig an autopoietische und systemische Modellansätze [28].</w:t>
      </w:r>
    </w:p>
    <w:p w14:paraId="0B533A5B"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lastRenderedPageBreak/>
        <w:t>Diese Anschlussfähigkeit zeigt, dass die funktionale Modellierung nicht im luftleeren Raum schwebt, sondern auf bestehenden theoretischen Konzepten aufbaut und diese auf neue Weise interpretiert.</w:t>
      </w:r>
    </w:p>
    <w:p w14:paraId="12F26CA9"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956EF4">
        <w:rPr>
          <w:rFonts w:ascii="Arial" w:eastAsia="Times New Roman" w:hAnsi="Arial" w:cs="Arial"/>
          <w:b/>
          <w:bCs/>
          <w:color w:val="18181B"/>
          <w:sz w:val="24"/>
          <w:szCs w:val="24"/>
          <w:lang w:eastAsia="de-DE"/>
        </w:rPr>
        <w:t>4.6.3 Weiterentwicklung: Von der funktionalen Modellierung zur funktionalen Physik?</w:t>
      </w:r>
    </w:p>
    <w:p w14:paraId="793F3A53"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Ein langfristiges Ziel könnte darin bestehen, die funktionale Modellierung nicht nur als didaktisch-methodisches Werkzeug, sondern als alternatives Theorieformat physikalischer Beschreibung weiterzuentwickeln – gewissermaßen als „funktionale Physik“. Dazu wären u. a. folgende Schritte notwendig:</w:t>
      </w:r>
    </w:p>
    <w:p w14:paraId="09AD856E" w14:textId="77777777" w:rsidR="00956EF4" w:rsidRPr="00956EF4" w:rsidRDefault="00956EF4" w:rsidP="00956EF4">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Formale Fundierung: Entwicklung einer axiomatisch konsistenten Beschreibungssprache für Zuweisungsstrukturen.</w:t>
      </w:r>
    </w:p>
    <w:p w14:paraId="60E4896D" w14:textId="77777777" w:rsidR="00956EF4" w:rsidRPr="00956EF4" w:rsidRDefault="00956EF4" w:rsidP="00956EF4">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Erweiterung auf nicht-deterministische Systeme: Einbindung probabilistischer und quantenmechanischer Aspekte.</w:t>
      </w:r>
    </w:p>
    <w:p w14:paraId="3A790AD7" w14:textId="77777777" w:rsidR="00956EF4" w:rsidRPr="00956EF4" w:rsidRDefault="00956EF4" w:rsidP="00956EF4">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Simulation komplexer Systeme: Aufbau modularer Modellarchitekturen zur Beschreibung offener, interagierender Systeme.</w:t>
      </w:r>
    </w:p>
    <w:p w14:paraId="50A1B7B1" w14:textId="77777777" w:rsidR="00956EF4" w:rsidRPr="00956EF4" w:rsidRDefault="00956EF4" w:rsidP="00956EF4">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Epistemische Modellierung der Modellbildung selbst: Meta-Modelle, die den Prozess der Zuweisung wiederum funktional fassen.</w:t>
      </w:r>
    </w:p>
    <w:p w14:paraId="6710D61E"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Diese Weiterentwicklung würde es ermöglichen, die funktionale Modellierung auf komplexere und realitätsnähere Systeme anzuwenden.</w:t>
      </w:r>
    </w:p>
    <w:p w14:paraId="0BF32E6B"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956EF4">
        <w:rPr>
          <w:rFonts w:ascii="Arial" w:eastAsia="Times New Roman" w:hAnsi="Arial" w:cs="Arial"/>
          <w:b/>
          <w:bCs/>
          <w:color w:val="18181B"/>
          <w:sz w:val="24"/>
          <w:szCs w:val="24"/>
          <w:lang w:eastAsia="de-DE"/>
        </w:rPr>
        <w:t>4.6.4 Ausblick</w:t>
      </w:r>
    </w:p>
    <w:p w14:paraId="0B487978"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Die funktionale Modellierung bietet ein kraftvolles Instrumentarium zur Relektüre physikalischer Prozesse. Ihre Stärken liegen dort, wo Klarheit über die Entstehung physikalischer Bedeutung, über Modelltransparenz und über didaktische Nachvollziehbarkeit gefragt sind. Ihre Weiterentwicklung – sowohl formal als auch praktisch – könnte zu einer neuen Art führen, Physik zu verstehen: nicht als Lehre von Dingen, sondern als Architektur von Beziehungen [29]. Dieser Ansatz könnte dazu beitragen, die Physik zugänglicher und verständlicher zu machen und neue Perspektiven auf die Welt zu eröffnen.</w:t>
      </w:r>
    </w:p>
    <w:p w14:paraId="7668A5B7" w14:textId="77777777" w:rsidR="00956EF4" w:rsidRPr="00956EF4" w:rsidRDefault="00956EF4" w:rsidP="00956EF4">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956EF4">
        <w:rPr>
          <w:rFonts w:ascii="Arial" w:eastAsia="Times New Roman" w:hAnsi="Arial" w:cs="Arial"/>
          <w:b/>
          <w:bCs/>
          <w:color w:val="18181B"/>
          <w:sz w:val="24"/>
          <w:szCs w:val="24"/>
          <w:bdr w:val="single" w:sz="2" w:space="0" w:color="E4E4E7" w:frame="1"/>
          <w:lang w:eastAsia="de-DE"/>
        </w:rPr>
        <w:t>Literaturverzeichnis:</w:t>
      </w:r>
    </w:p>
    <w:p w14:paraId="27AA555E" w14:textId="77777777" w:rsidR="00956EF4" w:rsidRPr="00956EF4" w:rsidRDefault="00956EF4" w:rsidP="00956EF4">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[21] Morrison, M. (2015). </w:t>
      </w:r>
      <w:r w:rsidRPr="00956EF4">
        <w:rPr>
          <w:rFonts w:ascii="Arial" w:eastAsia="Times New Roman" w:hAnsi="Arial" w:cs="Arial"/>
          <w:i/>
          <w:iCs/>
          <w:color w:val="3F3F46"/>
          <w:sz w:val="24"/>
          <w:szCs w:val="24"/>
          <w:bdr w:val="single" w:sz="2" w:space="0" w:color="E4E4E7" w:frame="1"/>
          <w:lang w:eastAsia="de-DE"/>
        </w:rPr>
        <w:t>Reconstructing Reality: Models, Mathematics, and Simulation</w:t>
      </w:r>
      <w:r w:rsidRPr="00956EF4">
        <w:rPr>
          <w:rFonts w:ascii="Arial" w:eastAsia="Times New Roman" w:hAnsi="Arial" w:cs="Arial"/>
          <w:color w:val="3F3F46"/>
          <w:sz w:val="24"/>
          <w:szCs w:val="24"/>
          <w:lang w:eastAsia="de-DE"/>
        </w:rPr>
        <w:t>. Oxford University Press.</w:t>
      </w:r>
    </w:p>
    <w:p w14:paraId="4C99C29A" w14:textId="77777777" w:rsidR="00956EF4" w:rsidRPr="00956EF4" w:rsidRDefault="00956EF4" w:rsidP="00956EF4">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[22] Batterman, R. W. (2002). </w:t>
      </w:r>
      <w:r w:rsidRPr="00956EF4">
        <w:rPr>
          <w:rFonts w:ascii="Arial" w:eastAsia="Times New Roman" w:hAnsi="Arial" w:cs="Arial"/>
          <w:i/>
          <w:iCs/>
          <w:color w:val="3F3F46"/>
          <w:sz w:val="24"/>
          <w:szCs w:val="24"/>
          <w:bdr w:val="single" w:sz="2" w:space="0" w:color="E4E4E7" w:frame="1"/>
          <w:lang w:eastAsia="de-DE"/>
        </w:rPr>
        <w:t>The Devil in the Details: Asymptotic Reasoning in Explanation, Reduction, and Emergence</w:t>
      </w:r>
      <w:r w:rsidRPr="00956EF4">
        <w:rPr>
          <w:rFonts w:ascii="Arial" w:eastAsia="Times New Roman" w:hAnsi="Arial" w:cs="Arial"/>
          <w:color w:val="3F3F46"/>
          <w:sz w:val="24"/>
          <w:szCs w:val="24"/>
          <w:lang w:eastAsia="de-DE"/>
        </w:rPr>
        <w:t>. Oxford University Press.</w:t>
      </w:r>
    </w:p>
    <w:p w14:paraId="41CB646A" w14:textId="77777777" w:rsidR="00956EF4" w:rsidRPr="00956EF4" w:rsidRDefault="00956EF4" w:rsidP="00956EF4">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[23] Longino, H. E. (1990). </w:t>
      </w:r>
      <w:r w:rsidRPr="00956EF4">
        <w:rPr>
          <w:rFonts w:ascii="Arial" w:eastAsia="Times New Roman" w:hAnsi="Arial" w:cs="Arial"/>
          <w:i/>
          <w:iCs/>
          <w:color w:val="3F3F46"/>
          <w:sz w:val="24"/>
          <w:szCs w:val="24"/>
          <w:bdr w:val="single" w:sz="2" w:space="0" w:color="E4E4E7" w:frame="1"/>
          <w:lang w:eastAsia="de-DE"/>
        </w:rPr>
        <w:t>Science as Social Knowledge</w:t>
      </w:r>
      <w:r w:rsidRPr="00956EF4">
        <w:rPr>
          <w:rFonts w:ascii="Arial" w:eastAsia="Times New Roman" w:hAnsi="Arial" w:cs="Arial"/>
          <w:color w:val="3F3F46"/>
          <w:sz w:val="24"/>
          <w:szCs w:val="24"/>
          <w:lang w:eastAsia="de-DE"/>
        </w:rPr>
        <w:t>. Princeton University Press.</w:t>
      </w:r>
    </w:p>
    <w:p w14:paraId="32D80183" w14:textId="77777777" w:rsidR="00956EF4" w:rsidRPr="00956EF4" w:rsidRDefault="00956EF4" w:rsidP="00956EF4">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[24] Prigogine, I. (1980). </w:t>
      </w:r>
      <w:r w:rsidRPr="00956EF4">
        <w:rPr>
          <w:rFonts w:ascii="Arial" w:eastAsia="Times New Roman" w:hAnsi="Arial" w:cs="Arial"/>
          <w:i/>
          <w:iCs/>
          <w:color w:val="3F3F46"/>
          <w:sz w:val="24"/>
          <w:szCs w:val="24"/>
          <w:bdr w:val="single" w:sz="2" w:space="0" w:color="E4E4E7" w:frame="1"/>
          <w:lang w:eastAsia="de-DE"/>
        </w:rPr>
        <w:t>From Being to Becoming: Time and Complexity in the Physical Sciences</w:t>
      </w:r>
      <w:r w:rsidRPr="00956EF4">
        <w:rPr>
          <w:rFonts w:ascii="Arial" w:eastAsia="Times New Roman" w:hAnsi="Arial" w:cs="Arial"/>
          <w:color w:val="3F3F46"/>
          <w:sz w:val="24"/>
          <w:szCs w:val="24"/>
          <w:lang w:eastAsia="de-DE"/>
        </w:rPr>
        <w:t>. W. H. Freeman.</w:t>
      </w:r>
    </w:p>
    <w:p w14:paraId="23BED19D" w14:textId="77777777" w:rsidR="00956EF4" w:rsidRPr="00956EF4" w:rsidRDefault="00956EF4" w:rsidP="00956EF4">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[25] Rovelli, C. (2004). </w:t>
      </w:r>
      <w:r w:rsidRPr="00956EF4">
        <w:rPr>
          <w:rFonts w:ascii="Arial" w:eastAsia="Times New Roman" w:hAnsi="Arial" w:cs="Arial"/>
          <w:i/>
          <w:iCs/>
          <w:color w:val="3F3F46"/>
          <w:sz w:val="24"/>
          <w:szCs w:val="24"/>
          <w:bdr w:val="single" w:sz="2" w:space="0" w:color="E4E4E7" w:frame="1"/>
          <w:lang w:eastAsia="de-DE"/>
        </w:rPr>
        <w:t>Quantum Gravity</w:t>
      </w:r>
      <w:r w:rsidRPr="00956EF4">
        <w:rPr>
          <w:rFonts w:ascii="Arial" w:eastAsia="Times New Roman" w:hAnsi="Arial" w:cs="Arial"/>
          <w:color w:val="3F3F46"/>
          <w:sz w:val="24"/>
          <w:szCs w:val="24"/>
          <w:lang w:eastAsia="de-DE"/>
        </w:rPr>
        <w:t>. Cambridge University Press.</w:t>
      </w:r>
    </w:p>
    <w:p w14:paraId="6A7C3166" w14:textId="77777777" w:rsidR="00956EF4" w:rsidRPr="00956EF4" w:rsidRDefault="00956EF4" w:rsidP="00956EF4">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lastRenderedPageBreak/>
        <w:t>[26] Nielsen, M. A., &amp; Chuang, I. L. (2010). </w:t>
      </w:r>
      <w:r w:rsidRPr="00956EF4">
        <w:rPr>
          <w:rFonts w:ascii="Arial" w:eastAsia="Times New Roman" w:hAnsi="Arial" w:cs="Arial"/>
          <w:i/>
          <w:iCs/>
          <w:color w:val="3F3F46"/>
          <w:sz w:val="24"/>
          <w:szCs w:val="24"/>
          <w:bdr w:val="single" w:sz="2" w:space="0" w:color="E4E4E7" w:frame="1"/>
          <w:lang w:eastAsia="de-DE"/>
        </w:rPr>
        <w:t>Quantum Computation and Quantum Information</w:t>
      </w:r>
      <w:r w:rsidRPr="00956EF4">
        <w:rPr>
          <w:rFonts w:ascii="Arial" w:eastAsia="Times New Roman" w:hAnsi="Arial" w:cs="Arial"/>
          <w:color w:val="3F3F46"/>
          <w:sz w:val="24"/>
          <w:szCs w:val="24"/>
          <w:lang w:eastAsia="de-DE"/>
        </w:rPr>
        <w:t>. Cambridge University Press.</w:t>
      </w:r>
    </w:p>
    <w:p w14:paraId="39800D31" w14:textId="77777777" w:rsidR="00956EF4" w:rsidRPr="00956EF4" w:rsidRDefault="00956EF4" w:rsidP="00956EF4">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[27] Baez, J. C., &amp; Stay, M. (2018). </w:t>
      </w:r>
      <w:r w:rsidRPr="00956EF4">
        <w:rPr>
          <w:rFonts w:ascii="Arial" w:eastAsia="Times New Roman" w:hAnsi="Arial" w:cs="Arial"/>
          <w:i/>
          <w:iCs/>
          <w:color w:val="3F3F46"/>
          <w:sz w:val="24"/>
          <w:szCs w:val="24"/>
          <w:bdr w:val="single" w:sz="2" w:space="0" w:color="E4E4E7" w:frame="1"/>
          <w:lang w:eastAsia="de-DE"/>
        </w:rPr>
        <w:t>An Invitation to Quantum Field Theory</w:t>
      </w:r>
      <w:r w:rsidRPr="00956EF4">
        <w:rPr>
          <w:rFonts w:ascii="Arial" w:eastAsia="Times New Roman" w:hAnsi="Arial" w:cs="Arial"/>
          <w:color w:val="3F3F46"/>
          <w:sz w:val="24"/>
          <w:szCs w:val="24"/>
          <w:lang w:eastAsia="de-DE"/>
        </w:rPr>
        <w:t>. American Mathematical Society.</w:t>
      </w:r>
    </w:p>
    <w:p w14:paraId="0086E34D" w14:textId="77777777" w:rsidR="00956EF4" w:rsidRPr="00956EF4" w:rsidRDefault="00956EF4" w:rsidP="00956EF4">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[28] Capra, F., &amp; Luisi, P. L. (2014). </w:t>
      </w:r>
      <w:r w:rsidRPr="00956EF4">
        <w:rPr>
          <w:rFonts w:ascii="Arial" w:eastAsia="Times New Roman" w:hAnsi="Arial" w:cs="Arial"/>
          <w:i/>
          <w:iCs/>
          <w:color w:val="3F3F46"/>
          <w:sz w:val="24"/>
          <w:szCs w:val="24"/>
          <w:bdr w:val="single" w:sz="2" w:space="0" w:color="E4E4E7" w:frame="1"/>
          <w:lang w:eastAsia="de-DE"/>
        </w:rPr>
        <w:t>The Systems View of Life: A Unifying Vision</w:t>
      </w:r>
      <w:r w:rsidRPr="00956EF4">
        <w:rPr>
          <w:rFonts w:ascii="Arial" w:eastAsia="Times New Roman" w:hAnsi="Arial" w:cs="Arial"/>
          <w:color w:val="3F3F46"/>
          <w:sz w:val="24"/>
          <w:szCs w:val="24"/>
          <w:lang w:eastAsia="de-DE"/>
        </w:rPr>
        <w:t>. Cambridge University Press.</w:t>
      </w:r>
    </w:p>
    <w:p w14:paraId="51CAB3EC" w14:textId="77777777" w:rsidR="00956EF4" w:rsidRPr="00956EF4" w:rsidRDefault="00956EF4" w:rsidP="00956EF4">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956EF4">
        <w:rPr>
          <w:rFonts w:ascii="Arial" w:eastAsia="Times New Roman" w:hAnsi="Arial" w:cs="Arial"/>
          <w:color w:val="3F3F46"/>
          <w:sz w:val="24"/>
          <w:szCs w:val="24"/>
          <w:lang w:eastAsia="de-DE"/>
        </w:rPr>
        <w:t>[29] Barad, K. (2007). </w:t>
      </w:r>
      <w:r w:rsidRPr="00956EF4">
        <w:rPr>
          <w:rFonts w:ascii="Arial" w:eastAsia="Times New Roman" w:hAnsi="Arial" w:cs="Arial"/>
          <w:i/>
          <w:iCs/>
          <w:color w:val="3F3F46"/>
          <w:sz w:val="24"/>
          <w:szCs w:val="24"/>
          <w:bdr w:val="single" w:sz="2" w:space="0" w:color="E4E4E7" w:frame="1"/>
          <w:lang w:eastAsia="de-DE"/>
        </w:rPr>
        <w:t>Meeting the Universe Halfway: Quantum Physics and the Entanglement of Matter and Meaning</w:t>
      </w:r>
      <w:r w:rsidRPr="00956EF4">
        <w:rPr>
          <w:rFonts w:ascii="Arial" w:eastAsia="Times New Roman" w:hAnsi="Arial" w:cs="Arial"/>
          <w:color w:val="3F3F46"/>
          <w:sz w:val="24"/>
          <w:szCs w:val="24"/>
          <w:lang w:eastAsia="de-DE"/>
        </w:rPr>
        <w:t>. Duke University Press.</w:t>
      </w:r>
    </w:p>
    <w:p w14:paraId="33792E0D" w14:textId="77777777" w:rsidR="00956EF4" w:rsidRDefault="00956EF4"/>
    <w:sectPr w:rsidR="00956EF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C3219"/>
    <w:multiLevelType w:val="multilevel"/>
    <w:tmpl w:val="4AAE5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504589"/>
    <w:multiLevelType w:val="multilevel"/>
    <w:tmpl w:val="CDAC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F24222"/>
    <w:multiLevelType w:val="multilevel"/>
    <w:tmpl w:val="C7D2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442507"/>
    <w:multiLevelType w:val="multilevel"/>
    <w:tmpl w:val="5B06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B278CE"/>
    <w:multiLevelType w:val="multilevel"/>
    <w:tmpl w:val="8E94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9422AE"/>
    <w:multiLevelType w:val="multilevel"/>
    <w:tmpl w:val="4C3A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6401221"/>
    <w:multiLevelType w:val="multilevel"/>
    <w:tmpl w:val="42CA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8BE3D7E"/>
    <w:multiLevelType w:val="multilevel"/>
    <w:tmpl w:val="9CD6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96B2319"/>
    <w:multiLevelType w:val="multilevel"/>
    <w:tmpl w:val="398A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E65A01"/>
    <w:multiLevelType w:val="multilevel"/>
    <w:tmpl w:val="289A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8808F3"/>
    <w:multiLevelType w:val="multilevel"/>
    <w:tmpl w:val="F074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0844489"/>
    <w:multiLevelType w:val="multilevel"/>
    <w:tmpl w:val="F8D8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F31BF5"/>
    <w:multiLevelType w:val="multilevel"/>
    <w:tmpl w:val="845C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2"/>
  </w:num>
  <w:num w:numId="3">
    <w:abstractNumId w:val="9"/>
  </w:num>
  <w:num w:numId="4">
    <w:abstractNumId w:val="11"/>
  </w:num>
  <w:num w:numId="5">
    <w:abstractNumId w:val="6"/>
  </w:num>
  <w:num w:numId="6">
    <w:abstractNumId w:val="1"/>
  </w:num>
  <w:num w:numId="7">
    <w:abstractNumId w:val="7"/>
  </w:num>
  <w:num w:numId="8">
    <w:abstractNumId w:val="8"/>
  </w:num>
  <w:num w:numId="9">
    <w:abstractNumId w:val="4"/>
  </w:num>
  <w:num w:numId="10">
    <w:abstractNumId w:val="3"/>
  </w:num>
  <w:num w:numId="11">
    <w:abstractNumId w:val="12"/>
  </w:num>
  <w:num w:numId="12">
    <w:abstractNumId w:val="0"/>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CA4"/>
    <w:rsid w:val="00137CA4"/>
    <w:rsid w:val="0026109B"/>
    <w:rsid w:val="008871CF"/>
    <w:rsid w:val="00956EF4"/>
    <w:rsid w:val="00B758E1"/>
    <w:rsid w:val="00C954C1"/>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EE7CF"/>
  <w15:chartTrackingRefBased/>
  <w15:docId w15:val="{03C87735-6F65-40E8-A172-B9CEE79C4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137CA4"/>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137CA4"/>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137CA4"/>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137CA4"/>
    <w:rPr>
      <w:rFonts w:ascii="Times New Roman" w:eastAsia="Times New Roman" w:hAnsi="Times New Roman" w:cs="Times New Roman"/>
      <w:b/>
      <w:bCs/>
      <w:sz w:val="24"/>
      <w:szCs w:val="24"/>
      <w:lang w:eastAsia="de-DE"/>
    </w:rPr>
  </w:style>
  <w:style w:type="paragraph" w:styleId="StandardWeb">
    <w:name w:val="Normal (Web)"/>
    <w:basedOn w:val="Standard"/>
    <w:uiPriority w:val="99"/>
    <w:semiHidden/>
    <w:unhideWhenUsed/>
    <w:rsid w:val="00137CA4"/>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TMLCode">
    <w:name w:val="HTML Code"/>
    <w:basedOn w:val="Absatz-Standardschriftart"/>
    <w:uiPriority w:val="99"/>
    <w:semiHidden/>
    <w:unhideWhenUsed/>
    <w:rsid w:val="00137CA4"/>
    <w:rPr>
      <w:rFonts w:ascii="Courier New" w:eastAsia="Times New Roman" w:hAnsi="Courier New" w:cs="Courier New"/>
      <w:sz w:val="20"/>
      <w:szCs w:val="20"/>
    </w:rPr>
  </w:style>
  <w:style w:type="character" w:styleId="Fett">
    <w:name w:val="Strong"/>
    <w:basedOn w:val="Absatz-Standardschriftart"/>
    <w:uiPriority w:val="22"/>
    <w:qFormat/>
    <w:rsid w:val="00137CA4"/>
    <w:rPr>
      <w:b/>
      <w:bCs/>
    </w:rPr>
  </w:style>
  <w:style w:type="character" w:styleId="Hervorhebung">
    <w:name w:val="Emphasis"/>
    <w:basedOn w:val="Absatz-Standardschriftart"/>
    <w:uiPriority w:val="20"/>
    <w:qFormat/>
    <w:rsid w:val="00137CA4"/>
    <w:rPr>
      <w:i/>
      <w:iCs/>
    </w:rPr>
  </w:style>
  <w:style w:type="paragraph" w:styleId="Listenabsatz">
    <w:name w:val="List Paragraph"/>
    <w:basedOn w:val="Standard"/>
    <w:uiPriority w:val="34"/>
    <w:qFormat/>
    <w:rsid w:val="00C954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575741">
      <w:bodyDiv w:val="1"/>
      <w:marLeft w:val="0"/>
      <w:marRight w:val="0"/>
      <w:marTop w:val="0"/>
      <w:marBottom w:val="0"/>
      <w:divBdr>
        <w:top w:val="none" w:sz="0" w:space="0" w:color="auto"/>
        <w:left w:val="none" w:sz="0" w:space="0" w:color="auto"/>
        <w:bottom w:val="none" w:sz="0" w:space="0" w:color="auto"/>
        <w:right w:val="none" w:sz="0" w:space="0" w:color="auto"/>
      </w:divBdr>
    </w:div>
    <w:div w:id="1423185443">
      <w:bodyDiv w:val="1"/>
      <w:marLeft w:val="0"/>
      <w:marRight w:val="0"/>
      <w:marTop w:val="0"/>
      <w:marBottom w:val="0"/>
      <w:divBdr>
        <w:top w:val="none" w:sz="0" w:space="0" w:color="auto"/>
        <w:left w:val="none" w:sz="0" w:space="0" w:color="auto"/>
        <w:bottom w:val="none" w:sz="0" w:space="0" w:color="auto"/>
        <w:right w:val="none" w:sz="0" w:space="0" w:color="auto"/>
      </w:divBdr>
    </w:div>
    <w:div w:id="1452550928">
      <w:bodyDiv w:val="1"/>
      <w:marLeft w:val="0"/>
      <w:marRight w:val="0"/>
      <w:marTop w:val="0"/>
      <w:marBottom w:val="0"/>
      <w:divBdr>
        <w:top w:val="none" w:sz="0" w:space="0" w:color="auto"/>
        <w:left w:val="none" w:sz="0" w:space="0" w:color="auto"/>
        <w:bottom w:val="none" w:sz="0" w:space="0" w:color="auto"/>
        <w:right w:val="none" w:sz="0" w:space="0" w:color="auto"/>
      </w:divBdr>
    </w:div>
    <w:div w:id="1529490667">
      <w:bodyDiv w:val="1"/>
      <w:marLeft w:val="0"/>
      <w:marRight w:val="0"/>
      <w:marTop w:val="0"/>
      <w:marBottom w:val="0"/>
      <w:divBdr>
        <w:top w:val="none" w:sz="0" w:space="0" w:color="auto"/>
        <w:left w:val="none" w:sz="0" w:space="0" w:color="auto"/>
        <w:bottom w:val="none" w:sz="0" w:space="0" w:color="auto"/>
        <w:right w:val="none" w:sz="0" w:space="0" w:color="auto"/>
      </w:divBdr>
    </w:div>
    <w:div w:id="1759865469">
      <w:bodyDiv w:val="1"/>
      <w:marLeft w:val="0"/>
      <w:marRight w:val="0"/>
      <w:marTop w:val="0"/>
      <w:marBottom w:val="0"/>
      <w:divBdr>
        <w:top w:val="none" w:sz="0" w:space="0" w:color="auto"/>
        <w:left w:val="none" w:sz="0" w:space="0" w:color="auto"/>
        <w:bottom w:val="none" w:sz="0" w:space="0" w:color="auto"/>
        <w:right w:val="none" w:sz="0" w:space="0" w:color="auto"/>
      </w:divBdr>
    </w:div>
    <w:div w:id="189427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4043</Words>
  <Characters>25474</Characters>
  <Application>Microsoft Office Word</Application>
  <DocSecurity>0</DocSecurity>
  <Lines>212</Lines>
  <Paragraphs>58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2025-05-28T04:06:00Z</dcterms:created>
  <dcterms:modified xsi:type="dcterms:W3CDTF">2025-05-28T05:56:00Z</dcterms:modified>
</cp:coreProperties>
</file>