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64407" w14:textId="6E08BBD8" w:rsidR="00B77CF3" w:rsidRDefault="00B77CF3" w:rsidP="00B77CF3">
      <w:pPr>
        <w:pStyle w:val="berschrift3"/>
      </w:pPr>
      <w:r>
        <w:t xml:space="preserve">Kapitel </w:t>
      </w:r>
      <w:r w:rsidR="00A952BE">
        <w:t>4</w:t>
      </w:r>
      <w:r>
        <w:t xml:space="preserve"> – Methodik: Funktionale Modellierung physikalischer Prozesse im erkenntnistheoretischen Kontext</w:t>
      </w:r>
    </w:p>
    <w:p w14:paraId="0CEC0463" w14:textId="11407F84" w:rsidR="00B77CF3" w:rsidRPr="00B77CF3" w:rsidRDefault="00A952BE" w:rsidP="00B77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Pr>
          <w:rFonts w:ascii="Times New Roman" w:eastAsia="Times New Roman" w:hAnsi="Times New Roman" w:cs="Times New Roman"/>
          <w:b/>
          <w:bCs/>
          <w:sz w:val="27"/>
          <w:szCs w:val="27"/>
          <w:lang w:eastAsia="de-DE"/>
        </w:rPr>
        <w:t>4.</w:t>
      </w:r>
      <w:r w:rsidR="00B77CF3" w:rsidRPr="00B77CF3">
        <w:rPr>
          <w:rFonts w:ascii="Times New Roman" w:eastAsia="Times New Roman" w:hAnsi="Times New Roman" w:cs="Times New Roman"/>
          <w:b/>
          <w:bCs/>
          <w:sz w:val="27"/>
          <w:szCs w:val="27"/>
          <w:lang w:eastAsia="de-DE"/>
        </w:rPr>
        <w:t>1 Grundidee und erkenntnistheoretische Verankerung der funktionalen Modellierung</w:t>
      </w:r>
    </w:p>
    <w:p w14:paraId="5571029C"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 funktionale Modellierung physikalischer Prozesse stellt einen paradigmatischen Perspektivwechsel gegenüber klassischen, objektorientierten Modellansätzen dar. Ausgangspunkt ist die fundamentale Annahme, dass physikalische Größen – wie Zeit, Raum, Geschwindigkeit oder Energie – nicht als ontologische Gegebenheiten vorausgesetzt werden, sondern durch systematische Funktionszuweisungen innerhalb eines bedeutungslosen Ausgangszustands konstruiert werden.</w:t>
      </w:r>
    </w:p>
    <w:p w14:paraId="6B7E00CC"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Herangehensweise ist erkenntnistheoretisch radikal konstruktivistisch verankert: Das physikalische Modell ist kein Abbild einer vorausgesetzten Realität, sondern ein Ergebnis iterativer Bedeutungszuschreibungen durch ein beobachtendes Subjekt innerhalb eines gewählten Bezugssystems. Die physikalische Welt entsteht nicht </w:t>
      </w:r>
      <w:r w:rsidRPr="00B77CF3">
        <w:rPr>
          <w:rFonts w:ascii="Times New Roman" w:eastAsia="Times New Roman" w:hAnsi="Times New Roman" w:cs="Times New Roman"/>
          <w:i/>
          <w:iCs/>
          <w:sz w:val="24"/>
          <w:szCs w:val="24"/>
          <w:lang w:eastAsia="de-DE"/>
        </w:rPr>
        <w:t>vor</w:t>
      </w:r>
      <w:r w:rsidRPr="00B77CF3">
        <w:rPr>
          <w:rFonts w:ascii="Times New Roman" w:eastAsia="Times New Roman" w:hAnsi="Times New Roman" w:cs="Times New Roman"/>
          <w:sz w:val="24"/>
          <w:szCs w:val="24"/>
          <w:lang w:eastAsia="de-DE"/>
        </w:rPr>
        <w:t xml:space="preserve"> der Modellierung, sondern </w:t>
      </w:r>
      <w:r w:rsidRPr="00B77CF3">
        <w:rPr>
          <w:rFonts w:ascii="Times New Roman" w:eastAsia="Times New Roman" w:hAnsi="Times New Roman" w:cs="Times New Roman"/>
          <w:i/>
          <w:iCs/>
          <w:sz w:val="24"/>
          <w:szCs w:val="24"/>
          <w:lang w:eastAsia="de-DE"/>
        </w:rPr>
        <w:t>in</w:t>
      </w:r>
      <w:r w:rsidRPr="00B77CF3">
        <w:rPr>
          <w:rFonts w:ascii="Times New Roman" w:eastAsia="Times New Roman" w:hAnsi="Times New Roman" w:cs="Times New Roman"/>
          <w:sz w:val="24"/>
          <w:szCs w:val="24"/>
          <w:lang w:eastAsia="de-DE"/>
        </w:rPr>
        <w:t xml:space="preserve"> ihr.</w:t>
      </w:r>
    </w:p>
    <w:p w14:paraId="5BF1820D" w14:textId="77777777" w:rsidR="00B77CF3" w:rsidRPr="00B77CF3" w:rsidRDefault="00B77CF3"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77CF3">
        <w:rPr>
          <w:rFonts w:ascii="Times New Roman" w:eastAsia="Times New Roman" w:hAnsi="Times New Roman" w:cs="Times New Roman"/>
          <w:b/>
          <w:bCs/>
          <w:sz w:val="24"/>
          <w:szCs w:val="24"/>
          <w:lang w:eastAsia="de-DE"/>
        </w:rPr>
        <w:t>Relationale Ontologie statt objektiver Geometrie</w:t>
      </w:r>
    </w:p>
    <w:p w14:paraId="5B1714F2"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Gegensatz zur klassischen Mechanik, die auf einer absoluten Raum-Zeit-Geometrie basiert, arbeitet die funktionale Modellierung mit einer relationalen Ontologie. Physikalische Entitäten erhalten ihre Bedeutung ausschließlich über ihre Beziehungen innerhalb eines konsistenten Funktionsnetzes. Diese Sichtweise schließt an Positionen an, wie sie u. a. in der modernen Feldtheorie, der Relativitätstheorie sowie der Kategorientheorie vertreten werden, etwa in der Formulierung Baez’:</w:t>
      </w:r>
    </w:p>
    <w:p w14:paraId="1F8B7B28"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is</w:t>
      </w:r>
      <w:proofErr w:type="spellEnd"/>
      <w:r w:rsidRPr="00B77CF3">
        <w:rPr>
          <w:rFonts w:ascii="Times New Roman" w:eastAsia="Times New Roman" w:hAnsi="Times New Roman" w:cs="Times New Roman"/>
          <w:sz w:val="24"/>
          <w:szCs w:val="24"/>
          <w:lang w:eastAsia="de-DE"/>
        </w:rPr>
        <w:t xml:space="preserve"> a </w:t>
      </w:r>
      <w:proofErr w:type="spellStart"/>
      <w:r w:rsidRPr="00B77CF3">
        <w:rPr>
          <w:rFonts w:ascii="Times New Roman" w:eastAsia="Times New Roman" w:hAnsi="Times New Roman" w:cs="Times New Roman"/>
          <w:sz w:val="24"/>
          <w:szCs w:val="24"/>
          <w:lang w:eastAsia="de-DE"/>
        </w:rPr>
        <w:t>morphism</w:t>
      </w:r>
      <w:proofErr w:type="spellEnd"/>
      <w:r w:rsidRPr="00B77CF3">
        <w:rPr>
          <w:rFonts w:ascii="Times New Roman" w:eastAsia="Times New Roman" w:hAnsi="Times New Roman" w:cs="Times New Roman"/>
          <w:sz w:val="24"/>
          <w:szCs w:val="24"/>
          <w:lang w:eastAsia="de-DE"/>
        </w:rPr>
        <w:t xml:space="preserve">, not a </w:t>
      </w:r>
      <w:proofErr w:type="spellStart"/>
      <w:r w:rsidRPr="00B77CF3">
        <w:rPr>
          <w:rFonts w:ascii="Times New Roman" w:eastAsia="Times New Roman" w:hAnsi="Times New Roman" w:cs="Times New Roman"/>
          <w:sz w:val="24"/>
          <w:szCs w:val="24"/>
          <w:lang w:eastAsia="de-DE"/>
        </w:rPr>
        <w:t>location</w:t>
      </w:r>
      <w:proofErr w:type="spellEnd"/>
      <w:r w:rsidRPr="00B77CF3">
        <w:rPr>
          <w:rFonts w:ascii="Times New Roman" w:eastAsia="Times New Roman" w:hAnsi="Times New Roman" w:cs="Times New Roman"/>
          <w:sz w:val="24"/>
          <w:szCs w:val="24"/>
          <w:lang w:eastAsia="de-DE"/>
        </w:rPr>
        <w:t>.“ [4, S. 117]</w:t>
      </w:r>
    </w:p>
    <w:p w14:paraId="45006EF2"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Damit wird deutlich: Die funktionale Modellierung ersetzt die Vorstellung von physikalischen </w:t>
      </w:r>
      <w:r w:rsidRPr="00B77CF3">
        <w:rPr>
          <w:rFonts w:ascii="Times New Roman" w:eastAsia="Times New Roman" w:hAnsi="Times New Roman" w:cs="Times New Roman"/>
          <w:i/>
          <w:iCs/>
          <w:sz w:val="24"/>
          <w:szCs w:val="24"/>
          <w:lang w:eastAsia="de-DE"/>
        </w:rPr>
        <w:t>Dingen</w:t>
      </w:r>
      <w:r w:rsidRPr="00B77CF3">
        <w:rPr>
          <w:rFonts w:ascii="Times New Roman" w:eastAsia="Times New Roman" w:hAnsi="Times New Roman" w:cs="Times New Roman"/>
          <w:sz w:val="24"/>
          <w:szCs w:val="24"/>
          <w:lang w:eastAsia="de-DE"/>
        </w:rPr>
        <w:t xml:space="preserve"> durch die Beschreibung </w:t>
      </w:r>
      <w:r w:rsidRPr="00B77CF3">
        <w:rPr>
          <w:rFonts w:ascii="Times New Roman" w:eastAsia="Times New Roman" w:hAnsi="Times New Roman" w:cs="Times New Roman"/>
          <w:i/>
          <w:iCs/>
          <w:sz w:val="24"/>
          <w:szCs w:val="24"/>
          <w:lang w:eastAsia="de-DE"/>
        </w:rPr>
        <w:t>von Relationen</w:t>
      </w:r>
      <w:r w:rsidRPr="00B77CF3">
        <w:rPr>
          <w:rFonts w:ascii="Times New Roman" w:eastAsia="Times New Roman" w:hAnsi="Times New Roman" w:cs="Times New Roman"/>
          <w:sz w:val="24"/>
          <w:szCs w:val="24"/>
          <w:lang w:eastAsia="de-DE"/>
        </w:rPr>
        <w:t xml:space="preserve"> zwischen Bedeutungsträgern. Ein Initialpunkt besitzt keine Eigenschaften per se – erst durch die ihm zugewiesenen Funktionen (z. B. eine Zeitkoordinate oder eine Ortsfunktion) wird er zum physikalischen Objekt im Rahmen eines konsistenten Modells.</w:t>
      </w:r>
    </w:p>
    <w:p w14:paraId="3CAD0358" w14:textId="77777777" w:rsidR="00B77CF3" w:rsidRPr="00B77CF3" w:rsidRDefault="00B77CF3"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77CF3">
        <w:rPr>
          <w:rFonts w:ascii="Times New Roman" w:eastAsia="Times New Roman" w:hAnsi="Times New Roman" w:cs="Times New Roman"/>
          <w:b/>
          <w:bCs/>
          <w:sz w:val="24"/>
          <w:szCs w:val="24"/>
          <w:lang w:eastAsia="de-DE"/>
        </w:rPr>
        <w:t>Modellbildung als epistemischer Prozess</w:t>
      </w:r>
    </w:p>
    <w:p w14:paraId="5466211B"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In dieser Perspektive ist die Modellbildung selbst Gegenstand physikalischer Reflexion: Der Akt der Zuweisung konstituiert nicht nur das Modell, sondern auch das, was im Modell als </w:t>
      </w:r>
      <w:r w:rsidRPr="00B77CF3">
        <w:rPr>
          <w:rFonts w:ascii="Times New Roman" w:eastAsia="Times New Roman" w:hAnsi="Times New Roman" w:cs="Times New Roman"/>
          <w:i/>
          <w:iCs/>
          <w:sz w:val="24"/>
          <w:szCs w:val="24"/>
          <w:lang w:eastAsia="de-DE"/>
        </w:rPr>
        <w:t>physikalisch</w:t>
      </w:r>
      <w:r w:rsidRPr="00B77CF3">
        <w:rPr>
          <w:rFonts w:ascii="Times New Roman" w:eastAsia="Times New Roman" w:hAnsi="Times New Roman" w:cs="Times New Roman"/>
          <w:sz w:val="24"/>
          <w:szCs w:val="24"/>
          <w:lang w:eastAsia="de-DE"/>
        </w:rPr>
        <w:t xml:space="preserve"> erscheint. Krantz et al. bringen dies prägnant auf den Punkt:</w:t>
      </w:r>
    </w:p>
    <w:p w14:paraId="6D10F65A"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„Numbers </w:t>
      </w:r>
      <w:proofErr w:type="spellStart"/>
      <w:r w:rsidRPr="00B77CF3">
        <w:rPr>
          <w:rFonts w:ascii="Times New Roman" w:eastAsia="Times New Roman" w:hAnsi="Times New Roman" w:cs="Times New Roman"/>
          <w:sz w:val="24"/>
          <w:szCs w:val="24"/>
          <w:lang w:eastAsia="de-DE"/>
        </w:rPr>
        <w:t>acquire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only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within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context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of</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mappings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empirical</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structures</w:t>
      </w:r>
      <w:proofErr w:type="spellEnd"/>
      <w:r w:rsidRPr="00B77CF3">
        <w:rPr>
          <w:rFonts w:ascii="Times New Roman" w:eastAsia="Times New Roman" w:hAnsi="Times New Roman" w:cs="Times New Roman"/>
          <w:sz w:val="24"/>
          <w:szCs w:val="24"/>
          <w:lang w:eastAsia="de-DE"/>
        </w:rPr>
        <w:t>“ [1, S. 22].</w:t>
      </w:r>
    </w:p>
    <w:p w14:paraId="3EC7C9F7"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Das bedeutet: Die numerischen Ausdrücke physikalischer Größen (etwa „5 s“ oder „12 m/s²“) sind nicht unabhängig interpretierbar. Erst in Verbindung mit ihrer funktionalen Einbettung – etwa als Ableitung einer Raumfunktion – erhalten sie Bedeutung.</w:t>
      </w:r>
    </w:p>
    <w:p w14:paraId="119BD888" w14:textId="77777777" w:rsidR="00B77CF3" w:rsidRPr="00B77CF3" w:rsidRDefault="00B77CF3"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sidRPr="00B77CF3">
        <w:rPr>
          <w:rFonts w:ascii="Times New Roman" w:eastAsia="Times New Roman" w:hAnsi="Times New Roman" w:cs="Times New Roman"/>
          <w:b/>
          <w:bCs/>
          <w:sz w:val="24"/>
          <w:szCs w:val="24"/>
          <w:lang w:eastAsia="de-DE"/>
        </w:rPr>
        <w:t>Zielsetzung dieses Kapitels</w:t>
      </w:r>
    </w:p>
    <w:p w14:paraId="22CE9E0B"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lastRenderedPageBreak/>
        <w:t>Vor diesem Hintergrund verfolgt Kapitel 5 das Ziel, die Grundprinzipien der funktionalen Modellierung methodisch zu explizieren und am konkreten Beispiel des Raketenflugs zu operationalisieren. Dabei wird das Augenmerk nicht auf die Reproduktion klassischer Bewegungsgleichungen gelegt, sondern auf die systematische Struktur der Zuweisungen, die diese Gleichungen im funktionalen Kontext emergieren lassen.</w:t>
      </w:r>
    </w:p>
    <w:p w14:paraId="28ADCE3B" w14:textId="32115974" w:rsidR="00B77CF3" w:rsidRDefault="00A952BE" w:rsidP="00B77CF3">
      <w:pPr>
        <w:pStyle w:val="berschrift3"/>
      </w:pPr>
      <w:r>
        <w:t>4.</w:t>
      </w:r>
      <w:r w:rsidR="00B77CF3">
        <w:t>2 Epistemologischer Rahmen und Zielsetzung der funktionalen Modellbildung</w:t>
      </w:r>
    </w:p>
    <w:p w14:paraId="2ECD6688" w14:textId="77777777" w:rsidR="00B77CF3" w:rsidRDefault="00B77CF3" w:rsidP="00B77CF3">
      <w:pPr>
        <w:pStyle w:val="StandardWeb"/>
      </w:pPr>
      <w:r>
        <w:t>Die funktionale Modellierung physikalischer Prozesse basiert auf einem erkenntnistheoretischen Zugang, der physikalisches Wissen nicht als Entdeckung einer objektiv vorhandenen Wirklichkeit, sondern als Ergebnis strukturierter Zuweisungsvorgänge versteht. In dieser Perspektive sind Größen wie Zeit, Raum, Geschwindigkeit oder Energie nicht ontologisch gegeben, sondern entstehen als Produkte epistemischer Operationen innerhalb eines gewählten Bezugssystems.</w:t>
      </w:r>
    </w:p>
    <w:p w14:paraId="18E3329F" w14:textId="77777777" w:rsidR="00B77CF3" w:rsidRDefault="00B77CF3" w:rsidP="00B77CF3">
      <w:pPr>
        <w:pStyle w:val="berschrift4"/>
      </w:pPr>
      <w:r>
        <w:t>Abkehr vom ontologischen Realismus</w:t>
      </w:r>
    </w:p>
    <w:p w14:paraId="5F19AE9D" w14:textId="77777777" w:rsidR="00B77CF3" w:rsidRDefault="00B77CF3" w:rsidP="00B77CF3">
      <w:pPr>
        <w:pStyle w:val="StandardWeb"/>
      </w:pPr>
      <w:r>
        <w:t>Traditionelle physikalische Modellbildung beruht oft implizit auf einem realistischen Paradigma: Die Welt existiert unabhängig vom Beobachter, und physikalische Modelle dienen dazu, diese Realität möglichst genau abzubilden. Die funktionale Modellierung dagegen stellt diesen Anspruch bewusst infrage. Sie geht davon aus, dass physikalische Begriffe und Strukturen erst im Vollzug der Modellierung konstituiert werden – durch Akte der Bedeutungszuschreibung.</w:t>
      </w:r>
    </w:p>
    <w:p w14:paraId="774CA75B" w14:textId="77777777" w:rsidR="00B77CF3" w:rsidRDefault="00B77CF3" w:rsidP="00B77CF3">
      <w:pPr>
        <w:pStyle w:val="StandardWeb"/>
      </w:pPr>
      <w:r>
        <w:t xml:space="preserve">In Anlehnung an den erkenntnistheoretischen Konstruktivismus (vgl. von </w:t>
      </w:r>
      <w:proofErr w:type="spellStart"/>
      <w:r>
        <w:t>Glasersfeld</w:t>
      </w:r>
      <w:proofErr w:type="spellEnd"/>
      <w:r>
        <w:t xml:space="preserve">, Piaget) wird der Akt der Modellbildung nicht als passives Abbilden, sondern als aktives Strukturieren verstanden. Das bedeutet: Das Modell ist nicht </w:t>
      </w:r>
      <w:r>
        <w:rPr>
          <w:rStyle w:val="Hervorhebung"/>
        </w:rPr>
        <w:t>richtig</w:t>
      </w:r>
      <w:r>
        <w:t xml:space="preserve"> oder </w:t>
      </w:r>
      <w:r>
        <w:rPr>
          <w:rStyle w:val="Hervorhebung"/>
        </w:rPr>
        <w:t>falsch</w:t>
      </w:r>
      <w:r>
        <w:t xml:space="preserve"> </w:t>
      </w:r>
      <w:proofErr w:type="spellStart"/>
      <w:r>
        <w:t>im</w:t>
      </w:r>
      <w:proofErr w:type="spellEnd"/>
      <w:r>
        <w:t xml:space="preserve"> Bezug auf eine externe Realität, sondern </w:t>
      </w:r>
      <w:r>
        <w:rPr>
          <w:rStyle w:val="Hervorhebung"/>
        </w:rPr>
        <w:t>kohärent</w:t>
      </w:r>
      <w:r>
        <w:t xml:space="preserve"> oder </w:t>
      </w:r>
      <w:r>
        <w:rPr>
          <w:rStyle w:val="Hervorhebung"/>
        </w:rPr>
        <w:t>inkohärent</w:t>
      </w:r>
      <w:r>
        <w:t xml:space="preserve"> im Hinblick auf die intern gesetzten Zuweisungsregeln.</w:t>
      </w:r>
    </w:p>
    <w:p w14:paraId="52BD4498" w14:textId="77777777" w:rsidR="00B77CF3" w:rsidRDefault="00B77CF3" w:rsidP="00B77CF3">
      <w:pPr>
        <w:pStyle w:val="berschrift4"/>
      </w:pPr>
      <w:r>
        <w:t>Bedeutung als Relation – nicht als Eigenschaft</w:t>
      </w:r>
    </w:p>
    <w:p w14:paraId="41FD62D8" w14:textId="77777777" w:rsidR="00B77CF3" w:rsidRDefault="00B77CF3" w:rsidP="00B77CF3">
      <w:pPr>
        <w:pStyle w:val="StandardWeb"/>
      </w:pPr>
      <w:r>
        <w:t>Zentrale Annahme ist, dass jede physikalische Größe nur innerhalb eines funktionalen Zusammenhangs Bedeutung erhält. Zahlenwerte ohne kontextgebundene Zuweisung sind leer – sie tragen keine physikalische Information. Dies unterstreichen Krantz et al. in ihrer Theorie des Messens:</w:t>
      </w:r>
    </w:p>
    <w:p w14:paraId="30C5DA54" w14:textId="77777777" w:rsidR="00B77CF3" w:rsidRDefault="00B77CF3" w:rsidP="00B77CF3">
      <w:pPr>
        <w:pStyle w:val="StandardWeb"/>
      </w:pPr>
      <w:r>
        <w:t xml:space="preserve">„Numbers </w:t>
      </w:r>
      <w:proofErr w:type="spellStart"/>
      <w:r>
        <w:t>acquire</w:t>
      </w:r>
      <w:proofErr w:type="spellEnd"/>
      <w:r>
        <w:t xml:space="preserve"> </w:t>
      </w:r>
      <w:proofErr w:type="spellStart"/>
      <w:r>
        <w:t>meaning</w:t>
      </w:r>
      <w:proofErr w:type="spellEnd"/>
      <w:r>
        <w:t xml:space="preserve"> </w:t>
      </w:r>
      <w:proofErr w:type="spellStart"/>
      <w:r>
        <w:t>only</w:t>
      </w:r>
      <w:proofErr w:type="spellEnd"/>
      <w:r>
        <w:t xml:space="preserve"> </w:t>
      </w:r>
      <w:proofErr w:type="spellStart"/>
      <w:r>
        <w:t>within</w:t>
      </w:r>
      <w:proofErr w:type="spellEnd"/>
      <w:r>
        <w:t xml:space="preserve"> </w:t>
      </w:r>
      <w:proofErr w:type="spellStart"/>
      <w:r>
        <w:t>the</w:t>
      </w:r>
      <w:proofErr w:type="spellEnd"/>
      <w:r>
        <w:t xml:space="preserve"> </w:t>
      </w:r>
      <w:proofErr w:type="spellStart"/>
      <w:r>
        <w:t>context</w:t>
      </w:r>
      <w:proofErr w:type="spellEnd"/>
      <w:r>
        <w:t xml:space="preserve"> </w:t>
      </w:r>
      <w:proofErr w:type="spellStart"/>
      <w:r>
        <w:t>of</w:t>
      </w:r>
      <w:proofErr w:type="spellEnd"/>
      <w:r>
        <w:t xml:space="preserve"> </w:t>
      </w:r>
      <w:proofErr w:type="spellStart"/>
      <w:r>
        <w:t>mappings</w:t>
      </w:r>
      <w:proofErr w:type="spellEnd"/>
      <w:r>
        <w:t xml:space="preserve"> </w:t>
      </w:r>
      <w:proofErr w:type="spellStart"/>
      <w:r>
        <w:t>to</w:t>
      </w:r>
      <w:proofErr w:type="spellEnd"/>
      <w:r>
        <w:t xml:space="preserve"> </w:t>
      </w:r>
      <w:proofErr w:type="spellStart"/>
      <w:r>
        <w:t>empirical</w:t>
      </w:r>
      <w:proofErr w:type="spellEnd"/>
      <w:r>
        <w:t xml:space="preserve"> </w:t>
      </w:r>
      <w:proofErr w:type="spellStart"/>
      <w:r>
        <w:t>structures</w:t>
      </w:r>
      <w:proofErr w:type="spellEnd"/>
      <w:r>
        <w:t>.“ [1, S. 22]</w:t>
      </w:r>
    </w:p>
    <w:p w14:paraId="31558489" w14:textId="77777777" w:rsidR="00B77CF3" w:rsidRDefault="00B77CF3" w:rsidP="00B77CF3">
      <w:pPr>
        <w:pStyle w:val="StandardWeb"/>
      </w:pPr>
      <w:r>
        <w:t>In der funktionalen Modellierung wird diese Idee konsequent weitergeführt: Die Bedeutung einer Größe ist nicht an ein Objekt gekoppelt, sondern an ihre Rolle innerhalb einer Funktionsstruktur. So wird etwa „Zeit“ nicht als absoluter Parameter angenommen, sondern als Ergebnis einer ersten Zuweisung an einen strukturfreien Initialpunkt. Erst in der iterativen Weiterführung dieser Zuweisung (z. B. über Raumfunktionen, Ableitungen, Energieverteilungen) entsteht ein physikalisch interpretierbares Modell.</w:t>
      </w:r>
    </w:p>
    <w:p w14:paraId="38CA4234" w14:textId="77777777" w:rsidR="00B77CF3" w:rsidRDefault="00B77CF3" w:rsidP="00B77CF3">
      <w:pPr>
        <w:pStyle w:val="berschrift4"/>
      </w:pPr>
      <w:r>
        <w:t>Zielsetzung des Kapitels</w:t>
      </w:r>
    </w:p>
    <w:p w14:paraId="425A94D7" w14:textId="77777777" w:rsidR="00B77CF3" w:rsidRDefault="00B77CF3" w:rsidP="00B77CF3">
      <w:pPr>
        <w:pStyle w:val="StandardWeb"/>
      </w:pPr>
      <w:r>
        <w:lastRenderedPageBreak/>
        <w:t>Vor diesem erkenntnistheoretischen Hintergrund verfolgt Kapitel 5 das Ziel, den vollständigen Prozess funktionaler Modellbildung exemplarisch darzustellen – nicht als Algorithmus zur Lösung von Bewegungsgleichungen, sondern als Reflexionsinstrument für die Struktur von physikalischem Wissen. Die zentrale Fragestellung lautet dabei:</w:t>
      </w:r>
    </w:p>
    <w:p w14:paraId="280CCEAE" w14:textId="77777777" w:rsidR="00B77CF3" w:rsidRDefault="00B77CF3" w:rsidP="00B77CF3">
      <w:pPr>
        <w:pStyle w:val="StandardWeb"/>
      </w:pPr>
      <w:r>
        <w:rPr>
          <w:rStyle w:val="Hervorhebung"/>
        </w:rPr>
        <w:t>Wie entsteht physikalische Bedeutung aus strukturloser Ausgangslage durch systematische Zuweisung?</w:t>
      </w:r>
    </w:p>
    <w:p w14:paraId="0E61A322" w14:textId="76410A7E" w:rsidR="00B77CF3" w:rsidRDefault="00B77CF3" w:rsidP="00B77CF3">
      <w:pPr>
        <w:pStyle w:val="StandardWeb"/>
      </w:pPr>
      <w:r>
        <w:t>Um diese Frage zu beantworten, wird im folgenden Abschnitt (</w:t>
      </w:r>
      <w:r w:rsidR="00A952BE">
        <w:t>4.</w:t>
      </w:r>
      <w:r>
        <w:t>3) das Beispiel des ballistischen Raketenflugs herangezogen. Es dient als anschauliches Szenario, um die iterative Bedeutungsbildung – von der Zeitfunktion über die Bewegung bis hin zur Energieverteilung – methodisch und mathematisch greifbar zu machen.</w:t>
      </w:r>
    </w:p>
    <w:p w14:paraId="60AB56F4" w14:textId="02A5F655" w:rsidR="00B77CF3" w:rsidRPr="00B77CF3" w:rsidRDefault="00A952BE" w:rsidP="00B77CF3">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bookmarkStart w:id="0" w:name="_Hlk199311428"/>
      <w:r>
        <w:rPr>
          <w:rFonts w:ascii="Times New Roman" w:eastAsia="Times New Roman" w:hAnsi="Times New Roman" w:cs="Times New Roman"/>
          <w:b/>
          <w:bCs/>
          <w:sz w:val="27"/>
          <w:szCs w:val="27"/>
          <w:lang w:eastAsia="de-DE"/>
        </w:rPr>
        <w:t>4.</w:t>
      </w:r>
      <w:r w:rsidR="00B77CF3" w:rsidRPr="00B77CF3">
        <w:rPr>
          <w:rFonts w:ascii="Times New Roman" w:eastAsia="Times New Roman" w:hAnsi="Times New Roman" w:cs="Times New Roman"/>
          <w:b/>
          <w:bCs/>
          <w:sz w:val="27"/>
          <w:szCs w:val="27"/>
          <w:lang w:eastAsia="de-DE"/>
        </w:rPr>
        <w:t>3 Iterative Bedeutungszuweisung am Beispiel des Raketenflugs</w:t>
      </w:r>
    </w:p>
    <w:p w14:paraId="2833B4B2"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Zur Operationalisierung der funktionalen Modellierung dient in diesem Abschnitt das Beispiel des zweidimensionalen Raketenflugs. Es bietet ein klassisches physikalisches Szenario, das sich in einem funktionalen Rahmen vollständig rekonstruieren lässt – ohne auf ontologisch vorgegebene Raum-Zeit-Strukturen zurückzugreifen. Die physikalische Beschreibung entsteht hier nicht aus einem physikalischen Weltbild, sondern durch systematische Zuweisung von Funktionen an einen anfangs bedeutungslosen Punkt im Modellraum.</w:t>
      </w:r>
    </w:p>
    <w:p w14:paraId="62A7D346" w14:textId="5F5465B0"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 xml:space="preserve">3.1 Initialpunkt und </w:t>
      </w:r>
      <w:proofErr w:type="spellStart"/>
      <w:r w:rsidR="00B77CF3" w:rsidRPr="00B77CF3">
        <w:rPr>
          <w:rFonts w:ascii="Times New Roman" w:eastAsia="Times New Roman" w:hAnsi="Times New Roman" w:cs="Times New Roman"/>
          <w:b/>
          <w:bCs/>
          <w:sz w:val="24"/>
          <w:szCs w:val="24"/>
          <w:lang w:eastAsia="de-DE"/>
        </w:rPr>
        <w:t>Temporalisierung</w:t>
      </w:r>
      <w:proofErr w:type="spellEnd"/>
    </w:p>
    <w:p w14:paraId="5B6110A0"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Ausgangspunkt des funktionalen Modells ist ein einzelner strukturfreier Punkt U</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MU \in MU</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M, der weder räumlich noch zeitlich bestimmt ist. Die erste bedeutungskonstitutive Operation besteht in der Zuweisung einer Zeitfunktion:</w:t>
      </w:r>
    </w:p>
    <w:p w14:paraId="35C7AF0E"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τ(U)=t\tau(U) = </w:t>
      </w:r>
      <w:proofErr w:type="spellStart"/>
      <w:r w:rsidRPr="00B77CF3">
        <w:rPr>
          <w:rFonts w:ascii="Times New Roman" w:eastAsia="Times New Roman" w:hAnsi="Times New Roman" w:cs="Times New Roman"/>
          <w:sz w:val="24"/>
          <w:szCs w:val="24"/>
          <w:lang w:eastAsia="de-DE"/>
        </w:rPr>
        <w:t>tτ</w:t>
      </w:r>
      <w:proofErr w:type="spellEnd"/>
      <w:r w:rsidRPr="00B77CF3">
        <w:rPr>
          <w:rFonts w:ascii="Times New Roman" w:eastAsia="Times New Roman" w:hAnsi="Times New Roman" w:cs="Times New Roman"/>
          <w:sz w:val="24"/>
          <w:szCs w:val="24"/>
          <w:lang w:eastAsia="de-DE"/>
        </w:rPr>
        <w:t xml:space="preserve">(U)=t </w:t>
      </w:r>
    </w:p>
    <w:p w14:paraId="48937943"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Zuweisung </w:t>
      </w:r>
      <w:proofErr w:type="spellStart"/>
      <w:r w:rsidRPr="00B77CF3">
        <w:rPr>
          <w:rFonts w:ascii="Times New Roman" w:eastAsia="Times New Roman" w:hAnsi="Times New Roman" w:cs="Times New Roman"/>
          <w:sz w:val="24"/>
          <w:szCs w:val="24"/>
          <w:lang w:eastAsia="de-DE"/>
        </w:rPr>
        <w:t>temporalisierter</w:t>
      </w:r>
      <w:proofErr w:type="spellEnd"/>
      <w:r w:rsidRPr="00B77CF3">
        <w:rPr>
          <w:rFonts w:ascii="Times New Roman" w:eastAsia="Times New Roman" w:hAnsi="Times New Roman" w:cs="Times New Roman"/>
          <w:sz w:val="24"/>
          <w:szCs w:val="24"/>
          <w:lang w:eastAsia="de-DE"/>
        </w:rPr>
        <w:t xml:space="preserve"> Zustände markiert den Ursprung eines dynamischen Bezugssystems. Zeit ist hier keine absolute Größe, sondern das Ergebnis einer kontextgebundenen Strukturierung durch das beobachtende Subjekt.</w:t>
      </w:r>
    </w:p>
    <w:p w14:paraId="5C9FDCA0" w14:textId="4FFF0B95"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3.2 Raumfunktionale Erweiterung</w:t>
      </w:r>
    </w:p>
    <w:p w14:paraId="7BDFC56E"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nächsten Schritt werden dem temporalen Verlauf durch weitere Funktionen räumliche Koordinaten zugewiesen. Für einen ballistischen Flugkörper im zweidimensionalen Raum lauten diese Funktionszuweisungen:</w:t>
      </w:r>
    </w:p>
    <w:p w14:paraId="52A60EF6"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x(t)=v0cos⁡(θ)</w:t>
      </w:r>
      <w:r w:rsidRPr="00B77CF3">
        <w:rPr>
          <w:rFonts w:ascii="Cambria Math" w:eastAsia="Times New Roman" w:hAnsi="Cambria Math" w:cs="Cambria Math"/>
          <w:sz w:val="24"/>
          <w:szCs w:val="24"/>
          <w:lang w:eastAsia="de-DE"/>
        </w:rPr>
        <w:t>⋅</w:t>
      </w:r>
      <w:proofErr w:type="spellStart"/>
      <w:r w:rsidRPr="00B77CF3">
        <w:rPr>
          <w:rFonts w:ascii="Times New Roman" w:eastAsia="Times New Roman" w:hAnsi="Times New Roman" w:cs="Times New Roman"/>
          <w:sz w:val="24"/>
          <w:szCs w:val="24"/>
          <w:lang w:eastAsia="de-DE"/>
        </w:rPr>
        <w:t>tx</w:t>
      </w:r>
      <w:proofErr w:type="spellEnd"/>
      <w:r w:rsidRPr="00B77CF3">
        <w:rPr>
          <w:rFonts w:ascii="Times New Roman" w:eastAsia="Times New Roman" w:hAnsi="Times New Roman" w:cs="Times New Roman"/>
          <w:sz w:val="24"/>
          <w:szCs w:val="24"/>
          <w:lang w:eastAsia="de-DE"/>
        </w:rPr>
        <w:t>(t) = v_0 \cos(\</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cdot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tx</w:t>
      </w:r>
      <w:proofErr w:type="spellEnd"/>
      <w:r w:rsidRPr="00B77CF3">
        <w:rPr>
          <w:rFonts w:ascii="Times New Roman" w:eastAsia="Times New Roman" w:hAnsi="Times New Roman" w:cs="Times New Roman"/>
          <w:sz w:val="24"/>
          <w:szCs w:val="24"/>
          <w:lang w:eastAsia="de-DE"/>
        </w:rPr>
        <w:t>(t)=v0​cos(θ)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t y(t)=v0sin⁡(θ)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t−12gt2y(t) = v_0 \sin(\</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cdot</w:t>
      </w:r>
      <w:proofErr w:type="spellEnd"/>
      <w:r w:rsidRPr="00B77CF3">
        <w:rPr>
          <w:rFonts w:ascii="Times New Roman" w:eastAsia="Times New Roman" w:hAnsi="Times New Roman" w:cs="Times New Roman"/>
          <w:sz w:val="24"/>
          <w:szCs w:val="24"/>
          <w:lang w:eastAsia="de-DE"/>
        </w:rPr>
        <w:t xml:space="preserve"> t - \</w:t>
      </w:r>
      <w:proofErr w:type="spellStart"/>
      <w:proofErr w:type="gram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1}{2} g t^2y(t)=v0​sin(θ)</w:t>
      </w:r>
      <w:r w:rsidRPr="00B77CF3">
        <w:rPr>
          <w:rFonts w:ascii="Cambria Math" w:eastAsia="Times New Roman" w:hAnsi="Cambria Math" w:cs="Cambria Math"/>
          <w:sz w:val="24"/>
          <w:szCs w:val="24"/>
          <w:lang w:eastAsia="de-DE"/>
        </w:rPr>
        <w:t>⋅</w:t>
      </w:r>
      <w:r w:rsidRPr="00B77CF3">
        <w:rPr>
          <w:rFonts w:ascii="Times New Roman" w:eastAsia="Times New Roman" w:hAnsi="Times New Roman" w:cs="Times New Roman"/>
          <w:sz w:val="24"/>
          <w:szCs w:val="24"/>
          <w:lang w:eastAsia="de-DE"/>
        </w:rPr>
        <w:t xml:space="preserve">t−21​gt2 </w:t>
      </w:r>
    </w:p>
    <w:p w14:paraId="4798D2E7"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Diese Funktionen erzeugen ein Koordinatensystem, das nicht als Abbildung eines realen Raumes interpretiert werden darf, sondern als Ergebnis einer modellinternen Zuordnung. Die Koordinaten sind „Labels“, wie </w:t>
      </w:r>
      <w:proofErr w:type="spellStart"/>
      <w:r w:rsidRPr="00B77CF3">
        <w:rPr>
          <w:rFonts w:ascii="Times New Roman" w:eastAsia="Times New Roman" w:hAnsi="Times New Roman" w:cs="Times New Roman"/>
          <w:sz w:val="24"/>
          <w:szCs w:val="24"/>
          <w:lang w:eastAsia="de-DE"/>
        </w:rPr>
        <w:t>Misner</w:t>
      </w:r>
      <w:proofErr w:type="spellEnd"/>
      <w:r w:rsidRPr="00B77CF3">
        <w:rPr>
          <w:rFonts w:ascii="Times New Roman" w:eastAsia="Times New Roman" w:hAnsi="Times New Roman" w:cs="Times New Roman"/>
          <w:sz w:val="24"/>
          <w:szCs w:val="24"/>
          <w:lang w:eastAsia="de-DE"/>
        </w:rPr>
        <w:t>, Thorne und Wheeler betonen:</w:t>
      </w:r>
    </w:p>
    <w:p w14:paraId="4CDFB219"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„The </w:t>
      </w:r>
      <w:proofErr w:type="spellStart"/>
      <w:r w:rsidRPr="00B77CF3">
        <w:rPr>
          <w:rFonts w:ascii="Times New Roman" w:eastAsia="Times New Roman" w:hAnsi="Times New Roman" w:cs="Times New Roman"/>
          <w:sz w:val="24"/>
          <w:szCs w:val="24"/>
          <w:lang w:eastAsia="de-DE"/>
        </w:rPr>
        <w:t>coordinates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labels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assigned</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events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by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observer</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they</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have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no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meaning</w:t>
      </w:r>
      <w:proofErr w:type="spellEnd"/>
      <w:r w:rsidRPr="00B77CF3">
        <w:rPr>
          <w:rFonts w:ascii="Times New Roman" w:eastAsia="Times New Roman" w:hAnsi="Times New Roman" w:cs="Times New Roman"/>
          <w:sz w:val="24"/>
          <w:szCs w:val="24"/>
          <w:lang w:eastAsia="de-DE"/>
        </w:rPr>
        <w:t xml:space="preserve"> apart </w:t>
      </w:r>
      <w:proofErr w:type="spellStart"/>
      <w:r w:rsidRPr="00B77CF3">
        <w:rPr>
          <w:rFonts w:ascii="Times New Roman" w:eastAsia="Times New Roman" w:hAnsi="Times New Roman" w:cs="Times New Roman"/>
          <w:sz w:val="24"/>
          <w:szCs w:val="24"/>
          <w:lang w:eastAsia="de-DE"/>
        </w:rPr>
        <w:t>from</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rules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that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physical</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quantities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them</w:t>
      </w:r>
      <w:proofErr w:type="spellEnd"/>
      <w:r w:rsidRPr="00B77CF3">
        <w:rPr>
          <w:rFonts w:ascii="Times New Roman" w:eastAsia="Times New Roman" w:hAnsi="Times New Roman" w:cs="Times New Roman"/>
          <w:sz w:val="24"/>
          <w:szCs w:val="24"/>
          <w:lang w:eastAsia="de-DE"/>
        </w:rPr>
        <w:t>.“ [2, S. 396]</w:t>
      </w:r>
    </w:p>
    <w:p w14:paraId="3CC03C2E" w14:textId="7F7332D9"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3.3 Dynamische Struktur durch Ableitung</w:t>
      </w:r>
    </w:p>
    <w:p w14:paraId="35D1750C"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lastRenderedPageBreak/>
        <w:t>Aus den primären Raumfunktionen werden durch Ableitungsoperationen dynamische Größen wie Geschwindigkeit und Beschleunigung gewonnen:</w:t>
      </w:r>
    </w:p>
    <w:p w14:paraId="3F841A03"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(t)=x˙(t)=v0cos⁡(θ),</w:t>
      </w:r>
      <w:proofErr w:type="spellStart"/>
      <w:r w:rsidRPr="00B77CF3">
        <w:rPr>
          <w:rFonts w:ascii="Times New Roman" w:eastAsia="Times New Roman" w:hAnsi="Times New Roman" w:cs="Times New Roman"/>
          <w:sz w:val="24"/>
          <w:szCs w:val="24"/>
          <w:lang w:eastAsia="de-DE"/>
        </w:rPr>
        <w:t>vy</w:t>
      </w:r>
      <w:proofErr w:type="spellEnd"/>
      <w:r w:rsidRPr="00B77CF3">
        <w:rPr>
          <w:rFonts w:ascii="Times New Roman" w:eastAsia="Times New Roman" w:hAnsi="Times New Roman" w:cs="Times New Roman"/>
          <w:sz w:val="24"/>
          <w:szCs w:val="24"/>
          <w:lang w:eastAsia="de-DE"/>
        </w:rPr>
        <w:t>(t)=y˙(t)=v0sin⁡(θ)−</w:t>
      </w:r>
      <w:proofErr w:type="spellStart"/>
      <w:r w:rsidRPr="00B77CF3">
        <w:rPr>
          <w:rFonts w:ascii="Times New Roman" w:eastAsia="Times New Roman" w:hAnsi="Times New Roman" w:cs="Times New Roman"/>
          <w:sz w:val="24"/>
          <w:szCs w:val="24"/>
          <w:lang w:eastAsia="de-DE"/>
        </w:rPr>
        <w:t>gtv_x</w:t>
      </w:r>
      <w:proofErr w:type="spell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dot</w:t>
      </w:r>
      <w:proofErr w:type="spellEnd"/>
      <w:r w:rsidRPr="00B77CF3">
        <w:rPr>
          <w:rFonts w:ascii="Times New Roman" w:eastAsia="Times New Roman" w:hAnsi="Times New Roman" w:cs="Times New Roman"/>
          <w:sz w:val="24"/>
          <w:szCs w:val="24"/>
          <w:lang w:eastAsia="de-DE"/>
        </w:rPr>
        <w:t>{x}(t) = v_0 \cos(\</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w:t>
      </w:r>
      <w:proofErr w:type="spellStart"/>
      <w:r w:rsidRPr="00B77CF3">
        <w:rPr>
          <w:rFonts w:ascii="Times New Roman" w:eastAsia="Times New Roman" w:hAnsi="Times New Roman" w:cs="Times New Roman"/>
          <w:sz w:val="24"/>
          <w:szCs w:val="24"/>
          <w:lang w:eastAsia="de-DE"/>
        </w:rPr>
        <w:t>quad</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v_y</w:t>
      </w:r>
      <w:proofErr w:type="spell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dot</w:t>
      </w:r>
      <w:proofErr w:type="spellEnd"/>
      <w:r w:rsidRPr="00B77CF3">
        <w:rPr>
          <w:rFonts w:ascii="Times New Roman" w:eastAsia="Times New Roman" w:hAnsi="Times New Roman" w:cs="Times New Roman"/>
          <w:sz w:val="24"/>
          <w:szCs w:val="24"/>
          <w:lang w:eastAsia="de-DE"/>
        </w:rPr>
        <w:t>{y}(t) = v_0 \sin(\</w:t>
      </w:r>
      <w:proofErr w:type="spellStart"/>
      <w:r w:rsidRPr="00B77CF3">
        <w:rPr>
          <w:rFonts w:ascii="Times New Roman" w:eastAsia="Times New Roman" w:hAnsi="Times New Roman" w:cs="Times New Roman"/>
          <w:sz w:val="24"/>
          <w:szCs w:val="24"/>
          <w:lang w:eastAsia="de-DE"/>
        </w:rPr>
        <w:t>theta</w:t>
      </w:r>
      <w:proofErr w:type="spellEnd"/>
      <w:r w:rsidRPr="00B77CF3">
        <w:rPr>
          <w:rFonts w:ascii="Times New Roman" w:eastAsia="Times New Roman" w:hAnsi="Times New Roman" w:cs="Times New Roman"/>
          <w:sz w:val="24"/>
          <w:szCs w:val="24"/>
          <w:lang w:eastAsia="de-DE"/>
        </w:rPr>
        <w:t xml:space="preserve">) - g </w:t>
      </w:r>
      <w:proofErr w:type="spellStart"/>
      <w:r w:rsidRPr="00B77CF3">
        <w:rPr>
          <w:rFonts w:ascii="Times New Roman" w:eastAsia="Times New Roman" w:hAnsi="Times New Roman" w:cs="Times New Roman"/>
          <w:sz w:val="24"/>
          <w:szCs w:val="24"/>
          <w:lang w:eastAsia="de-DE"/>
        </w:rPr>
        <w:t>tvx</w:t>
      </w:r>
      <w:proofErr w:type="spellEnd"/>
      <w:r w:rsidRPr="00B77CF3">
        <w:rPr>
          <w:rFonts w:ascii="Times New Roman" w:eastAsia="Times New Roman" w:hAnsi="Times New Roman" w:cs="Times New Roman"/>
          <w:sz w:val="24"/>
          <w:szCs w:val="24"/>
          <w:lang w:eastAsia="de-DE"/>
        </w:rPr>
        <w:t>​(t)=x˙(t)=v0​cos(θ),</w:t>
      </w:r>
      <w:proofErr w:type="spellStart"/>
      <w:r w:rsidRPr="00B77CF3">
        <w:rPr>
          <w:rFonts w:ascii="Times New Roman" w:eastAsia="Times New Roman" w:hAnsi="Times New Roman" w:cs="Times New Roman"/>
          <w:sz w:val="24"/>
          <w:szCs w:val="24"/>
          <w:lang w:eastAsia="de-DE"/>
        </w:rPr>
        <w:t>vy</w:t>
      </w:r>
      <w:proofErr w:type="spellEnd"/>
      <w:r w:rsidRPr="00B77CF3">
        <w:rPr>
          <w:rFonts w:ascii="Times New Roman" w:eastAsia="Times New Roman" w:hAnsi="Times New Roman" w:cs="Times New Roman"/>
          <w:sz w:val="24"/>
          <w:szCs w:val="24"/>
          <w:lang w:eastAsia="de-DE"/>
        </w:rPr>
        <w:t>​(t)=y˙​(t)=v0​sin(θ)−</w:t>
      </w:r>
      <w:proofErr w:type="spellStart"/>
      <w:r w:rsidRPr="00B77CF3">
        <w:rPr>
          <w:rFonts w:ascii="Times New Roman" w:eastAsia="Times New Roman" w:hAnsi="Times New Roman" w:cs="Times New Roman"/>
          <w:sz w:val="24"/>
          <w:szCs w:val="24"/>
          <w:lang w:eastAsia="de-DE"/>
        </w:rPr>
        <w:t>gt</w:t>
      </w:r>
      <w:proofErr w:type="spellEnd"/>
      <w:r w:rsidRPr="00B77CF3">
        <w:rPr>
          <w:rFonts w:ascii="Times New Roman" w:eastAsia="Times New Roman" w:hAnsi="Times New Roman" w:cs="Times New Roman"/>
          <w:sz w:val="24"/>
          <w:szCs w:val="24"/>
          <w:lang w:eastAsia="de-DE"/>
        </w:rPr>
        <w:t xml:space="preserve"> v(t)=</w:t>
      </w: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(t)2+vy(t)2v(t) = \</w:t>
      </w:r>
      <w:proofErr w:type="spellStart"/>
      <w:r w:rsidRPr="00B77CF3">
        <w:rPr>
          <w:rFonts w:ascii="Times New Roman" w:eastAsia="Times New Roman" w:hAnsi="Times New Roman" w:cs="Times New Roman"/>
          <w:sz w:val="24"/>
          <w:szCs w:val="24"/>
          <w:lang w:eastAsia="de-DE"/>
        </w:rPr>
        <w:t>sqrt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v_x</w:t>
      </w:r>
      <w:proofErr w:type="spellEnd"/>
      <w:r w:rsidRPr="00B77CF3">
        <w:rPr>
          <w:rFonts w:ascii="Times New Roman" w:eastAsia="Times New Roman" w:hAnsi="Times New Roman" w:cs="Times New Roman"/>
          <w:sz w:val="24"/>
          <w:szCs w:val="24"/>
          <w:lang w:eastAsia="de-DE"/>
        </w:rPr>
        <w:t xml:space="preserve">(t)^2 + </w:t>
      </w:r>
      <w:proofErr w:type="spellStart"/>
      <w:r w:rsidRPr="00B77CF3">
        <w:rPr>
          <w:rFonts w:ascii="Times New Roman" w:eastAsia="Times New Roman" w:hAnsi="Times New Roman" w:cs="Times New Roman"/>
          <w:sz w:val="24"/>
          <w:szCs w:val="24"/>
          <w:lang w:eastAsia="de-DE"/>
        </w:rPr>
        <w:t>v_y</w:t>
      </w:r>
      <w:proofErr w:type="spellEnd"/>
      <w:r w:rsidRPr="00B77CF3">
        <w:rPr>
          <w:rFonts w:ascii="Times New Roman" w:eastAsia="Times New Roman" w:hAnsi="Times New Roman" w:cs="Times New Roman"/>
          <w:sz w:val="24"/>
          <w:szCs w:val="24"/>
          <w:lang w:eastAsia="de-DE"/>
        </w:rPr>
        <w:t>(t)^2}v(t)=</w:t>
      </w:r>
      <w:proofErr w:type="spellStart"/>
      <w:r w:rsidRPr="00B77CF3">
        <w:rPr>
          <w:rFonts w:ascii="Times New Roman" w:eastAsia="Times New Roman" w:hAnsi="Times New Roman" w:cs="Times New Roman"/>
          <w:sz w:val="24"/>
          <w:szCs w:val="24"/>
          <w:lang w:eastAsia="de-DE"/>
        </w:rPr>
        <w:t>vx</w:t>
      </w:r>
      <w:proofErr w:type="spellEnd"/>
      <w:r w:rsidRPr="00B77CF3">
        <w:rPr>
          <w:rFonts w:ascii="Times New Roman" w:eastAsia="Times New Roman" w:hAnsi="Times New Roman" w:cs="Times New Roman"/>
          <w:sz w:val="24"/>
          <w:szCs w:val="24"/>
          <w:lang w:eastAsia="de-DE"/>
        </w:rPr>
        <w:t xml:space="preserve">​(t)2+vy​(t)2​ </w:t>
      </w:r>
    </w:p>
    <w:p w14:paraId="49E6B7F6"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Beschleunigung ergibt sich ebenfalls als Ableitung, ist im gegebenen Modell jedoch konstant in vertikaler Richtung:</w:t>
      </w:r>
    </w:p>
    <w:p w14:paraId="332C2E29"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proofErr w:type="spellStart"/>
      <w:r w:rsidRPr="00B77CF3">
        <w:rPr>
          <w:rFonts w:ascii="Times New Roman" w:eastAsia="Times New Roman" w:hAnsi="Times New Roman" w:cs="Times New Roman"/>
          <w:sz w:val="24"/>
          <w:szCs w:val="24"/>
          <w:lang w:eastAsia="de-DE"/>
        </w:rPr>
        <w:t>ay</w:t>
      </w:r>
      <w:proofErr w:type="spellEnd"/>
      <w:r w:rsidRPr="00B77CF3">
        <w:rPr>
          <w:rFonts w:ascii="Times New Roman" w:eastAsia="Times New Roman" w:hAnsi="Times New Roman" w:cs="Times New Roman"/>
          <w:sz w:val="24"/>
          <w:szCs w:val="24"/>
          <w:lang w:eastAsia="de-DE"/>
        </w:rPr>
        <w:t>(t)=d2ydt2=−</w:t>
      </w:r>
      <w:proofErr w:type="spellStart"/>
      <w:r w:rsidRPr="00B77CF3">
        <w:rPr>
          <w:rFonts w:ascii="Times New Roman" w:eastAsia="Times New Roman" w:hAnsi="Times New Roman" w:cs="Times New Roman"/>
          <w:sz w:val="24"/>
          <w:szCs w:val="24"/>
          <w:lang w:eastAsia="de-DE"/>
        </w:rPr>
        <w:t>ga_y</w:t>
      </w:r>
      <w:proofErr w:type="spellEnd"/>
      <w:r w:rsidRPr="00B77CF3">
        <w:rPr>
          <w:rFonts w:ascii="Times New Roman" w:eastAsia="Times New Roman" w:hAnsi="Times New Roman" w:cs="Times New Roman"/>
          <w:sz w:val="24"/>
          <w:szCs w:val="24"/>
          <w:lang w:eastAsia="de-DE"/>
        </w:rPr>
        <w:t>(t) = \</w:t>
      </w:r>
      <w:proofErr w:type="spellStart"/>
      <w:proofErr w:type="gram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 xml:space="preserve">d^2 y}{dt^2} = -gay​(t)=dt2d2y​=−g </w:t>
      </w:r>
    </w:p>
    <w:p w14:paraId="40F3B3E9"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Diese Dynamik ist nicht vorausgesetzt, sondern Resultat der zuvor getroffenen Raum- und Zeitzuweisungen. In der funktionalen Sicht entsteht Bewegung erst durch diese semantisch aufgeladenen Operationen.</w:t>
      </w:r>
    </w:p>
    <w:p w14:paraId="6049C364" w14:textId="2727C43A"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3.4 Energiezuweisung als Sekundärstruktur</w:t>
      </w:r>
    </w:p>
    <w:p w14:paraId="08D9B3B1"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Im letzten Schritt wird dem dynamischen Modell eine energetische Interpretation überlagert. Auch hier erfolgt die Bedeutungserzeugung nicht durch Beobachtung, sondern durch weitere Zuweisung:</w:t>
      </w:r>
    </w:p>
    <w:p w14:paraId="22CF310B" w14:textId="77777777" w:rsidR="00B77CF3" w:rsidRPr="00B77CF3" w:rsidRDefault="00B77CF3" w:rsidP="00B77CF3">
      <w:pPr>
        <w:spacing w:after="0"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Ekin(t)=12mv(t)2E_{\</w:t>
      </w:r>
      <w:proofErr w:type="spellStart"/>
      <w:r w:rsidRPr="00B77CF3">
        <w:rPr>
          <w:rFonts w:ascii="Times New Roman" w:eastAsia="Times New Roman" w:hAnsi="Times New Roman" w:cs="Times New Roman"/>
          <w:sz w:val="24"/>
          <w:szCs w:val="24"/>
          <w:lang w:eastAsia="de-DE"/>
        </w:rPr>
        <w:t>text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kin</w:t>
      </w:r>
      <w:proofErr w:type="spellEnd"/>
      <w:proofErr w:type="gramStart"/>
      <w:r w:rsidRPr="00B77CF3">
        <w:rPr>
          <w:rFonts w:ascii="Times New Roman" w:eastAsia="Times New Roman" w:hAnsi="Times New Roman" w:cs="Times New Roman"/>
          <w:sz w:val="24"/>
          <w:szCs w:val="24"/>
          <w:lang w:eastAsia="de-DE"/>
        </w:rPr>
        <w:t>}}(</w:t>
      </w:r>
      <w:proofErr w:type="gramEnd"/>
      <w:r w:rsidRPr="00B77CF3">
        <w:rPr>
          <w:rFonts w:ascii="Times New Roman" w:eastAsia="Times New Roman" w:hAnsi="Times New Roman" w:cs="Times New Roman"/>
          <w:sz w:val="24"/>
          <w:szCs w:val="24"/>
          <w:lang w:eastAsia="de-DE"/>
        </w:rPr>
        <w:t>t) = \</w:t>
      </w:r>
      <w:proofErr w:type="spellStart"/>
      <w:r w:rsidRPr="00B77CF3">
        <w:rPr>
          <w:rFonts w:ascii="Times New Roman" w:eastAsia="Times New Roman" w:hAnsi="Times New Roman" w:cs="Times New Roman"/>
          <w:sz w:val="24"/>
          <w:szCs w:val="24"/>
          <w:lang w:eastAsia="de-DE"/>
        </w:rPr>
        <w:t>frac</w:t>
      </w:r>
      <w:proofErr w:type="spellEnd"/>
      <w:r w:rsidRPr="00B77CF3">
        <w:rPr>
          <w:rFonts w:ascii="Times New Roman" w:eastAsia="Times New Roman" w:hAnsi="Times New Roman" w:cs="Times New Roman"/>
          <w:sz w:val="24"/>
          <w:szCs w:val="24"/>
          <w:lang w:eastAsia="de-DE"/>
        </w:rPr>
        <w:t xml:space="preserve">{1}{2} m v(t)^2Ekin​(t)=21​mv(t)2 </w:t>
      </w:r>
      <w:proofErr w:type="spellStart"/>
      <w:r w:rsidRPr="00B77CF3">
        <w:rPr>
          <w:rFonts w:ascii="Times New Roman" w:eastAsia="Times New Roman" w:hAnsi="Times New Roman" w:cs="Times New Roman"/>
          <w:sz w:val="24"/>
          <w:szCs w:val="24"/>
          <w:lang w:eastAsia="de-DE"/>
        </w:rPr>
        <w:t>Epot</w:t>
      </w:r>
      <w:proofErr w:type="spellEnd"/>
      <w:r w:rsidRPr="00B77CF3">
        <w:rPr>
          <w:rFonts w:ascii="Times New Roman" w:eastAsia="Times New Roman" w:hAnsi="Times New Roman" w:cs="Times New Roman"/>
          <w:sz w:val="24"/>
          <w:szCs w:val="24"/>
          <w:lang w:eastAsia="de-DE"/>
        </w:rPr>
        <w:t>(t)=</w:t>
      </w:r>
      <w:proofErr w:type="spellStart"/>
      <w:r w:rsidRPr="00B77CF3">
        <w:rPr>
          <w:rFonts w:ascii="Times New Roman" w:eastAsia="Times New Roman" w:hAnsi="Times New Roman" w:cs="Times New Roman"/>
          <w:sz w:val="24"/>
          <w:szCs w:val="24"/>
          <w:lang w:eastAsia="de-DE"/>
        </w:rPr>
        <w:t>mgy</w:t>
      </w:r>
      <w:proofErr w:type="spellEnd"/>
      <w:r w:rsidRPr="00B77CF3">
        <w:rPr>
          <w:rFonts w:ascii="Times New Roman" w:eastAsia="Times New Roman" w:hAnsi="Times New Roman" w:cs="Times New Roman"/>
          <w:sz w:val="24"/>
          <w:szCs w:val="24"/>
          <w:lang w:eastAsia="de-DE"/>
        </w:rPr>
        <w:t>(t)E_{\</w:t>
      </w:r>
      <w:proofErr w:type="spellStart"/>
      <w:r w:rsidRPr="00B77CF3">
        <w:rPr>
          <w:rFonts w:ascii="Times New Roman" w:eastAsia="Times New Roman" w:hAnsi="Times New Roman" w:cs="Times New Roman"/>
          <w:sz w:val="24"/>
          <w:szCs w:val="24"/>
          <w:lang w:eastAsia="de-DE"/>
        </w:rPr>
        <w:t>text</w:t>
      </w:r>
      <w:proofErr w:type="spellEnd"/>
      <w:r w:rsidRPr="00B77CF3">
        <w:rPr>
          <w:rFonts w:ascii="Times New Roman" w:eastAsia="Times New Roman" w:hAnsi="Times New Roman" w:cs="Times New Roman"/>
          <w:sz w:val="24"/>
          <w:szCs w:val="24"/>
          <w:lang w:eastAsia="de-DE"/>
        </w:rPr>
        <w:t>{</w:t>
      </w:r>
      <w:proofErr w:type="spellStart"/>
      <w:r w:rsidRPr="00B77CF3">
        <w:rPr>
          <w:rFonts w:ascii="Times New Roman" w:eastAsia="Times New Roman" w:hAnsi="Times New Roman" w:cs="Times New Roman"/>
          <w:sz w:val="24"/>
          <w:szCs w:val="24"/>
          <w:lang w:eastAsia="de-DE"/>
        </w:rPr>
        <w:t>pot</w:t>
      </w:r>
      <w:proofErr w:type="spellEnd"/>
      <w:r w:rsidRPr="00B77CF3">
        <w:rPr>
          <w:rFonts w:ascii="Times New Roman" w:eastAsia="Times New Roman" w:hAnsi="Times New Roman" w:cs="Times New Roman"/>
          <w:sz w:val="24"/>
          <w:szCs w:val="24"/>
          <w:lang w:eastAsia="de-DE"/>
        </w:rPr>
        <w:t>}}(t) = m g y(t)</w:t>
      </w:r>
      <w:proofErr w:type="spellStart"/>
      <w:r w:rsidRPr="00B77CF3">
        <w:rPr>
          <w:rFonts w:ascii="Times New Roman" w:eastAsia="Times New Roman" w:hAnsi="Times New Roman" w:cs="Times New Roman"/>
          <w:sz w:val="24"/>
          <w:szCs w:val="24"/>
          <w:lang w:eastAsia="de-DE"/>
        </w:rPr>
        <w:t>Epot</w:t>
      </w:r>
      <w:proofErr w:type="spellEnd"/>
      <w:r w:rsidRPr="00B77CF3">
        <w:rPr>
          <w:rFonts w:ascii="Times New Roman" w:eastAsia="Times New Roman" w:hAnsi="Times New Roman" w:cs="Times New Roman"/>
          <w:sz w:val="24"/>
          <w:szCs w:val="24"/>
          <w:lang w:eastAsia="de-DE"/>
        </w:rPr>
        <w:t>​(t)=</w:t>
      </w:r>
      <w:proofErr w:type="spellStart"/>
      <w:r w:rsidRPr="00B77CF3">
        <w:rPr>
          <w:rFonts w:ascii="Times New Roman" w:eastAsia="Times New Roman" w:hAnsi="Times New Roman" w:cs="Times New Roman"/>
          <w:sz w:val="24"/>
          <w:szCs w:val="24"/>
          <w:lang w:eastAsia="de-DE"/>
        </w:rPr>
        <w:t>mgy</w:t>
      </w:r>
      <w:proofErr w:type="spellEnd"/>
      <w:r w:rsidRPr="00B77CF3">
        <w:rPr>
          <w:rFonts w:ascii="Times New Roman" w:eastAsia="Times New Roman" w:hAnsi="Times New Roman" w:cs="Times New Roman"/>
          <w:sz w:val="24"/>
          <w:szCs w:val="24"/>
          <w:lang w:eastAsia="de-DE"/>
        </w:rPr>
        <w:t xml:space="preserve">(t) </w:t>
      </w:r>
    </w:p>
    <w:p w14:paraId="01993F21"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Diese sekundären Funktionen erzeugen ein energetisches Feld entlang der Trajektorie, in dem jedem Punkt eine spezifische Energiehöhe zugewiesen wird. Diese Zuweisung lässt sich geometrisch als „</w:t>
      </w:r>
      <w:proofErr w:type="spellStart"/>
      <w:r w:rsidRPr="00B77CF3">
        <w:rPr>
          <w:rFonts w:ascii="Times New Roman" w:eastAsia="Times New Roman" w:hAnsi="Times New Roman" w:cs="Times New Roman"/>
          <w:sz w:val="24"/>
          <w:szCs w:val="24"/>
          <w:lang w:eastAsia="de-DE"/>
        </w:rPr>
        <w:t>Brane</w:t>
      </w:r>
      <w:proofErr w:type="spellEnd"/>
      <w:r w:rsidRPr="00B77CF3">
        <w:rPr>
          <w:rFonts w:ascii="Times New Roman" w:eastAsia="Times New Roman" w:hAnsi="Times New Roman" w:cs="Times New Roman"/>
          <w:sz w:val="24"/>
          <w:szCs w:val="24"/>
          <w:lang w:eastAsia="de-DE"/>
        </w:rPr>
        <w:t xml:space="preserve">“-Struktur interpretieren, wie sie in der Differentialgeometrie zur Beschreibung gekrümmter Felder herangezogen wird. </w:t>
      </w:r>
      <w:proofErr w:type="spellStart"/>
      <w:r w:rsidRPr="00B77CF3">
        <w:rPr>
          <w:rFonts w:ascii="Times New Roman" w:eastAsia="Times New Roman" w:hAnsi="Times New Roman" w:cs="Times New Roman"/>
          <w:sz w:val="24"/>
          <w:szCs w:val="24"/>
          <w:lang w:eastAsia="de-DE"/>
        </w:rPr>
        <w:t>Spivak</w:t>
      </w:r>
      <w:proofErr w:type="spellEnd"/>
      <w:r w:rsidRPr="00B77CF3">
        <w:rPr>
          <w:rFonts w:ascii="Times New Roman" w:eastAsia="Times New Roman" w:hAnsi="Times New Roman" w:cs="Times New Roman"/>
          <w:sz w:val="24"/>
          <w:szCs w:val="24"/>
          <w:lang w:eastAsia="de-DE"/>
        </w:rPr>
        <w:t xml:space="preserve"> bemerkt hierzu:</w:t>
      </w:r>
    </w:p>
    <w:p w14:paraId="6F177714" w14:textId="77777777" w:rsidR="00B77CF3" w:rsidRPr="00B77CF3" w:rsidRDefault="00B77CF3" w:rsidP="00B77CF3">
      <w:pPr>
        <w:spacing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 xml:space="preserve">„The </w:t>
      </w:r>
      <w:proofErr w:type="spellStart"/>
      <w:r w:rsidRPr="00B77CF3">
        <w:rPr>
          <w:rFonts w:ascii="Times New Roman" w:eastAsia="Times New Roman" w:hAnsi="Times New Roman" w:cs="Times New Roman"/>
          <w:sz w:val="24"/>
          <w:szCs w:val="24"/>
          <w:lang w:eastAsia="de-DE"/>
        </w:rPr>
        <w:t>curvature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metric</w:t>
      </w:r>
      <w:proofErr w:type="spellEnd"/>
      <w:r w:rsidRPr="00B77CF3">
        <w:rPr>
          <w:rFonts w:ascii="Times New Roman" w:eastAsia="Times New Roman" w:hAnsi="Times New Roman" w:cs="Times New Roman"/>
          <w:sz w:val="24"/>
          <w:szCs w:val="24"/>
          <w:lang w:eastAsia="de-DE"/>
        </w:rPr>
        <w:t xml:space="preserve">, and </w:t>
      </w:r>
      <w:proofErr w:type="spellStart"/>
      <w:r w:rsidRPr="00B77CF3">
        <w:rPr>
          <w:rFonts w:ascii="Times New Roman" w:eastAsia="Times New Roman" w:hAnsi="Times New Roman" w:cs="Times New Roman"/>
          <w:sz w:val="24"/>
          <w:szCs w:val="24"/>
          <w:lang w:eastAsia="de-DE"/>
        </w:rPr>
        <w:t>dynamics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of</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space</w:t>
      </w:r>
      <w:proofErr w:type="spellEnd"/>
      <w:r w:rsidRPr="00B77CF3">
        <w:rPr>
          <w:rFonts w:ascii="Times New Roman" w:eastAsia="Times New Roman" w:hAnsi="Times New Roman" w:cs="Times New Roman"/>
          <w:sz w:val="24"/>
          <w:szCs w:val="24"/>
          <w:lang w:eastAsia="de-DE"/>
        </w:rPr>
        <w:t xml:space="preserve"> all </w:t>
      </w:r>
      <w:proofErr w:type="spellStart"/>
      <w:r w:rsidRPr="00B77CF3">
        <w:rPr>
          <w:rFonts w:ascii="Times New Roman" w:eastAsia="Times New Roman" w:hAnsi="Times New Roman" w:cs="Times New Roman"/>
          <w:sz w:val="24"/>
          <w:szCs w:val="24"/>
          <w:lang w:eastAsia="de-DE"/>
        </w:rPr>
        <w:t>derive</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from</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mappings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that</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assign</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quantities</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to</w:t>
      </w:r>
      <w:proofErr w:type="spellEnd"/>
      <w:r w:rsidRPr="00B77CF3">
        <w:rPr>
          <w:rFonts w:ascii="Times New Roman" w:eastAsia="Times New Roman" w:hAnsi="Times New Roman" w:cs="Times New Roman"/>
          <w:sz w:val="24"/>
          <w:szCs w:val="24"/>
          <w:lang w:eastAsia="de-DE"/>
        </w:rPr>
        <w:t xml:space="preserve"> </w:t>
      </w:r>
      <w:proofErr w:type="spellStart"/>
      <w:r w:rsidRPr="00B77CF3">
        <w:rPr>
          <w:rFonts w:ascii="Times New Roman" w:eastAsia="Times New Roman" w:hAnsi="Times New Roman" w:cs="Times New Roman"/>
          <w:sz w:val="24"/>
          <w:szCs w:val="24"/>
          <w:lang w:eastAsia="de-DE"/>
        </w:rPr>
        <w:t>points</w:t>
      </w:r>
      <w:proofErr w:type="spellEnd"/>
      <w:r w:rsidRPr="00B77CF3">
        <w:rPr>
          <w:rFonts w:ascii="Times New Roman" w:eastAsia="Times New Roman" w:hAnsi="Times New Roman" w:cs="Times New Roman"/>
          <w:sz w:val="24"/>
          <w:szCs w:val="24"/>
          <w:lang w:eastAsia="de-DE"/>
        </w:rPr>
        <w:t xml:space="preserve"> in a </w:t>
      </w:r>
      <w:proofErr w:type="spellStart"/>
      <w:r w:rsidRPr="00B77CF3">
        <w:rPr>
          <w:rFonts w:ascii="Times New Roman" w:eastAsia="Times New Roman" w:hAnsi="Times New Roman" w:cs="Times New Roman"/>
          <w:sz w:val="24"/>
          <w:szCs w:val="24"/>
          <w:lang w:eastAsia="de-DE"/>
        </w:rPr>
        <w:t>manifold</w:t>
      </w:r>
      <w:proofErr w:type="spellEnd"/>
      <w:r w:rsidRPr="00B77CF3">
        <w:rPr>
          <w:rFonts w:ascii="Times New Roman" w:eastAsia="Times New Roman" w:hAnsi="Times New Roman" w:cs="Times New Roman"/>
          <w:sz w:val="24"/>
          <w:szCs w:val="24"/>
          <w:lang w:eastAsia="de-DE"/>
        </w:rPr>
        <w:t>.“ [3, S. 79]</w:t>
      </w:r>
    </w:p>
    <w:p w14:paraId="72402CE8" w14:textId="768C1A6F" w:rsidR="00B77CF3" w:rsidRPr="00B77CF3" w:rsidRDefault="00A952BE" w:rsidP="00B77CF3">
      <w:pPr>
        <w:spacing w:before="100" w:beforeAutospacing="1" w:after="100" w:afterAutospacing="1" w:line="240" w:lineRule="auto"/>
        <w:outlineLvl w:val="3"/>
        <w:rPr>
          <w:rFonts w:ascii="Times New Roman" w:eastAsia="Times New Roman" w:hAnsi="Times New Roman" w:cs="Times New Roman"/>
          <w:b/>
          <w:bCs/>
          <w:sz w:val="24"/>
          <w:szCs w:val="24"/>
          <w:lang w:eastAsia="de-DE"/>
        </w:rPr>
      </w:pPr>
      <w:r>
        <w:rPr>
          <w:rFonts w:ascii="Times New Roman" w:eastAsia="Times New Roman" w:hAnsi="Times New Roman" w:cs="Times New Roman"/>
          <w:b/>
          <w:bCs/>
          <w:sz w:val="24"/>
          <w:szCs w:val="24"/>
          <w:lang w:eastAsia="de-DE"/>
        </w:rPr>
        <w:t>4.</w:t>
      </w:r>
      <w:r w:rsidR="00B77CF3" w:rsidRPr="00B77CF3">
        <w:rPr>
          <w:rFonts w:ascii="Times New Roman" w:eastAsia="Times New Roman" w:hAnsi="Times New Roman" w:cs="Times New Roman"/>
          <w:b/>
          <w:bCs/>
          <w:sz w:val="24"/>
          <w:szCs w:val="24"/>
          <w:lang w:eastAsia="de-DE"/>
        </w:rPr>
        <w:t>3.5 Zwischenfazit</w:t>
      </w:r>
    </w:p>
    <w:p w14:paraId="2307A237" w14:textId="77777777" w:rsidR="00B77CF3" w:rsidRP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Das Beispiel des Raketenflugs zeigt exemplarisch, wie ein vollständiges physikalisches Modell durch iterative Funktionszuweisungen erzeugt werden kann. Beginnend bei einem bedeutungslosen Punkt wird ein komplexes System aufgebaut, das Bewegung, Energie, Raum und Zeit als Ergebnisse strukturierter Modellierungsentscheidungen sichtbar macht.</w:t>
      </w:r>
    </w:p>
    <w:p w14:paraId="76E6DB0A" w14:textId="4EDA9C26" w:rsidR="00B77CF3" w:rsidRDefault="00B77CF3" w:rsidP="00B77CF3">
      <w:pPr>
        <w:spacing w:before="100" w:beforeAutospacing="1" w:after="100" w:afterAutospacing="1" w:line="240" w:lineRule="auto"/>
        <w:rPr>
          <w:rFonts w:ascii="Times New Roman" w:eastAsia="Times New Roman" w:hAnsi="Times New Roman" w:cs="Times New Roman"/>
          <w:sz w:val="24"/>
          <w:szCs w:val="24"/>
          <w:lang w:eastAsia="de-DE"/>
        </w:rPr>
      </w:pPr>
      <w:r w:rsidRPr="00B77CF3">
        <w:rPr>
          <w:rFonts w:ascii="Times New Roman" w:eastAsia="Times New Roman" w:hAnsi="Times New Roman" w:cs="Times New Roman"/>
          <w:sz w:val="24"/>
          <w:szCs w:val="24"/>
          <w:lang w:eastAsia="de-DE"/>
        </w:rPr>
        <w:t>Die klassische Modellierung erscheint in dieser Perspektive als ein Sonderfall – als eingefrorene Struktur einer spezifischen Zuweisungslogik. Die funktionale Modellierung hingegen legt diesen Prozess offen und macht ihn didaktisch, philosophisch und numerisch transparent.</w:t>
      </w:r>
    </w:p>
    <w:bookmarkEnd w:id="0"/>
    <w:p w14:paraId="396073E2" w14:textId="77777777" w:rsidR="001A784D" w:rsidRDefault="001A784D" w:rsidP="001A784D">
      <w:pPr>
        <w:pStyle w:val="berschrift3"/>
      </w:pPr>
      <w:r>
        <w:t>4.3.6 Rückgekoppelte Entscheidungsdynamik: Funktionenschleife als semantisches Selbstsystem</w:t>
      </w:r>
    </w:p>
    <w:p w14:paraId="444A6E02" w14:textId="77777777" w:rsidR="001A784D" w:rsidRDefault="001A784D" w:rsidP="001A784D">
      <w:pPr>
        <w:pStyle w:val="StandardWeb"/>
      </w:pPr>
      <w:r>
        <w:t>Die in Abschnitt 4.3 dargestellte Modellstruktur lässt sich durch eine Rückkopplung erweitern, bei der die intern erzeugte semantische Größe „Entropie“ (</w:t>
      </w:r>
      <w:r>
        <w:rPr>
          <w:rStyle w:val="Fett"/>
        </w:rPr>
        <w:t>S(t)</w:t>
      </w:r>
      <w:r>
        <w:t xml:space="preserve">) nicht nur als Bewertung, sondern als Einflussgröße einer sekundären Zuweisung dient. Damit entsteht eine </w:t>
      </w:r>
      <w:r>
        <w:lastRenderedPageBreak/>
        <w:t>funktionale Schleife, in der eine höhere Bedeutungsebene zurück auf die Ausgangsfunktion wirkt – ein Selbstreferenzprinzip, das aus informationstheoretischen, psychologischen oder systemtheoretischen Modellen bekannt ist.</w:t>
      </w:r>
    </w:p>
    <w:p w14:paraId="766B1273" w14:textId="77777777" w:rsidR="001A784D" w:rsidRDefault="001A784D" w:rsidP="001A784D">
      <w:pPr>
        <w:pStyle w:val="berschrift4"/>
      </w:pPr>
      <w:r>
        <w:t>(a) Konstruktion eines rückgekoppelten Wahrscheinlichkeitsmodells</w:t>
      </w:r>
    </w:p>
    <w:p w14:paraId="04AFA9D0" w14:textId="77777777" w:rsidR="001A784D" w:rsidRDefault="001A784D" w:rsidP="001A784D">
      <w:pPr>
        <w:pStyle w:val="StandardWeb"/>
      </w:pPr>
      <w:r>
        <w:t>Wir definieren die ursprüngliche Entscheidungswahrscheinlichkeit als:</w:t>
      </w:r>
    </w:p>
    <w:p w14:paraId="6212308E" w14:textId="77777777" w:rsidR="001A784D" w:rsidRDefault="001A784D" w:rsidP="001A784D">
      <w:pPr>
        <w:pStyle w:val="StandardWeb"/>
      </w:pPr>
      <w:r>
        <w:rPr>
          <w:rStyle w:val="Fett"/>
        </w:rPr>
        <w:t>p₀(t) = 1 / (1 + e</w:t>
      </w:r>
      <w:proofErr w:type="gramStart"/>
      <w:r>
        <w:rPr>
          <w:rStyle w:val="Fett"/>
        </w:rPr>
        <w:t>^(</w:t>
      </w:r>
      <w:proofErr w:type="gramEnd"/>
      <w:r>
        <w:rPr>
          <w:rStyle w:val="Fett"/>
        </w:rPr>
        <w:t>−k · (x(t) − y(t))))</w:t>
      </w:r>
    </w:p>
    <w:p w14:paraId="6EDDA6ED" w14:textId="77777777" w:rsidR="001A784D" w:rsidRDefault="001A784D" w:rsidP="001A784D">
      <w:pPr>
        <w:pStyle w:val="StandardWeb"/>
      </w:pPr>
      <w:r>
        <w:t xml:space="preserve">mit </w:t>
      </w:r>
      <w:r>
        <w:rPr>
          <w:rStyle w:val="Hervorhebung"/>
        </w:rPr>
        <w:t>k</w:t>
      </w:r>
      <w:r>
        <w:t xml:space="preserve"> als Steilheitsparameter (z. B. </w:t>
      </w:r>
      <w:r>
        <w:rPr>
          <w:rStyle w:val="Hervorhebung"/>
        </w:rPr>
        <w:t>k = 0.3</w:t>
      </w:r>
      <w:r>
        <w:t>). Die kognitive Entropie ergibt sich wie zuvor zu:</w:t>
      </w:r>
    </w:p>
    <w:p w14:paraId="4859CF27" w14:textId="77777777" w:rsidR="001A784D" w:rsidRDefault="001A784D" w:rsidP="001A784D">
      <w:pPr>
        <w:pStyle w:val="StandardWeb"/>
      </w:pPr>
      <w:r>
        <w:rPr>
          <w:rStyle w:val="Fett"/>
        </w:rPr>
        <w:t>S(t) = −p₀(t) · log(p₀(t))</w:t>
      </w:r>
    </w:p>
    <w:p w14:paraId="386CEB27" w14:textId="77777777" w:rsidR="001A784D" w:rsidRDefault="001A784D" w:rsidP="001A784D">
      <w:pPr>
        <w:pStyle w:val="StandardWeb"/>
      </w:pPr>
      <w:r>
        <w:t xml:space="preserve">Nun konstruieren wir eine </w:t>
      </w:r>
      <w:r>
        <w:rPr>
          <w:rStyle w:val="Fett"/>
        </w:rPr>
        <w:t>rückgekoppelte Entscheidungstendenz</w:t>
      </w:r>
      <w:r>
        <w:t xml:space="preserve"> </w:t>
      </w:r>
      <w:r>
        <w:rPr>
          <w:rStyle w:val="Hervorhebung"/>
        </w:rPr>
        <w:t>p₁(t)</w:t>
      </w:r>
      <w:r>
        <w:t>, bei der die Ungewissheit selbst Einfluss auf die Entschlossenheit nimmt – etwa durch eine adaptive Hemmung der Entscheidungsneigung:</w:t>
      </w:r>
    </w:p>
    <w:p w14:paraId="458604CB" w14:textId="77777777" w:rsidR="001A784D" w:rsidRDefault="001A784D" w:rsidP="001A784D">
      <w:pPr>
        <w:pStyle w:val="StandardWeb"/>
      </w:pPr>
      <w:r>
        <w:rPr>
          <w:rStyle w:val="Fett"/>
        </w:rPr>
        <w:t>p₁(t) = p₀(t) · (1 − β · S(t))</w:t>
      </w:r>
    </w:p>
    <w:p w14:paraId="4172C07B" w14:textId="77777777" w:rsidR="001A784D" w:rsidRDefault="001A784D" w:rsidP="001A784D">
      <w:pPr>
        <w:pStyle w:val="StandardWeb"/>
      </w:pPr>
      <w:r>
        <w:t xml:space="preserve">Dabei ist </w:t>
      </w:r>
      <w:r>
        <w:rPr>
          <w:rStyle w:val="Fett"/>
        </w:rPr>
        <w:t xml:space="preserve">β </w:t>
      </w:r>
      <w:r>
        <w:rPr>
          <w:rStyle w:val="Fett"/>
          <w:rFonts w:ascii="Cambria Math" w:hAnsi="Cambria Math" w:cs="Cambria Math"/>
        </w:rPr>
        <w:t>∈</w:t>
      </w:r>
      <w:r>
        <w:rPr>
          <w:rStyle w:val="Fett"/>
        </w:rPr>
        <w:t xml:space="preserve"> [0,1]</w:t>
      </w:r>
      <w:r>
        <w:t xml:space="preserve"> ein Kopplungsparameter, der die Stärke der semantischen Rückwirkung steuert. Für </w:t>
      </w:r>
      <w:r>
        <w:rPr>
          <w:rStyle w:val="Fett"/>
        </w:rPr>
        <w:t>β = 0</w:t>
      </w:r>
      <w:r>
        <w:t xml:space="preserve"> bleibt das System linear, für </w:t>
      </w:r>
      <w:r>
        <w:rPr>
          <w:rStyle w:val="Fett"/>
        </w:rPr>
        <w:t>β &gt; 0</w:t>
      </w:r>
      <w:r>
        <w:t xml:space="preserve"> beginnt es, sich selbst zu regulieren.</w:t>
      </w:r>
    </w:p>
    <w:p w14:paraId="6A4EF544" w14:textId="77777777" w:rsidR="001A784D" w:rsidRDefault="001A784D" w:rsidP="001A784D">
      <w:pPr>
        <w:pStyle w:val="berschrift4"/>
      </w:pPr>
      <w:r>
        <w:t>(b) Interpretation der Rückkopplung</w:t>
      </w:r>
    </w:p>
    <w:p w14:paraId="72240F96" w14:textId="77777777" w:rsidR="001A784D" w:rsidRDefault="001A784D" w:rsidP="001A784D">
      <w:pPr>
        <w:pStyle w:val="StandardWeb"/>
      </w:pPr>
      <w:r>
        <w:t xml:space="preserve">Diese Schleife erzeugt ein semantisches Selbstsystem: Die Entscheidungstendenz </w:t>
      </w:r>
      <w:r>
        <w:rPr>
          <w:rStyle w:val="Fett"/>
        </w:rPr>
        <w:t>p₁(t)</w:t>
      </w:r>
      <w:r>
        <w:t xml:space="preserve"> hängt nicht nur vom rational-emotionalen Verhältnis </w:t>
      </w:r>
      <w:r>
        <w:rPr>
          <w:rStyle w:val="Hervorhebung"/>
        </w:rPr>
        <w:t>(x − y)</w:t>
      </w:r>
      <w:r>
        <w:t xml:space="preserve"> ab, sondern von der systemintern erzeugten Unsicherheit </w:t>
      </w:r>
      <w:r>
        <w:rPr>
          <w:rStyle w:val="Fett"/>
        </w:rPr>
        <w:t>S(t)</w:t>
      </w:r>
      <w:r>
        <w:t>. Hohe Ungewissheit reduziert die Entscheidungsstärke – unabhängig von der Faktenlage. Das Modell spiegelt so reale Entscheidungsprozesse wider, in denen nicht nur Argumente, sondern auch Selbstbewertung, Zweifel und Informationsstruktur handlungswirksam werden.</w:t>
      </w:r>
    </w:p>
    <w:p w14:paraId="6C76DE2F" w14:textId="77777777" w:rsidR="001A784D" w:rsidRDefault="001A784D" w:rsidP="001A784D">
      <w:pPr>
        <w:pStyle w:val="berschrift4"/>
      </w:pPr>
      <w:r>
        <w:t>(c) Mathematisch-semantischer Kommentar</w:t>
      </w:r>
    </w:p>
    <w:p w14:paraId="2736921C" w14:textId="77777777" w:rsidR="001A784D" w:rsidRDefault="001A784D" w:rsidP="001A784D">
      <w:pPr>
        <w:pStyle w:val="StandardWeb"/>
      </w:pPr>
      <w:r>
        <w:t xml:space="preserve">Im Kontext des FZRK ist diese Rückkopplung nicht nur eine technische Erweiterung, sondern erkenntnistheoretisch zentral: Sie zeigt, dass Bedeutung nicht linear angeordnet ist, sondern durch </w:t>
      </w:r>
      <w:r>
        <w:rPr>
          <w:rStyle w:val="Fett"/>
        </w:rPr>
        <w:t>funktionale Rekursion</w:t>
      </w:r>
      <w:r>
        <w:t xml:space="preserve"> emergiert. Ein Modell beginnt, sich selbst zu strukturieren. Die Funktion </w:t>
      </w:r>
      <w:r>
        <w:rPr>
          <w:rStyle w:val="Fett"/>
        </w:rPr>
        <w:t>S(t)</w:t>
      </w:r>
      <w:r>
        <w:t xml:space="preserve"> ist damit nicht nur Bewertung, sondern </w:t>
      </w:r>
      <w:r>
        <w:rPr>
          <w:rStyle w:val="Hervorhebung"/>
        </w:rPr>
        <w:t>konditionale Zuweisungsbedingung</w:t>
      </w:r>
      <w:r>
        <w:t xml:space="preserve"> – ein metasemantisches Element im Modellraum.</w:t>
      </w:r>
    </w:p>
    <w:p w14:paraId="738FF856" w14:textId="77777777" w:rsidR="001A784D" w:rsidRDefault="001A784D" w:rsidP="001A784D">
      <w:pPr>
        <w:pStyle w:val="StandardWeb"/>
      </w:pPr>
      <w:r>
        <w:t>Diese Art von Schleifenstruktur bildet die Grundlage für weiterführende funktionale Architekturen – etwa in autonomen Agentensystemen, Lernprozessen oder selbstregulativen Dialogsystemen.</w:t>
      </w:r>
    </w:p>
    <w:p w14:paraId="33A53313" w14:textId="77777777" w:rsidR="001A784D" w:rsidRPr="00B77CF3" w:rsidRDefault="001A784D" w:rsidP="00B77CF3">
      <w:pPr>
        <w:spacing w:before="100" w:beforeAutospacing="1" w:after="100" w:afterAutospacing="1" w:line="240" w:lineRule="auto"/>
        <w:rPr>
          <w:rFonts w:ascii="Times New Roman" w:eastAsia="Times New Roman" w:hAnsi="Times New Roman" w:cs="Times New Roman"/>
          <w:sz w:val="24"/>
          <w:szCs w:val="24"/>
          <w:lang w:eastAsia="de-DE"/>
        </w:rPr>
      </w:pPr>
    </w:p>
    <w:p w14:paraId="38A55092" w14:textId="40DED659" w:rsidR="00B77CF3" w:rsidRDefault="00A952BE" w:rsidP="00B77CF3">
      <w:pPr>
        <w:pStyle w:val="berschrift3"/>
      </w:pPr>
      <w:r>
        <w:t>4.</w:t>
      </w:r>
      <w:r w:rsidR="00B77CF3">
        <w:t>4 Didaktische Relevanz und methodische Potenziale funktionaler Modellierung</w:t>
      </w:r>
    </w:p>
    <w:p w14:paraId="3910D598" w14:textId="77777777" w:rsidR="00B77CF3" w:rsidRDefault="00B77CF3" w:rsidP="00B77CF3">
      <w:pPr>
        <w:pStyle w:val="StandardWeb"/>
      </w:pPr>
      <w:r>
        <w:t xml:space="preserve">Die in den vorangegangenen Abschnitten entwickelte Methodik der funktionalen Modellierung eröffnet nicht nur neue erkenntnistheoretische Perspektiven auf die Physik, </w:t>
      </w:r>
      <w:r>
        <w:lastRenderedPageBreak/>
        <w:t>sondern entfaltet auch weitreichende didaktische Implikationen. Indem physikalische Größen nicht mehr als „gegeben“, sondern als „zugewiesen“ verstanden werden, wird ein Reflexionsraum geschaffen, der Lernenden ermöglicht, physikalische Begriffe als Konstruktionen nachzuvollziehen – und damit tiefgreifender zu verstehen.</w:t>
      </w:r>
    </w:p>
    <w:p w14:paraId="55DEF8EA" w14:textId="751ACF19" w:rsidR="00B77CF3" w:rsidRDefault="00A952BE" w:rsidP="00B77CF3">
      <w:pPr>
        <w:pStyle w:val="berschrift4"/>
      </w:pPr>
      <w:r>
        <w:t>4.</w:t>
      </w:r>
      <w:r w:rsidR="00B77CF3">
        <w:t>4.1 Funktionale Transparenz statt formelhafter Reproduktion</w:t>
      </w:r>
    </w:p>
    <w:p w14:paraId="66001AE6" w14:textId="77777777" w:rsidR="00B77CF3" w:rsidRDefault="00B77CF3" w:rsidP="00B77CF3">
      <w:pPr>
        <w:pStyle w:val="StandardWeb"/>
      </w:pPr>
      <w:r>
        <w:t>Ein zentrales didaktisches Defizit der klassischen Physikvermittlung liegt in der Tendenz zur formelhaften Anwendung ohne konzeptuelles Verständnis. Die funktionale Modellierung durchbricht diesen Automatismus: Jede Größe – ob Zeit, Geschwindigkeit oder Energie – wird im Modellprozess als gezielte Zuweisung eingeführt und dadurch in ihrer Bedeutung sichtbar gemacht. An die Stelle einer rezeptiven Haltung tritt ein aktiver Konstruktionsprozess:</w:t>
      </w:r>
    </w:p>
    <w:p w14:paraId="2D14C6FE" w14:textId="77777777" w:rsidR="00B77CF3" w:rsidRDefault="00B77CF3" w:rsidP="00B77CF3">
      <w:pPr>
        <w:pStyle w:val="StandardWeb"/>
        <w:numPr>
          <w:ilvl w:val="0"/>
          <w:numId w:val="1"/>
        </w:numPr>
      </w:pPr>
      <w:r>
        <w:rPr>
          <w:rStyle w:val="Fett"/>
        </w:rPr>
        <w:t>Zeit</w:t>
      </w:r>
      <w:r>
        <w:t xml:space="preserve"> ist keine abstrakte Koordinate, sondern die erste Bedeutungszuweisung an ein strukturfreies Modellobjekt.</w:t>
      </w:r>
    </w:p>
    <w:p w14:paraId="1122C529" w14:textId="77777777" w:rsidR="00B77CF3" w:rsidRDefault="00B77CF3" w:rsidP="00B77CF3">
      <w:pPr>
        <w:pStyle w:val="StandardWeb"/>
        <w:numPr>
          <w:ilvl w:val="0"/>
          <w:numId w:val="1"/>
        </w:numPr>
      </w:pPr>
      <w:r>
        <w:rPr>
          <w:rStyle w:val="Fett"/>
        </w:rPr>
        <w:t>Ort</w:t>
      </w:r>
      <w:r>
        <w:t xml:space="preserve"> ist nicht Position im Raum, sondern Ergebnis einer zeitabhängigen Funktionszuweisung.</w:t>
      </w:r>
    </w:p>
    <w:p w14:paraId="7DF262EC" w14:textId="77777777" w:rsidR="00B77CF3" w:rsidRDefault="00B77CF3" w:rsidP="00B77CF3">
      <w:pPr>
        <w:pStyle w:val="StandardWeb"/>
        <w:numPr>
          <w:ilvl w:val="0"/>
          <w:numId w:val="1"/>
        </w:numPr>
      </w:pPr>
      <w:r>
        <w:rPr>
          <w:rStyle w:val="Fett"/>
        </w:rPr>
        <w:t>Energie</w:t>
      </w:r>
      <w:r>
        <w:t xml:space="preserve"> ist keine konservierte Substanz, sondern eine sekundäre Funktion innerhalb eines interpretativen Rahmens.</w:t>
      </w:r>
    </w:p>
    <w:p w14:paraId="56C9FE4E" w14:textId="77777777" w:rsidR="00B77CF3" w:rsidRDefault="00B77CF3" w:rsidP="00B77CF3">
      <w:pPr>
        <w:pStyle w:val="StandardWeb"/>
      </w:pPr>
      <w:r>
        <w:t xml:space="preserve">Diese </w:t>
      </w:r>
      <w:r>
        <w:rPr>
          <w:rStyle w:val="Fett"/>
        </w:rPr>
        <w:t>Transparenz der Bedeutungsentstehung</w:t>
      </w:r>
      <w:r>
        <w:t xml:space="preserve"> fördert sowohl konzeptuelles Verständnis als auch metakognitive Kompetenz.</w:t>
      </w:r>
    </w:p>
    <w:p w14:paraId="1E2DD8DE" w14:textId="1BC55C7E" w:rsidR="00B77CF3" w:rsidRDefault="00A952BE" w:rsidP="00B77CF3">
      <w:pPr>
        <w:pStyle w:val="berschrift4"/>
      </w:pPr>
      <w:r>
        <w:t>4.</w:t>
      </w:r>
      <w:r w:rsidR="00B77CF3">
        <w:t>4.2 Reflexives Lernen durch Bedeutungszuschreibung</w:t>
      </w:r>
    </w:p>
    <w:p w14:paraId="5FE59104" w14:textId="77777777" w:rsidR="00B77CF3" w:rsidRDefault="00B77CF3" w:rsidP="00B77CF3">
      <w:pPr>
        <w:pStyle w:val="StandardWeb"/>
      </w:pPr>
      <w:r>
        <w:t xml:space="preserve">Die funktionale Modellierung aktiviert eine tiefere Ebene des Lernens, die über das bloße Lösen von Aufgaben hinausgeht: das </w:t>
      </w:r>
      <w:r>
        <w:rPr>
          <w:rStyle w:val="Fett"/>
        </w:rPr>
        <w:t>Reflektieren über die Struktur von Wissen</w:t>
      </w:r>
      <w:r>
        <w:t>. Lernende erleben die physikalischen Begriffe als gestaltbar und im Prinzip rekonstruierbar. Dies fördert eine epistemologische Haltung, in der Physik nicht mehr als objektive Wahrheit, sondern als strukturierter Denkraum verstanden wird – eine Haltung, die besonders im Umgang mit komplexen oder abstrakten Modellen (z. B. Quantenmechanik, Relativitätstheorie) bedeutsam ist.</w:t>
      </w:r>
    </w:p>
    <w:p w14:paraId="04F93487" w14:textId="4CEDA1A7" w:rsidR="00B77CF3" w:rsidRDefault="00A952BE" w:rsidP="00B77CF3">
      <w:pPr>
        <w:pStyle w:val="berschrift4"/>
      </w:pPr>
      <w:r>
        <w:t>4.</w:t>
      </w:r>
      <w:r w:rsidR="00B77CF3">
        <w:t>4.3 Anschlussfähigkeit an digitale Werkzeuge und Simulation</w:t>
      </w:r>
    </w:p>
    <w:p w14:paraId="6760CBFF" w14:textId="77777777" w:rsidR="00B77CF3" w:rsidRDefault="00B77CF3" w:rsidP="00B77CF3">
      <w:pPr>
        <w:pStyle w:val="StandardWeb"/>
      </w:pPr>
      <w:r>
        <w:t xml:space="preserve">Da die funktionale Modellierung ausschließlich über mathematisch klar definierte Funktionsstrukturen operiert, ist sie </w:t>
      </w:r>
      <w:r>
        <w:rPr>
          <w:rStyle w:val="Fett"/>
        </w:rPr>
        <w:t>ideal geeignet für digitale Umgebungen</w:t>
      </w:r>
      <w:r>
        <w:t xml:space="preserve"> wie Python, GeoGebra, </w:t>
      </w:r>
      <w:proofErr w:type="spellStart"/>
      <w:r>
        <w:t>GeoLab</w:t>
      </w:r>
      <w:proofErr w:type="spellEnd"/>
      <w:r>
        <w:t xml:space="preserve"> oder </w:t>
      </w:r>
      <w:proofErr w:type="spellStart"/>
      <w:r>
        <w:t>Jupyter</w:t>
      </w:r>
      <w:proofErr w:type="spellEnd"/>
      <w:r>
        <w:t xml:space="preserve"> Notebooks. Dies ermöglicht einen nahtlosen Übergang von konzeptueller Modellbildung zu numerischer Simulation. Besonders in projektbasierten Lernsettings oder forschendem Lernen kann dies didaktisch nutzbar gemacht werden:</w:t>
      </w:r>
    </w:p>
    <w:p w14:paraId="077EF53E" w14:textId="77777777" w:rsidR="00B77CF3" w:rsidRDefault="00B77CF3" w:rsidP="00B77CF3">
      <w:pPr>
        <w:pStyle w:val="StandardWeb"/>
        <w:numPr>
          <w:ilvl w:val="0"/>
          <w:numId w:val="2"/>
        </w:numPr>
      </w:pPr>
      <w:r>
        <w:t>Jede Funktionszuweisung kann als Codezeile realisiert werden.</w:t>
      </w:r>
    </w:p>
    <w:p w14:paraId="2C930BD0" w14:textId="77777777" w:rsidR="00B77CF3" w:rsidRDefault="00B77CF3" w:rsidP="00B77CF3">
      <w:pPr>
        <w:pStyle w:val="StandardWeb"/>
        <w:numPr>
          <w:ilvl w:val="0"/>
          <w:numId w:val="2"/>
        </w:numPr>
      </w:pPr>
      <w:r>
        <w:t>Dynamische Visualisierungen (z. B. Flugbahn, Energieprofil) machen das Modell konkret erfahrbar.</w:t>
      </w:r>
    </w:p>
    <w:p w14:paraId="2038FE8F" w14:textId="77777777" w:rsidR="00B77CF3" w:rsidRDefault="00B77CF3" w:rsidP="00B77CF3">
      <w:pPr>
        <w:pStyle w:val="StandardWeb"/>
        <w:numPr>
          <w:ilvl w:val="0"/>
          <w:numId w:val="2"/>
        </w:numPr>
      </w:pPr>
      <w:r>
        <w:t>Iterative Modellmodifikationen (z. B. Variation von Anfangswerten) fördern hypothesengeleitetes Denken.</w:t>
      </w:r>
    </w:p>
    <w:p w14:paraId="458A7F2D" w14:textId="0F22786A" w:rsidR="00B77CF3" w:rsidRDefault="00A952BE" w:rsidP="00B77CF3">
      <w:pPr>
        <w:pStyle w:val="berschrift4"/>
      </w:pPr>
      <w:r>
        <w:t>4.</w:t>
      </w:r>
      <w:r w:rsidR="00B77CF3">
        <w:t>4.4 Förderung strukturellen Denkens</w:t>
      </w:r>
    </w:p>
    <w:p w14:paraId="6D3DC945" w14:textId="77777777" w:rsidR="00B77CF3" w:rsidRDefault="00B77CF3" w:rsidP="00B77CF3">
      <w:pPr>
        <w:pStyle w:val="StandardWeb"/>
      </w:pPr>
      <w:r>
        <w:lastRenderedPageBreak/>
        <w:t xml:space="preserve">Schließlich leistet die funktionale Modellierung einen Beitrag zur Entwicklung eines </w:t>
      </w:r>
      <w:r>
        <w:rPr>
          <w:rStyle w:val="Fett"/>
        </w:rPr>
        <w:t>strukturorientierten physikalischen Denkens</w:t>
      </w:r>
      <w:r>
        <w:t xml:space="preserve">. Es geht nicht mehr primär um das Anwenden bekannter Formeln, sondern um das </w:t>
      </w:r>
      <w:r>
        <w:rPr>
          <w:rStyle w:val="Fett"/>
        </w:rPr>
        <w:t>Verstehen der Relationen zwischen Funktionswerten</w:t>
      </w:r>
      <w:r>
        <w:t>. Diese Fähigkeit ist nicht nur für die moderne Physik zentral, sondern auch für mathematische und informatische Problemstellungen, in denen Abstraktion und Funktionalität zentrale Rollen spielen.</w:t>
      </w:r>
    </w:p>
    <w:p w14:paraId="765F59CB" w14:textId="77777777" w:rsidR="00B77CF3" w:rsidRDefault="00B77CF3" w:rsidP="00B77CF3">
      <w:pPr>
        <w:pStyle w:val="StandardWeb"/>
      </w:pPr>
      <w:r>
        <w:t xml:space="preserve">Baez und </w:t>
      </w:r>
      <w:proofErr w:type="spellStart"/>
      <w:r>
        <w:t>Stay</w:t>
      </w:r>
      <w:proofErr w:type="spellEnd"/>
      <w:r>
        <w:t xml:space="preserve"> formulieren dies paradigmatisch:</w:t>
      </w:r>
    </w:p>
    <w:p w14:paraId="4304B928" w14:textId="77777777" w:rsidR="00B77CF3" w:rsidRDefault="00B77CF3" w:rsidP="00B77CF3">
      <w:pPr>
        <w:pStyle w:val="StandardWeb"/>
      </w:pPr>
      <w:r>
        <w:t>„</w:t>
      </w:r>
      <w:proofErr w:type="spellStart"/>
      <w:r>
        <w:t>Meaning</w:t>
      </w:r>
      <w:proofErr w:type="spellEnd"/>
      <w:r>
        <w:t xml:space="preserve"> </w:t>
      </w:r>
      <w:proofErr w:type="spellStart"/>
      <w:r>
        <w:t>is</w:t>
      </w:r>
      <w:proofErr w:type="spellEnd"/>
      <w:r>
        <w:t xml:space="preserve"> a </w:t>
      </w:r>
      <w:proofErr w:type="spellStart"/>
      <w:r>
        <w:t>morphism</w:t>
      </w:r>
      <w:proofErr w:type="spellEnd"/>
      <w:r>
        <w:t xml:space="preserve">, not a </w:t>
      </w:r>
      <w:proofErr w:type="spellStart"/>
      <w:r>
        <w:t>location</w:t>
      </w:r>
      <w:proofErr w:type="spellEnd"/>
      <w:r>
        <w:t>.“ [4, S. 117]</w:t>
      </w:r>
    </w:p>
    <w:p w14:paraId="3F64F5DC" w14:textId="12350D60" w:rsidR="00B77CF3" w:rsidRDefault="00A952BE" w:rsidP="00B77CF3">
      <w:pPr>
        <w:pStyle w:val="berschrift3"/>
      </w:pPr>
      <w:r>
        <w:t>4.</w:t>
      </w:r>
      <w:r w:rsidR="00B77CF3">
        <w:t>5 Methodologische Konsequenzen der funktionalen Modellierung</w:t>
      </w:r>
    </w:p>
    <w:p w14:paraId="1F38D0F7" w14:textId="77777777" w:rsidR="00B77CF3" w:rsidRDefault="00B77CF3" w:rsidP="00B77CF3">
      <w:pPr>
        <w:pStyle w:val="StandardWeb"/>
      </w:pPr>
      <w:r>
        <w:t xml:space="preserve">Die funktionale Modellierung physikalischer Prozesse verändert nicht nur die Struktur physikalischer Modelle, sondern hat tiefgreifende Konsequenzen für das physiktheoretische Selbstverständnis. Im Gegensatz zur traditionellen Vorstellung von Physik als Beschreibung einer unabhängig existierenden Realität wird hier ein erkenntnistheoretisch reflektierter Zugang gewählt: Physik wird als </w:t>
      </w:r>
      <w:r>
        <w:rPr>
          <w:rStyle w:val="Fett"/>
        </w:rPr>
        <w:t>konsistenter Akt der Bedeutungszuweisung</w:t>
      </w:r>
      <w:r>
        <w:t xml:space="preserve"> innerhalb eines konstruierten Referenzsystems begriffen.</w:t>
      </w:r>
    </w:p>
    <w:p w14:paraId="61B5579D" w14:textId="01591A77" w:rsidR="00B77CF3" w:rsidRDefault="00A952BE" w:rsidP="00B77CF3">
      <w:pPr>
        <w:pStyle w:val="berschrift4"/>
      </w:pPr>
      <w:r>
        <w:t>4.</w:t>
      </w:r>
      <w:r w:rsidR="00574406">
        <w:t>5</w:t>
      </w:r>
      <w:r>
        <w:t>.</w:t>
      </w:r>
      <w:r w:rsidR="00B77CF3">
        <w:t>1 Physik als Modellierung – nicht als Abbildung</w:t>
      </w:r>
    </w:p>
    <w:p w14:paraId="04EF119B" w14:textId="77777777" w:rsidR="00B77CF3" w:rsidRDefault="00B77CF3" w:rsidP="00B77CF3">
      <w:pPr>
        <w:pStyle w:val="StandardWeb"/>
      </w:pPr>
      <w:r>
        <w:t xml:space="preserve">Innerhalb der funktionalen Methodik besteht kein Anspruch auf Abbildtreue im klassischen Sinn. Das physikalische Modell ist nicht Spiegel einer objektiven Welt, sondern eine </w:t>
      </w:r>
      <w:r>
        <w:rPr>
          <w:rStyle w:val="Fett"/>
        </w:rPr>
        <w:t>strukturierte, regelgeleitete Bedeutungsarchitektur</w:t>
      </w:r>
      <w:r>
        <w:t xml:space="preserve">, die auf Konsistenz, Anschlussfähigkeit und Zweckmäßigkeit geprüft wird. Wahrheit wird dabei durch </w:t>
      </w:r>
      <w:r>
        <w:rPr>
          <w:rStyle w:val="Fett"/>
        </w:rPr>
        <w:t>Modellkohärenz</w:t>
      </w:r>
      <w:r>
        <w:t xml:space="preserve"> und </w:t>
      </w:r>
      <w:r>
        <w:rPr>
          <w:rStyle w:val="Fett"/>
        </w:rPr>
        <w:t>interne Stimmigkeit</w:t>
      </w:r>
      <w:r>
        <w:t xml:space="preserve"> ersetzt – in Anlehnung an moderne Wissenschaftstheorien (vgl. Giere, van </w:t>
      </w:r>
      <w:proofErr w:type="spellStart"/>
      <w:r>
        <w:t>Fraassen</w:t>
      </w:r>
      <w:proofErr w:type="spellEnd"/>
      <w:r>
        <w:t>, Cartwright).</w:t>
      </w:r>
    </w:p>
    <w:p w14:paraId="62832C8A" w14:textId="77777777" w:rsidR="00B77CF3" w:rsidRDefault="00B77CF3" w:rsidP="00B77CF3">
      <w:pPr>
        <w:pStyle w:val="StandardWeb"/>
      </w:pPr>
      <w:r>
        <w:t>Weyl bringt diesen Perspektivwechsel prägnant auf den Punkt:</w:t>
      </w:r>
    </w:p>
    <w:p w14:paraId="5D50A40A" w14:textId="77777777" w:rsidR="00B77CF3" w:rsidRDefault="00B77CF3" w:rsidP="00B77CF3">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[5, S. 47]</w:t>
      </w:r>
    </w:p>
    <w:p w14:paraId="79B201C6" w14:textId="77777777" w:rsidR="00B77CF3" w:rsidRDefault="00B77CF3" w:rsidP="00B77CF3">
      <w:pPr>
        <w:pStyle w:val="StandardWeb"/>
      </w:pPr>
      <w:r>
        <w:t>Damit wird deutlich: Die Ordnung, die das physikalische Modell beschreibt, ist nicht der Welt inhärent, sondern eine Folge der gewählten Zuweisungsstruktur. Der Beobachter ist nicht mehr nur externer Betrachter, sondern aktiver Mit-Erzeuger physikalischer Struktur.</w:t>
      </w:r>
    </w:p>
    <w:p w14:paraId="3CFB0995" w14:textId="3B575AC3" w:rsidR="00B77CF3" w:rsidRDefault="00A952BE" w:rsidP="00B77CF3">
      <w:pPr>
        <w:pStyle w:val="berschrift4"/>
      </w:pPr>
      <w:r>
        <w:t>4.</w:t>
      </w:r>
      <w:r w:rsidR="00574406">
        <w:t>5</w:t>
      </w:r>
      <w:r>
        <w:t>.</w:t>
      </w:r>
      <w:r w:rsidR="00B77CF3">
        <w:t>2 Der Modellierungsakt als erkenntniskonstitutiver Prozess</w:t>
      </w:r>
    </w:p>
    <w:p w14:paraId="05AB6E54" w14:textId="77777777" w:rsidR="00B77CF3" w:rsidRDefault="00B77CF3" w:rsidP="00B77CF3">
      <w:pPr>
        <w:pStyle w:val="StandardWeb"/>
      </w:pPr>
      <w:r>
        <w:t xml:space="preserve">Die Modellierung physikalischer Phänomene wird in der funktionalen Sicht selbst zum </w:t>
      </w:r>
      <w:r>
        <w:rPr>
          <w:rStyle w:val="Fett"/>
        </w:rPr>
        <w:t>Erkenntnisprozess</w:t>
      </w:r>
      <w:r>
        <w:t xml:space="preserve">. Es ist nicht das Modell, das „etwas zeigt“, sondern der Modellierungsprozess, der </w:t>
      </w:r>
      <w:r>
        <w:rPr>
          <w:rStyle w:val="Fett"/>
        </w:rPr>
        <w:t>etwas erzeugt</w:t>
      </w:r>
      <w:r>
        <w:t xml:space="preserve"> – nämlich eine spezifische Form physikalischer Welt. Dies verschiebt den Fokus physikalischer Theoriearbeit:</w:t>
      </w:r>
    </w:p>
    <w:p w14:paraId="1CB42DC9" w14:textId="77777777" w:rsidR="00B77CF3" w:rsidRDefault="00B77CF3" w:rsidP="00B77CF3">
      <w:pPr>
        <w:pStyle w:val="StandardWeb"/>
        <w:numPr>
          <w:ilvl w:val="0"/>
          <w:numId w:val="3"/>
        </w:numPr>
      </w:pPr>
      <w:r>
        <w:t>Weg von der Frage „Was ist die Natur der Realität?“</w:t>
      </w:r>
    </w:p>
    <w:p w14:paraId="474D445F" w14:textId="77777777" w:rsidR="00B77CF3" w:rsidRDefault="00B77CF3" w:rsidP="00B77CF3">
      <w:pPr>
        <w:pStyle w:val="StandardWeb"/>
        <w:numPr>
          <w:ilvl w:val="0"/>
          <w:numId w:val="3"/>
        </w:numPr>
      </w:pPr>
      <w:r>
        <w:t>Hin zur Frage „Welche Struktur entsteht durch welche Zuweisungsregeln?“</w:t>
      </w:r>
    </w:p>
    <w:p w14:paraId="7A44CDDE" w14:textId="77777777" w:rsidR="00B77CF3" w:rsidRDefault="00B77CF3" w:rsidP="00B77CF3">
      <w:pPr>
        <w:pStyle w:val="StandardWeb"/>
      </w:pPr>
      <w:r>
        <w:t xml:space="preserve">Diese erkenntnistheoretische Verschiebung erlaubt eine kritisch-reflektierte Analyse bestehender Modelle und eröffnet Spielräume für alternative Modellkonstruktionen, die bisher </w:t>
      </w:r>
      <w:r>
        <w:lastRenderedPageBreak/>
        <w:t>ausgeblendete Aspekte (z. B. subjektive Perspektiven, Informationsflüsse, kontextabhängige Dynamiken) explizit berücksichtigen können.</w:t>
      </w:r>
    </w:p>
    <w:p w14:paraId="3C9ACA4A" w14:textId="73A752EE" w:rsidR="00B77CF3" w:rsidRDefault="00A952BE" w:rsidP="00B77CF3">
      <w:pPr>
        <w:pStyle w:val="berschrift4"/>
      </w:pPr>
      <w:r>
        <w:t>4.</w:t>
      </w:r>
      <w:r w:rsidR="00574406">
        <w:t>5</w:t>
      </w:r>
      <w:r>
        <w:t>.</w:t>
      </w:r>
      <w:r w:rsidR="00B77CF3">
        <w:t>3 Paradigmatisches Potenzial des Raketenflugmodells</w:t>
      </w:r>
    </w:p>
    <w:p w14:paraId="194F507A" w14:textId="74B35D78" w:rsidR="00B77CF3" w:rsidRDefault="00B77CF3" w:rsidP="00B77CF3">
      <w:pPr>
        <w:pStyle w:val="StandardWeb"/>
      </w:pPr>
      <w:r>
        <w:t xml:space="preserve">Das in Abschnitt </w:t>
      </w:r>
      <w:r w:rsidR="00A952BE">
        <w:t>4.</w:t>
      </w:r>
      <w:r>
        <w:t xml:space="preserve">3 entwickelte Beispiel des Raketenflugs ist dabei nicht nur ein praktischer Anwendungsfall, sondern ein </w:t>
      </w:r>
      <w:r>
        <w:rPr>
          <w:rStyle w:val="Fett"/>
        </w:rPr>
        <w:t>epistemisches Paradigma</w:t>
      </w:r>
      <w:r>
        <w:t>: Es demonstriert in klarer, reduzierter Form den gesamten Prozess funktionaler Modellbildung – von der Initialisierung eines bedeutungslosen Punktes bis hin zur energetischen Interpretation einer dynamischen Bewegung.</w:t>
      </w:r>
    </w:p>
    <w:p w14:paraId="12CF18C3" w14:textId="77777777" w:rsidR="00B77CF3" w:rsidRDefault="00B77CF3" w:rsidP="00B77CF3">
      <w:pPr>
        <w:pStyle w:val="StandardWeb"/>
      </w:pPr>
      <w:r>
        <w:t>Dieses Beispiel erfüllt damit drei Funktionen:</w:t>
      </w:r>
    </w:p>
    <w:p w14:paraId="2DF5AC69" w14:textId="77777777" w:rsidR="00B77CF3" w:rsidRDefault="00B77CF3" w:rsidP="00B77CF3">
      <w:pPr>
        <w:pStyle w:val="StandardWeb"/>
        <w:numPr>
          <w:ilvl w:val="0"/>
          <w:numId w:val="4"/>
        </w:numPr>
      </w:pPr>
      <w:r>
        <w:rPr>
          <w:rStyle w:val="Fett"/>
        </w:rPr>
        <w:t>Didaktisches Modell</w:t>
      </w:r>
      <w:r>
        <w:t xml:space="preserve"> – Es ist einfach genug, um Lernprozesse zu strukturieren.</w:t>
      </w:r>
    </w:p>
    <w:p w14:paraId="44E3FB21" w14:textId="77777777" w:rsidR="00B77CF3" w:rsidRDefault="00B77CF3" w:rsidP="00B77CF3">
      <w:pPr>
        <w:pStyle w:val="StandardWeb"/>
        <w:numPr>
          <w:ilvl w:val="0"/>
          <w:numId w:val="4"/>
        </w:numPr>
      </w:pPr>
      <w:r>
        <w:rPr>
          <w:rStyle w:val="Fett"/>
        </w:rPr>
        <w:t>Methodologisches Exempel</w:t>
      </w:r>
      <w:r>
        <w:t xml:space="preserve"> – Es zeigt, wie physikalische Größen aus Zuweisungen entstehen.</w:t>
      </w:r>
    </w:p>
    <w:p w14:paraId="792609A9" w14:textId="77777777" w:rsidR="00B77CF3" w:rsidRDefault="00B77CF3" w:rsidP="00B77CF3">
      <w:pPr>
        <w:pStyle w:val="StandardWeb"/>
        <w:numPr>
          <w:ilvl w:val="0"/>
          <w:numId w:val="4"/>
        </w:numPr>
      </w:pPr>
      <w:r>
        <w:rPr>
          <w:rStyle w:val="Fett"/>
        </w:rPr>
        <w:t>Theoriepraktisches Paradigma</w:t>
      </w:r>
      <w:r>
        <w:t xml:space="preserve"> – Es erlaubt Reflexion über die Grenzen klassischer Modellkonzepte.</w:t>
      </w:r>
    </w:p>
    <w:p w14:paraId="434D8F15" w14:textId="393E6C67" w:rsidR="00B77CF3" w:rsidRDefault="00A952BE" w:rsidP="00B77CF3">
      <w:pPr>
        <w:pStyle w:val="berschrift4"/>
      </w:pPr>
      <w:r>
        <w:t>4.</w:t>
      </w:r>
      <w:r w:rsidR="00574406">
        <w:t>5</w:t>
      </w:r>
      <w:r>
        <w:t>.</w:t>
      </w:r>
      <w:r w:rsidR="00B77CF3">
        <w:t>4 Schlussfolgerung: Physik als funktionale Ordnungsbildung</w:t>
      </w:r>
    </w:p>
    <w:p w14:paraId="1176E7AE" w14:textId="77777777" w:rsidR="00B77CF3" w:rsidRDefault="00B77CF3" w:rsidP="00B77CF3">
      <w:pPr>
        <w:pStyle w:val="StandardWeb"/>
      </w:pPr>
      <w:r>
        <w:t xml:space="preserve">Die hier vertretene Methodik erhebt nicht den Anspruch, bestehende physikalische Theorien zu ersetzen. Vielmehr zeigt sie einen Weg, </w:t>
      </w:r>
      <w:r>
        <w:rPr>
          <w:rStyle w:val="Fett"/>
        </w:rPr>
        <w:t>ihre erkenntnistheoretischen Voraussetzungen offenzulegen</w:t>
      </w:r>
      <w:r>
        <w:t xml:space="preserve"> und alternative Formen der Modellbildung zu ermöglichen. In einer Zeit, in der physikalische Theorien zunehmend formal, abstrakt und rechnergestützt operieren, bietet die funktionale Modellierung ein </w:t>
      </w:r>
      <w:r>
        <w:rPr>
          <w:rStyle w:val="Fett"/>
        </w:rPr>
        <w:t>transparentes, konsistentes und anschlussfähiges Verfahren</w:t>
      </w:r>
      <w:r>
        <w:t>, um physikalisches Wissen als strukturierte Ordnung zu rekonstruieren.</w:t>
      </w:r>
    </w:p>
    <w:p w14:paraId="34F6B4F4" w14:textId="1FFFE779" w:rsidR="00B77CF3" w:rsidRDefault="00A952BE" w:rsidP="00B77CF3">
      <w:pPr>
        <w:pStyle w:val="berschrift3"/>
      </w:pPr>
      <w:r>
        <w:t>4.</w:t>
      </w:r>
      <w:r w:rsidR="00B77CF3">
        <w:t>6 Perspektiven und Begrenzungen funktionaler Modellierung</w:t>
      </w:r>
    </w:p>
    <w:p w14:paraId="7788B932" w14:textId="77777777" w:rsidR="00B77CF3" w:rsidRDefault="00B77CF3" w:rsidP="00B77CF3">
      <w:pPr>
        <w:pStyle w:val="StandardWeb"/>
      </w:pPr>
      <w:r>
        <w:t xml:space="preserve">Die funktionale Modellierung physikalischer Prozesse ist ein erkenntnistheoretisch kohärentes und didaktisch anschlussfähiges Konzept, das neue Wege der Weltbeschreibung eröffnet. Zugleich ist es notwendig, die </w:t>
      </w:r>
      <w:r>
        <w:rPr>
          <w:rStyle w:val="Fett"/>
        </w:rPr>
        <w:t>Reichweite, Grenzen und Erweiterungsperspektiven</w:t>
      </w:r>
      <w:r>
        <w:t xml:space="preserve"> dieser Methodik kritisch zu reflektieren. Nur so kann sie in den Kanon physikalischer Modellansätze nachhaltig integriert und weiterentwickelt werden.</w:t>
      </w:r>
    </w:p>
    <w:p w14:paraId="5335BB15" w14:textId="6F18A5DF" w:rsidR="00B77CF3" w:rsidRDefault="00A952BE" w:rsidP="00B77CF3">
      <w:pPr>
        <w:pStyle w:val="berschrift4"/>
      </w:pPr>
      <w:r>
        <w:t>4.</w:t>
      </w:r>
      <w:r w:rsidR="00B77CF3">
        <w:t>6.1 Begrenzungen der Methodik: Abstraktion, Idealisierung, Realitätsbezug</w:t>
      </w:r>
    </w:p>
    <w:p w14:paraId="4F5701A6" w14:textId="77777777" w:rsidR="00B77CF3" w:rsidRDefault="00B77CF3" w:rsidP="00B77CF3">
      <w:pPr>
        <w:pStyle w:val="StandardWeb"/>
      </w:pPr>
      <w:r>
        <w:t>So radikal die funktionale Modellierung in ihrer erkenntnistheoretischen Konsequenz ist, so sehr ist sie doch auch auf Abstraktion und Idealisierung angewiesen. Dies betrifft vor allem:</w:t>
      </w:r>
    </w:p>
    <w:p w14:paraId="57E72228" w14:textId="77777777" w:rsidR="00B77CF3" w:rsidRDefault="00B77CF3" w:rsidP="00B77CF3">
      <w:pPr>
        <w:pStyle w:val="StandardWeb"/>
        <w:numPr>
          <w:ilvl w:val="0"/>
          <w:numId w:val="5"/>
        </w:numPr>
      </w:pPr>
      <w:r>
        <w:rPr>
          <w:rStyle w:val="Fett"/>
        </w:rPr>
        <w:t>Die strukturelle Leere des Initialpunkts</w:t>
      </w:r>
      <w:r>
        <w:t xml:space="preserve">: In realen physikalischen Anwendungen sind Ausgangszustände nie vollkommen bedeutungsfrei. Die funktionale Modellierung beginnt idealtypisch „ex </w:t>
      </w:r>
      <w:proofErr w:type="spellStart"/>
      <w:r>
        <w:t>nihilo</w:t>
      </w:r>
      <w:proofErr w:type="spellEnd"/>
      <w:r>
        <w:t>“, was zwar erkenntnislogisch konsequent ist, aber den Anschluss an konkrete Messpraktiken und empirische Daten begrenzt.</w:t>
      </w:r>
    </w:p>
    <w:p w14:paraId="5916451A" w14:textId="77777777" w:rsidR="00B77CF3" w:rsidRDefault="00B77CF3" w:rsidP="00B77CF3">
      <w:pPr>
        <w:pStyle w:val="StandardWeb"/>
        <w:numPr>
          <w:ilvl w:val="0"/>
          <w:numId w:val="5"/>
        </w:numPr>
      </w:pPr>
      <w:r>
        <w:rPr>
          <w:rStyle w:val="Fett"/>
        </w:rPr>
        <w:t>Die Wahl der Zuweisungsregeln</w:t>
      </w:r>
      <w:r>
        <w:t xml:space="preserve">: Jede Modellierung beruht auf Entscheidungen darüber, </w:t>
      </w:r>
      <w:r>
        <w:rPr>
          <w:rStyle w:val="Hervorhebung"/>
        </w:rPr>
        <w:t>welche</w:t>
      </w:r>
      <w:r>
        <w:t xml:space="preserve"> Funktionen </w:t>
      </w:r>
      <w:r>
        <w:rPr>
          <w:rStyle w:val="Hervorhebung"/>
        </w:rPr>
        <w:t>wie</w:t>
      </w:r>
      <w:r>
        <w:t xml:space="preserve"> zugewiesen werden. Diese Entscheidungen sind nicht rein formal, sondern implizieren normative und theoretische Setzungen, die nicht aus dem System selbst hervorgehen.</w:t>
      </w:r>
    </w:p>
    <w:p w14:paraId="4665D7DA" w14:textId="77777777" w:rsidR="00B77CF3" w:rsidRDefault="00B77CF3" w:rsidP="00B77CF3">
      <w:pPr>
        <w:pStyle w:val="StandardWeb"/>
        <w:numPr>
          <w:ilvl w:val="0"/>
          <w:numId w:val="5"/>
        </w:numPr>
      </w:pPr>
      <w:r>
        <w:rPr>
          <w:rStyle w:val="Fett"/>
        </w:rPr>
        <w:t>Der Ausschluss nicht-funktionaler Effekte</w:t>
      </w:r>
      <w:r>
        <w:t xml:space="preserve">: Phänomene wie Störungen, chaotische Dynamiken, Nichtlinearitäten oder Quantenfluktuationen lassen sich nur bedingt in </w:t>
      </w:r>
      <w:r>
        <w:lastRenderedPageBreak/>
        <w:t>eine rein funktionale Struktur überführen – zumindest nicht ohne eine erhebliche Erweiterung der zugrunde liegenden mathematischen Werkzeuge.</w:t>
      </w:r>
    </w:p>
    <w:p w14:paraId="4C16A521" w14:textId="64A2AB73" w:rsidR="00B77CF3" w:rsidRDefault="00A952BE" w:rsidP="00B77CF3">
      <w:pPr>
        <w:pStyle w:val="berschrift4"/>
      </w:pPr>
      <w:r>
        <w:t>4.</w:t>
      </w:r>
      <w:r w:rsidR="00B77CF3">
        <w:t>6.2 Anschlussfähigkeit an moderne theoretische Physik</w:t>
      </w:r>
    </w:p>
    <w:p w14:paraId="1BC9C226" w14:textId="77777777" w:rsidR="00B77CF3" w:rsidRDefault="00B77CF3" w:rsidP="00B77CF3">
      <w:pPr>
        <w:pStyle w:val="StandardWeb"/>
      </w:pPr>
      <w:r>
        <w:t xml:space="preserve">Trotz (oder gerade wegen) ihrer idealisierten Struktur bietet die funktionale Modellierung zahlreiche </w:t>
      </w:r>
      <w:r>
        <w:rPr>
          <w:rStyle w:val="Fett"/>
        </w:rPr>
        <w:t>Anknüpfungspunkte an moderne Theoriebildung</w:t>
      </w:r>
      <w:r>
        <w:t>, etwa:</w:t>
      </w:r>
    </w:p>
    <w:p w14:paraId="2629F982" w14:textId="77777777" w:rsidR="00B77CF3" w:rsidRDefault="00B77CF3" w:rsidP="00B77CF3">
      <w:pPr>
        <w:pStyle w:val="StandardWeb"/>
        <w:numPr>
          <w:ilvl w:val="0"/>
          <w:numId w:val="6"/>
        </w:numPr>
      </w:pPr>
      <w:r>
        <w:rPr>
          <w:rStyle w:val="Fett"/>
        </w:rPr>
        <w:t>In der Relativitätstheorie</w:t>
      </w:r>
      <w:r>
        <w:t>: Die Idee, dass Raum und Zeit nicht gegeben, sondern durch metrische und dynamische Zuweisungen erzeugt sind, findet sich sowohl in Einsteins Feldgleichungen als auch in neueren Ansätzen wie der Loop-Quantengravitation.</w:t>
      </w:r>
    </w:p>
    <w:p w14:paraId="3355B191" w14:textId="77777777" w:rsidR="00B77CF3" w:rsidRDefault="00B77CF3" w:rsidP="00B77CF3">
      <w:pPr>
        <w:pStyle w:val="StandardWeb"/>
        <w:numPr>
          <w:ilvl w:val="0"/>
          <w:numId w:val="6"/>
        </w:numPr>
      </w:pPr>
      <w:r>
        <w:rPr>
          <w:rStyle w:val="Fett"/>
        </w:rPr>
        <w:t>In der Quanteninformationstheorie</w:t>
      </w:r>
      <w:r>
        <w:t>: Informationszuweisungen an Zustände (z. B. über Dichtematrizen oder Wellenfunktionen) sind konzeptionell verwandt mit funktionalen Zuweisungsstrukturen.</w:t>
      </w:r>
    </w:p>
    <w:p w14:paraId="7989CA22" w14:textId="77777777" w:rsidR="00B77CF3" w:rsidRDefault="00B77CF3" w:rsidP="00B77CF3">
      <w:pPr>
        <w:pStyle w:val="StandardWeb"/>
        <w:numPr>
          <w:ilvl w:val="0"/>
          <w:numId w:val="6"/>
        </w:numPr>
      </w:pPr>
      <w:r>
        <w:rPr>
          <w:rStyle w:val="Fett"/>
        </w:rPr>
        <w:t xml:space="preserve">In der Kategorientheorie und </w:t>
      </w:r>
      <w:proofErr w:type="spellStart"/>
      <w:r>
        <w:rPr>
          <w:rStyle w:val="Fett"/>
        </w:rPr>
        <w:t>Toposphysik</w:t>
      </w:r>
      <w:proofErr w:type="spellEnd"/>
      <w:r>
        <w:t>: Die Sichtweise, dass Bedeutungen morphisch (also beziehungsbezogen) sind, ist zentral für moderne strukturalistische Formalisierungen physikalischer Theorien.</w:t>
      </w:r>
    </w:p>
    <w:p w14:paraId="361C7EFA" w14:textId="77777777" w:rsidR="00B77CF3" w:rsidRDefault="00B77CF3" w:rsidP="00B77CF3">
      <w:pPr>
        <w:pStyle w:val="StandardWeb"/>
        <w:numPr>
          <w:ilvl w:val="0"/>
          <w:numId w:val="6"/>
        </w:numPr>
      </w:pPr>
      <w:r>
        <w:rPr>
          <w:rStyle w:val="Fett"/>
        </w:rPr>
        <w:t>In der Systemtheorie und Kybernetik</w:t>
      </w:r>
      <w:r>
        <w:t>: Die iterative Konstruktion komplexer Zustände aus einfachen Ausgangszuständen ist methodisch anschlussfähig an autopoietische und systemische Modellansätze.</w:t>
      </w:r>
    </w:p>
    <w:p w14:paraId="7E4003C6" w14:textId="1F29EBEC" w:rsidR="00B77CF3" w:rsidRDefault="00A952BE" w:rsidP="00B77CF3">
      <w:pPr>
        <w:pStyle w:val="berschrift4"/>
      </w:pPr>
      <w:r>
        <w:t>4.</w:t>
      </w:r>
      <w:r w:rsidR="00B77CF3">
        <w:t>6.3 Weiterentwicklung: Von der funktionalen Modellierung zur funktionalen Physik?</w:t>
      </w:r>
    </w:p>
    <w:p w14:paraId="78DDC3A7" w14:textId="77777777" w:rsidR="00B77CF3" w:rsidRDefault="00B77CF3" w:rsidP="00B77CF3">
      <w:pPr>
        <w:pStyle w:val="StandardWeb"/>
      </w:pPr>
      <w:r>
        <w:t xml:space="preserve">Ein langfristiges Ziel könnte darin bestehen, die funktionale Modellierung nicht nur als </w:t>
      </w:r>
      <w:r>
        <w:rPr>
          <w:rStyle w:val="Fett"/>
        </w:rPr>
        <w:t>didaktisch-methodisches Werkzeug</w:t>
      </w:r>
      <w:r>
        <w:t xml:space="preserve">, sondern als </w:t>
      </w:r>
      <w:r>
        <w:rPr>
          <w:rStyle w:val="Fett"/>
        </w:rPr>
        <w:t>alternatives Theorieformat</w:t>
      </w:r>
      <w:r>
        <w:t xml:space="preserve"> physikalischer Beschreibung weiterzuentwickeln – gewissermaßen als „funktionale Physik“. Dazu wären u. a. folgende Schritte notwendig:</w:t>
      </w:r>
    </w:p>
    <w:p w14:paraId="6EA7E044" w14:textId="77777777" w:rsidR="00B77CF3" w:rsidRDefault="00B77CF3" w:rsidP="00B77CF3">
      <w:pPr>
        <w:pStyle w:val="StandardWeb"/>
        <w:numPr>
          <w:ilvl w:val="0"/>
          <w:numId w:val="7"/>
        </w:numPr>
      </w:pPr>
      <w:r>
        <w:rPr>
          <w:rStyle w:val="Fett"/>
        </w:rPr>
        <w:t>Formale Fundierung</w:t>
      </w:r>
      <w:r>
        <w:t>: Entwicklung einer axiomatisch konsistenten Beschreibungssprache für Zuweisungsstrukturen.</w:t>
      </w:r>
    </w:p>
    <w:p w14:paraId="3953819F" w14:textId="77777777" w:rsidR="00B77CF3" w:rsidRDefault="00B77CF3" w:rsidP="00B77CF3">
      <w:pPr>
        <w:pStyle w:val="StandardWeb"/>
        <w:numPr>
          <w:ilvl w:val="0"/>
          <w:numId w:val="7"/>
        </w:numPr>
      </w:pPr>
      <w:r>
        <w:rPr>
          <w:rStyle w:val="Fett"/>
        </w:rPr>
        <w:t>Erweiterung auf nicht-deterministische Systeme</w:t>
      </w:r>
      <w:r>
        <w:t>: Einbindung probabilistischer und quantenmechanischer Aspekte.</w:t>
      </w:r>
    </w:p>
    <w:p w14:paraId="53A08069" w14:textId="77777777" w:rsidR="00B77CF3" w:rsidRDefault="00B77CF3" w:rsidP="00B77CF3">
      <w:pPr>
        <w:pStyle w:val="StandardWeb"/>
        <w:numPr>
          <w:ilvl w:val="0"/>
          <w:numId w:val="7"/>
        </w:numPr>
      </w:pPr>
      <w:r>
        <w:rPr>
          <w:rStyle w:val="Fett"/>
        </w:rPr>
        <w:t>Simulation komplexer Systeme</w:t>
      </w:r>
      <w:r>
        <w:t>: Aufbau modularer Modellarchitekturen zur Beschreibung offener, interagierender Systeme.</w:t>
      </w:r>
    </w:p>
    <w:p w14:paraId="4F6B1934" w14:textId="77777777" w:rsidR="00B77CF3" w:rsidRDefault="00B77CF3" w:rsidP="00B77CF3">
      <w:pPr>
        <w:pStyle w:val="StandardWeb"/>
        <w:numPr>
          <w:ilvl w:val="0"/>
          <w:numId w:val="7"/>
        </w:numPr>
      </w:pPr>
      <w:r>
        <w:rPr>
          <w:rStyle w:val="Fett"/>
        </w:rPr>
        <w:t>Epistemische Modellierung der Modellbildung selbst</w:t>
      </w:r>
      <w:r>
        <w:t>: Meta-Modelle, die den Prozess der Zuweisung wiederum funktional fassen.</w:t>
      </w:r>
    </w:p>
    <w:p w14:paraId="5AB2D0A8" w14:textId="61D7C6FB" w:rsidR="00B77CF3" w:rsidRDefault="00A952BE" w:rsidP="00B77CF3">
      <w:pPr>
        <w:pStyle w:val="berschrift4"/>
      </w:pPr>
      <w:r>
        <w:t>4.</w:t>
      </w:r>
      <w:r w:rsidR="00B77CF3">
        <w:t>6.4 Ausblick</w:t>
      </w:r>
    </w:p>
    <w:p w14:paraId="18FBA509" w14:textId="77777777" w:rsidR="00B77CF3" w:rsidRDefault="00B77CF3" w:rsidP="00B77CF3">
      <w:pPr>
        <w:pStyle w:val="StandardWeb"/>
      </w:pPr>
      <w:r>
        <w:t xml:space="preserve">Die funktionale Modellierung bietet ein kraftvolles Instrumentarium zur </w:t>
      </w:r>
      <w:proofErr w:type="spellStart"/>
      <w:r>
        <w:t>Relektüre</w:t>
      </w:r>
      <w:proofErr w:type="spellEnd"/>
      <w:r>
        <w:t xml:space="preserve"> physikalischer Prozesse. Ihre Stärken liegen dort, wo Klarheit über die Entstehung physikalischer Bedeutung, über Modelltransparenz und über didaktische Nachvollziehbarkeit gefragt sind. Ihre Weiterentwicklung – sowohl formal als auch praktisch – könnte zu einer neuen Art führen, Physik zu verstehen: </w:t>
      </w:r>
      <w:r>
        <w:rPr>
          <w:rStyle w:val="Fett"/>
        </w:rPr>
        <w:t>nicht als Lehre von Dingen</w:t>
      </w:r>
      <w:r>
        <w:t xml:space="preserve">, sondern als </w:t>
      </w:r>
      <w:r>
        <w:rPr>
          <w:rStyle w:val="Fett"/>
        </w:rPr>
        <w:t>Architektur von Beziehungen</w:t>
      </w:r>
      <w:r>
        <w:t>.</w:t>
      </w:r>
    </w:p>
    <w:p w14:paraId="71AD0997" w14:textId="72369D4A" w:rsidR="00B77CF3" w:rsidRDefault="00B77CF3" w:rsidP="00B77CF3">
      <w:pPr>
        <w:pStyle w:val="berschrift3"/>
      </w:pPr>
      <w:r>
        <w:t xml:space="preserve">Literaturverzeichnis Kapitel </w:t>
      </w:r>
      <w:r w:rsidR="001A784D">
        <w:t>4</w:t>
      </w:r>
    </w:p>
    <w:p w14:paraId="1655D2BB" w14:textId="77777777" w:rsidR="00B77CF3" w:rsidRDefault="00B77CF3" w:rsidP="00B77CF3">
      <w:pPr>
        <w:pStyle w:val="StandardWeb"/>
      </w:pPr>
      <w:r>
        <w:t xml:space="preserve">[1] </w:t>
      </w:r>
      <w:r>
        <w:rPr>
          <w:rStyle w:val="Fett"/>
        </w:rPr>
        <w:t xml:space="preserve">Krantz, D. H., Luce, R. D., </w:t>
      </w:r>
      <w:proofErr w:type="spellStart"/>
      <w:r>
        <w:rPr>
          <w:rStyle w:val="Fett"/>
        </w:rPr>
        <w:t>Suppes</w:t>
      </w:r>
      <w:proofErr w:type="spellEnd"/>
      <w:r>
        <w:rPr>
          <w:rStyle w:val="Fett"/>
        </w:rPr>
        <w:t>, P., &amp; Tversky, A.</w:t>
      </w:r>
      <w:r>
        <w:t xml:space="preserve"> (1971). </w:t>
      </w:r>
      <w:r>
        <w:rPr>
          <w:rStyle w:val="Hervorhebung"/>
        </w:rPr>
        <w:t xml:space="preserve">Foundations </w:t>
      </w:r>
      <w:proofErr w:type="spellStart"/>
      <w:r>
        <w:rPr>
          <w:rStyle w:val="Hervorhebung"/>
        </w:rPr>
        <w:t>of</w:t>
      </w:r>
      <w:proofErr w:type="spellEnd"/>
      <w:r>
        <w:rPr>
          <w:rStyle w:val="Hervorhebung"/>
        </w:rPr>
        <w:t xml:space="preserve"> Measurement, Volume I: Additive and Polynomial </w:t>
      </w:r>
      <w:proofErr w:type="spellStart"/>
      <w:r>
        <w:rPr>
          <w:rStyle w:val="Hervorhebung"/>
        </w:rPr>
        <w:t>Representations</w:t>
      </w:r>
      <w:proofErr w:type="spellEnd"/>
      <w:r>
        <w:t>. Academic Press.</w:t>
      </w:r>
    </w:p>
    <w:p w14:paraId="7582008F" w14:textId="77777777" w:rsidR="00B77CF3" w:rsidRDefault="00B77CF3" w:rsidP="00B77CF3">
      <w:pPr>
        <w:pStyle w:val="StandardWeb"/>
      </w:pPr>
      <w:r>
        <w:lastRenderedPageBreak/>
        <w:t xml:space="preserve">[2] </w:t>
      </w:r>
      <w:proofErr w:type="spellStart"/>
      <w:r>
        <w:rPr>
          <w:rStyle w:val="Fett"/>
        </w:rPr>
        <w:t>Misner</w:t>
      </w:r>
      <w:proofErr w:type="spellEnd"/>
      <w:r>
        <w:rPr>
          <w:rStyle w:val="Fett"/>
        </w:rPr>
        <w:t>, C. W., Thorne, K. S., &amp; Wheeler, J. A.</w:t>
      </w:r>
      <w:r>
        <w:t xml:space="preserve"> (1973). </w:t>
      </w:r>
      <w:r>
        <w:rPr>
          <w:rStyle w:val="Hervorhebung"/>
        </w:rPr>
        <w:t>Gravitation</w:t>
      </w:r>
      <w:r>
        <w:t>. W. H. Freeman and Company.</w:t>
      </w:r>
    </w:p>
    <w:p w14:paraId="175C69BC" w14:textId="77777777" w:rsidR="00B77CF3" w:rsidRDefault="00B77CF3" w:rsidP="00B77CF3">
      <w:pPr>
        <w:pStyle w:val="StandardWeb"/>
      </w:pPr>
      <w:r>
        <w:t xml:space="preserve">[3] </w:t>
      </w:r>
      <w:proofErr w:type="spellStart"/>
      <w:r>
        <w:rPr>
          <w:rStyle w:val="Fett"/>
        </w:rPr>
        <w:t>Spivak</w:t>
      </w:r>
      <w:proofErr w:type="spellEnd"/>
      <w:r>
        <w:rPr>
          <w:rStyle w:val="Fett"/>
        </w:rPr>
        <w:t>, M.</w:t>
      </w:r>
      <w:r>
        <w:t xml:space="preserve"> (1999).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rPr>
          <w:rStyle w:val="Hervorhebung"/>
        </w:rPr>
        <w:t>, Vol. II</w:t>
      </w:r>
      <w:r>
        <w:t xml:space="preserve">. Publish </w:t>
      </w:r>
      <w:proofErr w:type="spellStart"/>
      <w:r>
        <w:t>or</w:t>
      </w:r>
      <w:proofErr w:type="spellEnd"/>
      <w:r>
        <w:t xml:space="preserve"> </w:t>
      </w:r>
      <w:proofErr w:type="spellStart"/>
      <w:r>
        <w:t>Perish</w:t>
      </w:r>
      <w:proofErr w:type="spellEnd"/>
      <w:r>
        <w:t>.</w:t>
      </w:r>
    </w:p>
    <w:p w14:paraId="4F510778" w14:textId="77777777" w:rsidR="00B77CF3" w:rsidRDefault="00B77CF3" w:rsidP="00B77CF3">
      <w:pPr>
        <w:pStyle w:val="StandardWeb"/>
      </w:pPr>
      <w:r>
        <w:t xml:space="preserve">[4] </w:t>
      </w:r>
      <w:r>
        <w:rPr>
          <w:rStyle w:val="Fett"/>
        </w:rPr>
        <w:t xml:space="preserve">Baez, J., &amp; </w:t>
      </w:r>
      <w:proofErr w:type="spellStart"/>
      <w:r>
        <w:rPr>
          <w:rStyle w:val="Fett"/>
        </w:rPr>
        <w:t>Stay</w:t>
      </w:r>
      <w:proofErr w:type="spellEnd"/>
      <w:r>
        <w:rPr>
          <w:rStyle w:val="Fett"/>
        </w:rPr>
        <w:t>, M.</w:t>
      </w:r>
      <w:r>
        <w:t xml:space="preserve"> (2011). Physics, </w:t>
      </w:r>
      <w:proofErr w:type="spellStart"/>
      <w:r>
        <w:t>Topology</w:t>
      </w:r>
      <w:proofErr w:type="spellEnd"/>
      <w:r>
        <w:t xml:space="preserve">, </w:t>
      </w:r>
      <w:proofErr w:type="spellStart"/>
      <w:r>
        <w:t>Logic</w:t>
      </w:r>
      <w:proofErr w:type="spellEnd"/>
      <w:r>
        <w:t xml:space="preserve"> and </w:t>
      </w:r>
      <w:proofErr w:type="spellStart"/>
      <w:r>
        <w:t>Computation</w:t>
      </w:r>
      <w:proofErr w:type="spellEnd"/>
      <w:r>
        <w:t xml:space="preserve">: A Rosetta Stone. In B. </w:t>
      </w:r>
      <w:proofErr w:type="spellStart"/>
      <w:r>
        <w:t>Coecke</w:t>
      </w:r>
      <w:proofErr w:type="spellEnd"/>
      <w:r>
        <w:t xml:space="preserve"> (Hrsg.),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xml:space="preserve"> (S. 95–172). Springer.</w:t>
      </w:r>
    </w:p>
    <w:p w14:paraId="72986CF1" w14:textId="77777777" w:rsidR="00B77CF3" w:rsidRDefault="00B77CF3" w:rsidP="00B77CF3">
      <w:pPr>
        <w:pStyle w:val="StandardWeb"/>
      </w:pPr>
      <w:r>
        <w:t xml:space="preserve">[5] </w:t>
      </w:r>
      <w:r>
        <w:rPr>
          <w:rStyle w:val="Fett"/>
        </w:rPr>
        <w:t>Weyl, H.</w:t>
      </w:r>
      <w:r>
        <w:t xml:space="preserve">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5C985E66" w14:textId="77777777" w:rsidR="00B77CF3" w:rsidRDefault="00B77CF3" w:rsidP="00B77CF3">
      <w:pPr>
        <w:pStyle w:val="StandardWeb"/>
      </w:pPr>
      <w:r>
        <w:t xml:space="preserve">[6] </w:t>
      </w:r>
      <w:r>
        <w:rPr>
          <w:rStyle w:val="Fett"/>
        </w:rPr>
        <w:t xml:space="preserve">von </w:t>
      </w:r>
      <w:proofErr w:type="spellStart"/>
      <w:r>
        <w:rPr>
          <w:rStyle w:val="Fett"/>
        </w:rPr>
        <w:t>Glasersfeld</w:t>
      </w:r>
      <w:proofErr w:type="spellEnd"/>
      <w:r>
        <w:rPr>
          <w:rStyle w:val="Fett"/>
        </w:rPr>
        <w:t>, E.</w:t>
      </w:r>
      <w:r>
        <w:t xml:space="preserve"> (1995). </w:t>
      </w:r>
      <w:proofErr w:type="spellStart"/>
      <w:r>
        <w:rPr>
          <w:rStyle w:val="Hervorhebung"/>
        </w:rPr>
        <w:t>Radical</w:t>
      </w:r>
      <w:proofErr w:type="spellEnd"/>
      <w:r>
        <w:rPr>
          <w:rStyle w:val="Hervorhebung"/>
        </w:rPr>
        <w:t xml:space="preserve"> </w:t>
      </w:r>
      <w:proofErr w:type="spellStart"/>
      <w:r>
        <w:rPr>
          <w:rStyle w:val="Hervorhebung"/>
        </w:rPr>
        <w:t>Constructivism</w:t>
      </w:r>
      <w:proofErr w:type="spellEnd"/>
      <w:r>
        <w:rPr>
          <w:rStyle w:val="Hervorhebung"/>
        </w:rPr>
        <w:t xml:space="preserve">: A Way </w:t>
      </w:r>
      <w:proofErr w:type="spellStart"/>
      <w:r>
        <w:rPr>
          <w:rStyle w:val="Hervorhebung"/>
        </w:rPr>
        <w:t>of</w:t>
      </w:r>
      <w:proofErr w:type="spellEnd"/>
      <w:r>
        <w:rPr>
          <w:rStyle w:val="Hervorhebung"/>
        </w:rPr>
        <w:t xml:space="preserve"> </w:t>
      </w:r>
      <w:proofErr w:type="spellStart"/>
      <w:r>
        <w:rPr>
          <w:rStyle w:val="Hervorhebung"/>
        </w:rPr>
        <w:t>Knowing</w:t>
      </w:r>
      <w:proofErr w:type="spellEnd"/>
      <w:r>
        <w:rPr>
          <w:rStyle w:val="Hervorhebung"/>
        </w:rPr>
        <w:t xml:space="preserve"> and Learning</w:t>
      </w:r>
      <w:r>
        <w:t xml:space="preserve">. </w:t>
      </w:r>
      <w:proofErr w:type="spellStart"/>
      <w:r>
        <w:t>RoutledgeFalmer</w:t>
      </w:r>
      <w:proofErr w:type="spellEnd"/>
      <w:r>
        <w:t>.</w:t>
      </w:r>
    </w:p>
    <w:p w14:paraId="5C6A4AD7" w14:textId="77777777" w:rsidR="00B77CF3" w:rsidRDefault="00B77CF3" w:rsidP="00B77CF3">
      <w:pPr>
        <w:pStyle w:val="StandardWeb"/>
      </w:pPr>
      <w:r>
        <w:t xml:space="preserve">[7] </w:t>
      </w:r>
      <w:r>
        <w:rPr>
          <w:rStyle w:val="Fett"/>
        </w:rPr>
        <w:t xml:space="preserve">van </w:t>
      </w:r>
      <w:proofErr w:type="spellStart"/>
      <w:r>
        <w:rPr>
          <w:rStyle w:val="Fett"/>
        </w:rPr>
        <w:t>Fraassen</w:t>
      </w:r>
      <w:proofErr w:type="spellEnd"/>
      <w:r>
        <w:rPr>
          <w:rStyle w:val="Fett"/>
        </w:rPr>
        <w:t>, B. C.</w:t>
      </w:r>
      <w:r>
        <w:t xml:space="preserve"> (1980). </w:t>
      </w:r>
      <w:r>
        <w:rPr>
          <w:rStyle w:val="Hervorhebung"/>
        </w:rPr>
        <w:t>The Scientific Image</w:t>
      </w:r>
      <w:r>
        <w:t>. Oxford University Press.</w:t>
      </w:r>
    </w:p>
    <w:p w14:paraId="74C6077F" w14:textId="77777777" w:rsidR="00B77CF3" w:rsidRDefault="00B77CF3" w:rsidP="00B77CF3">
      <w:pPr>
        <w:pStyle w:val="StandardWeb"/>
      </w:pPr>
      <w:r>
        <w:t xml:space="preserve">[8] </w:t>
      </w:r>
      <w:r>
        <w:rPr>
          <w:rStyle w:val="Fett"/>
        </w:rPr>
        <w:t>Giere, R. N.</w:t>
      </w:r>
      <w:r>
        <w:t xml:space="preserve"> (2006). </w:t>
      </w:r>
      <w:r>
        <w:rPr>
          <w:rStyle w:val="Hervorhebung"/>
        </w:rPr>
        <w:t xml:space="preserve">Scientific </w:t>
      </w:r>
      <w:proofErr w:type="spellStart"/>
      <w:r>
        <w:rPr>
          <w:rStyle w:val="Hervorhebung"/>
        </w:rPr>
        <w:t>Perspectivism</w:t>
      </w:r>
      <w:proofErr w:type="spellEnd"/>
      <w:r>
        <w:t xml:space="preserve">. University </w:t>
      </w:r>
      <w:proofErr w:type="spellStart"/>
      <w:r>
        <w:t>of</w:t>
      </w:r>
      <w:proofErr w:type="spellEnd"/>
      <w:r>
        <w:t xml:space="preserve"> Chicago Press.</w:t>
      </w:r>
    </w:p>
    <w:p w14:paraId="6C1A9AD4" w14:textId="77777777" w:rsidR="00B77CF3" w:rsidRDefault="00B77CF3" w:rsidP="00B77CF3">
      <w:pPr>
        <w:pStyle w:val="StandardWeb"/>
      </w:pPr>
      <w:r>
        <w:t xml:space="preserve">[9] </w:t>
      </w:r>
      <w:r>
        <w:rPr>
          <w:rStyle w:val="Fett"/>
        </w:rPr>
        <w:t>Cartwright, N.</w:t>
      </w:r>
      <w:r>
        <w:t xml:space="preserve"> (1983). </w:t>
      </w:r>
      <w:proofErr w:type="spellStart"/>
      <w:r>
        <w:rPr>
          <w:rStyle w:val="Hervorhebung"/>
        </w:rPr>
        <w:t>How</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Physics </w:t>
      </w:r>
      <w:proofErr w:type="spellStart"/>
      <w:r>
        <w:rPr>
          <w:rStyle w:val="Hervorhebung"/>
        </w:rPr>
        <w:t>Lie</w:t>
      </w:r>
      <w:proofErr w:type="spellEnd"/>
      <w:r>
        <w:t>. Oxford University Press.</w:t>
      </w:r>
    </w:p>
    <w:p w14:paraId="120E2174" w14:textId="77777777" w:rsidR="001A784D" w:rsidRDefault="001A784D"/>
    <w:sectPr w:rsidR="001A784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C1E"/>
    <w:multiLevelType w:val="multilevel"/>
    <w:tmpl w:val="AD5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F6D91"/>
    <w:multiLevelType w:val="multilevel"/>
    <w:tmpl w:val="3CA6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7D113E"/>
    <w:multiLevelType w:val="multilevel"/>
    <w:tmpl w:val="450A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200F43"/>
    <w:multiLevelType w:val="multilevel"/>
    <w:tmpl w:val="5AD0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8369AA"/>
    <w:multiLevelType w:val="multilevel"/>
    <w:tmpl w:val="B452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47BA0"/>
    <w:multiLevelType w:val="multilevel"/>
    <w:tmpl w:val="F52A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BA511F"/>
    <w:multiLevelType w:val="multilevel"/>
    <w:tmpl w:val="CA2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4"/>
  </w:num>
  <w:num w:numId="4">
    <w:abstractNumId w:val="3"/>
  </w:num>
  <w:num w:numId="5">
    <w:abstractNumId w:val="2"/>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F3"/>
    <w:rsid w:val="001A784D"/>
    <w:rsid w:val="00517973"/>
    <w:rsid w:val="00574406"/>
    <w:rsid w:val="00723DF6"/>
    <w:rsid w:val="008871CF"/>
    <w:rsid w:val="00A952BE"/>
    <w:rsid w:val="00B77CF3"/>
    <w:rsid w:val="00E01B6A"/>
    <w:rsid w:val="00E6450A"/>
    <w:rsid w:val="00FA6A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D50B"/>
  <w15:chartTrackingRefBased/>
  <w15:docId w15:val="{3E2016FF-289B-49B1-9A8B-FAE9A7023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B77CF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B77CF3"/>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paragraph" w:styleId="berschrift5">
    <w:name w:val="heading 5"/>
    <w:basedOn w:val="Standard"/>
    <w:next w:val="Standard"/>
    <w:link w:val="berschrift5Zchn"/>
    <w:uiPriority w:val="9"/>
    <w:semiHidden/>
    <w:unhideWhenUsed/>
    <w:qFormat/>
    <w:rsid w:val="001A784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B77CF3"/>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B77CF3"/>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B77CF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B77CF3"/>
    <w:rPr>
      <w:i/>
      <w:iCs/>
    </w:rPr>
  </w:style>
  <w:style w:type="character" w:customStyle="1" w:styleId="katex-mathml">
    <w:name w:val="katex-mathml"/>
    <w:basedOn w:val="Absatz-Standardschriftart"/>
    <w:rsid w:val="00B77CF3"/>
  </w:style>
  <w:style w:type="character" w:customStyle="1" w:styleId="mord">
    <w:name w:val="mord"/>
    <w:basedOn w:val="Absatz-Standardschriftart"/>
    <w:rsid w:val="00B77CF3"/>
  </w:style>
  <w:style w:type="character" w:customStyle="1" w:styleId="mrel">
    <w:name w:val="mrel"/>
    <w:basedOn w:val="Absatz-Standardschriftart"/>
    <w:rsid w:val="00B77CF3"/>
  </w:style>
  <w:style w:type="character" w:customStyle="1" w:styleId="mopen">
    <w:name w:val="mopen"/>
    <w:basedOn w:val="Absatz-Standardschriftart"/>
    <w:rsid w:val="00B77CF3"/>
  </w:style>
  <w:style w:type="character" w:customStyle="1" w:styleId="mclose">
    <w:name w:val="mclose"/>
    <w:basedOn w:val="Absatz-Standardschriftart"/>
    <w:rsid w:val="00B77CF3"/>
  </w:style>
  <w:style w:type="character" w:customStyle="1" w:styleId="vlist-s">
    <w:name w:val="vlist-s"/>
    <w:basedOn w:val="Absatz-Standardschriftart"/>
    <w:rsid w:val="00B77CF3"/>
  </w:style>
  <w:style w:type="character" w:customStyle="1" w:styleId="mop">
    <w:name w:val="mop"/>
    <w:basedOn w:val="Absatz-Standardschriftart"/>
    <w:rsid w:val="00B77CF3"/>
  </w:style>
  <w:style w:type="character" w:customStyle="1" w:styleId="mbin">
    <w:name w:val="mbin"/>
    <w:basedOn w:val="Absatz-Standardschriftart"/>
    <w:rsid w:val="00B77CF3"/>
  </w:style>
  <w:style w:type="character" w:customStyle="1" w:styleId="mpunct">
    <w:name w:val="mpunct"/>
    <w:basedOn w:val="Absatz-Standardschriftart"/>
    <w:rsid w:val="00B77CF3"/>
  </w:style>
  <w:style w:type="character" w:styleId="Fett">
    <w:name w:val="Strong"/>
    <w:basedOn w:val="Absatz-Standardschriftart"/>
    <w:uiPriority w:val="22"/>
    <w:qFormat/>
    <w:rsid w:val="00B77CF3"/>
    <w:rPr>
      <w:b/>
      <w:bCs/>
    </w:rPr>
  </w:style>
  <w:style w:type="character" w:customStyle="1" w:styleId="berschrift5Zchn">
    <w:name w:val="Überschrift 5 Zchn"/>
    <w:basedOn w:val="Absatz-Standardschriftart"/>
    <w:link w:val="berschrift5"/>
    <w:uiPriority w:val="9"/>
    <w:semiHidden/>
    <w:rsid w:val="001A784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9997">
      <w:bodyDiv w:val="1"/>
      <w:marLeft w:val="0"/>
      <w:marRight w:val="0"/>
      <w:marTop w:val="0"/>
      <w:marBottom w:val="0"/>
      <w:divBdr>
        <w:top w:val="none" w:sz="0" w:space="0" w:color="auto"/>
        <w:left w:val="none" w:sz="0" w:space="0" w:color="auto"/>
        <w:bottom w:val="none" w:sz="0" w:space="0" w:color="auto"/>
        <w:right w:val="none" w:sz="0" w:space="0" w:color="auto"/>
      </w:divBdr>
    </w:div>
    <w:div w:id="105464182">
      <w:bodyDiv w:val="1"/>
      <w:marLeft w:val="0"/>
      <w:marRight w:val="0"/>
      <w:marTop w:val="0"/>
      <w:marBottom w:val="0"/>
      <w:divBdr>
        <w:top w:val="none" w:sz="0" w:space="0" w:color="auto"/>
        <w:left w:val="none" w:sz="0" w:space="0" w:color="auto"/>
        <w:bottom w:val="none" w:sz="0" w:space="0" w:color="auto"/>
        <w:right w:val="none" w:sz="0" w:space="0" w:color="auto"/>
      </w:divBdr>
      <w:divsChild>
        <w:div w:id="1991129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79416">
      <w:bodyDiv w:val="1"/>
      <w:marLeft w:val="0"/>
      <w:marRight w:val="0"/>
      <w:marTop w:val="0"/>
      <w:marBottom w:val="0"/>
      <w:divBdr>
        <w:top w:val="none" w:sz="0" w:space="0" w:color="auto"/>
        <w:left w:val="none" w:sz="0" w:space="0" w:color="auto"/>
        <w:bottom w:val="none" w:sz="0" w:space="0" w:color="auto"/>
        <w:right w:val="none" w:sz="0" w:space="0" w:color="auto"/>
      </w:divBdr>
    </w:div>
    <w:div w:id="343941212">
      <w:bodyDiv w:val="1"/>
      <w:marLeft w:val="0"/>
      <w:marRight w:val="0"/>
      <w:marTop w:val="0"/>
      <w:marBottom w:val="0"/>
      <w:divBdr>
        <w:top w:val="none" w:sz="0" w:space="0" w:color="auto"/>
        <w:left w:val="none" w:sz="0" w:space="0" w:color="auto"/>
        <w:bottom w:val="none" w:sz="0" w:space="0" w:color="auto"/>
        <w:right w:val="none" w:sz="0" w:space="0" w:color="auto"/>
      </w:divBdr>
      <w:divsChild>
        <w:div w:id="1828784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6057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642030">
      <w:bodyDiv w:val="1"/>
      <w:marLeft w:val="0"/>
      <w:marRight w:val="0"/>
      <w:marTop w:val="0"/>
      <w:marBottom w:val="0"/>
      <w:divBdr>
        <w:top w:val="none" w:sz="0" w:space="0" w:color="auto"/>
        <w:left w:val="none" w:sz="0" w:space="0" w:color="auto"/>
        <w:bottom w:val="none" w:sz="0" w:space="0" w:color="auto"/>
        <w:right w:val="none" w:sz="0" w:space="0" w:color="auto"/>
      </w:divBdr>
      <w:divsChild>
        <w:div w:id="1254974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1352806">
      <w:bodyDiv w:val="1"/>
      <w:marLeft w:val="0"/>
      <w:marRight w:val="0"/>
      <w:marTop w:val="0"/>
      <w:marBottom w:val="0"/>
      <w:divBdr>
        <w:top w:val="none" w:sz="0" w:space="0" w:color="auto"/>
        <w:left w:val="none" w:sz="0" w:space="0" w:color="auto"/>
        <w:bottom w:val="none" w:sz="0" w:space="0" w:color="auto"/>
        <w:right w:val="none" w:sz="0" w:space="0" w:color="auto"/>
      </w:divBdr>
    </w:div>
    <w:div w:id="1449857718">
      <w:bodyDiv w:val="1"/>
      <w:marLeft w:val="0"/>
      <w:marRight w:val="0"/>
      <w:marTop w:val="0"/>
      <w:marBottom w:val="0"/>
      <w:divBdr>
        <w:top w:val="none" w:sz="0" w:space="0" w:color="auto"/>
        <w:left w:val="none" w:sz="0" w:space="0" w:color="auto"/>
        <w:bottom w:val="none" w:sz="0" w:space="0" w:color="auto"/>
        <w:right w:val="none" w:sz="0" w:space="0" w:color="auto"/>
      </w:divBdr>
      <w:divsChild>
        <w:div w:id="1962564678">
          <w:blockQuote w:val="1"/>
          <w:marLeft w:val="720"/>
          <w:marRight w:val="720"/>
          <w:marTop w:val="100"/>
          <w:marBottom w:val="100"/>
          <w:divBdr>
            <w:top w:val="none" w:sz="0" w:space="0" w:color="auto"/>
            <w:left w:val="none" w:sz="0" w:space="0" w:color="auto"/>
            <w:bottom w:val="none" w:sz="0" w:space="0" w:color="auto"/>
            <w:right w:val="none" w:sz="0" w:space="0" w:color="auto"/>
          </w:divBdr>
        </w:div>
        <w:div w:id="500465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667656">
      <w:bodyDiv w:val="1"/>
      <w:marLeft w:val="0"/>
      <w:marRight w:val="0"/>
      <w:marTop w:val="0"/>
      <w:marBottom w:val="0"/>
      <w:divBdr>
        <w:top w:val="none" w:sz="0" w:space="0" w:color="auto"/>
        <w:left w:val="none" w:sz="0" w:space="0" w:color="auto"/>
        <w:bottom w:val="none" w:sz="0" w:space="0" w:color="auto"/>
        <w:right w:val="none" w:sz="0" w:space="0" w:color="auto"/>
      </w:divBdr>
      <w:divsChild>
        <w:div w:id="163055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99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965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3404</Words>
  <Characters>21451</Characters>
  <Application>Microsoft Office Word</Application>
  <DocSecurity>0</DocSecurity>
  <Lines>178</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2025-05-28T03:10:00Z</dcterms:created>
  <dcterms:modified xsi:type="dcterms:W3CDTF">2025-05-28T05:58:00Z</dcterms:modified>
</cp:coreProperties>
</file>