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6D68B" w14:textId="77777777" w:rsidR="003E21FD" w:rsidRPr="003E21FD" w:rsidRDefault="003E21FD" w:rsidP="003E21F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E21FD">
        <w:rPr>
          <w:rFonts w:ascii="Times New Roman" w:eastAsia="Times New Roman" w:hAnsi="Times New Roman" w:cs="Times New Roman"/>
          <w:b/>
          <w:bCs/>
          <w:sz w:val="36"/>
          <w:szCs w:val="36"/>
          <w:lang w:eastAsia="de-DE"/>
        </w:rPr>
        <w:t>Kapitel: Entstehung, Modellierung und Konkretisierung des adaptiven Betrachtungsdreiecks</w:t>
      </w:r>
    </w:p>
    <w:p w14:paraId="0BA18BF5"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1. Einleitung</w:t>
      </w:r>
    </w:p>
    <w:p w14:paraId="4F82FA6A"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 xml:space="preserve">Die vorliegende Erfindung eines adaptiven Betrachtungsdreiecks zur zeitkritischen Flächenabtastung und modellgestützten SPAD-Auswertung entstand im Rahmen einer grundlagen- und anwendungsorientierten Untersuchung zur photonischen 3D-Erfassung in Echtzeitsystemen. Der Impuls zur Entwicklung ging von konkreten Einschränkungen aktueller Nahfeldsensoren aus, insbesondere deren mangelnde geometrische Anpassbarkeit und unzureichende Verknüpfung von Sensordaten mit </w:t>
      </w:r>
      <w:proofErr w:type="spellStart"/>
      <w:r w:rsidRPr="003E21FD">
        <w:rPr>
          <w:rFonts w:ascii="Times New Roman" w:eastAsia="Times New Roman" w:hAnsi="Times New Roman" w:cs="Times New Roman"/>
          <w:sz w:val="24"/>
          <w:szCs w:val="24"/>
          <w:lang w:eastAsia="de-DE"/>
        </w:rPr>
        <w:t>Aktorentscheidungen</w:t>
      </w:r>
      <w:proofErr w:type="spellEnd"/>
      <w:r w:rsidRPr="003E21FD">
        <w:rPr>
          <w:rFonts w:ascii="Times New Roman" w:eastAsia="Times New Roman" w:hAnsi="Times New Roman" w:cs="Times New Roman"/>
          <w:sz w:val="24"/>
          <w:szCs w:val="24"/>
          <w:lang w:eastAsia="de-DE"/>
        </w:rPr>
        <w:t>.</w:t>
      </w:r>
    </w:p>
    <w:p w14:paraId="6ECD8820"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 xml:space="preserve">Ziel war die Entwicklung eines integrierten Systems, das sowohl strukturell als auch algorithmisch adaptiv arbeitet, modellbasierte Echtzeitanalyse ermöglicht und hardwareseitig </w:t>
      </w:r>
      <w:proofErr w:type="spellStart"/>
      <w:r w:rsidRPr="003E21FD">
        <w:rPr>
          <w:rFonts w:ascii="Times New Roman" w:eastAsia="Times New Roman" w:hAnsi="Times New Roman" w:cs="Times New Roman"/>
          <w:sz w:val="24"/>
          <w:szCs w:val="24"/>
          <w:lang w:eastAsia="de-DE"/>
        </w:rPr>
        <w:t>miniaturisierbar</w:t>
      </w:r>
      <w:proofErr w:type="spellEnd"/>
      <w:r w:rsidRPr="003E21FD">
        <w:rPr>
          <w:rFonts w:ascii="Times New Roman" w:eastAsia="Times New Roman" w:hAnsi="Times New Roman" w:cs="Times New Roman"/>
          <w:sz w:val="24"/>
          <w:szCs w:val="24"/>
          <w:lang w:eastAsia="de-DE"/>
        </w:rPr>
        <w:t xml:space="preserve"> ist.</w:t>
      </w:r>
    </w:p>
    <w:p w14:paraId="5DEC28BD"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1DF94438">
          <v:rect id="_x0000_i1025" style="width:0;height:1.5pt" o:hralign="center" o:hrstd="t" o:hr="t" fillcolor="#a0a0a0" stroked="f"/>
        </w:pict>
      </w:r>
    </w:p>
    <w:p w14:paraId="47E3B0E7"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2. Problemstellung und Innovationsbedarf</w:t>
      </w:r>
    </w:p>
    <w:p w14:paraId="05066A62"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Konventionelle 3D-Sensorik basiert häufig auf festen Geometrien (z. B. Stereoskopie, LIDAR) und ist auf bewegte oder gekrümmte Oberflächen nur begrenzt adaptierbar. Zudem wird die Signalverarbeitung weitgehend entkoppelt von der Erfassungseinheit realisiert, was zu Latenzen, Systemträgheit und eingeschränkter Aktionsfähigkeit führt.</w:t>
      </w:r>
    </w:p>
    <w:p w14:paraId="622BEA9F"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Eine adaptive Lösung, welche geometrische Selbstanpassung und modellgeführte Verarbeitung in einem sensornahen Aufbau integriert, war Stand der Technik bislang nicht verfügbar. Hier setzt die Erfindung an.</w:t>
      </w:r>
    </w:p>
    <w:p w14:paraId="49D4B85E"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7EBAE298">
          <v:rect id="_x0000_i1026" style="width:0;height:1.5pt" o:hralign="center" o:hrstd="t" o:hr="t" fillcolor="#a0a0a0" stroked="f"/>
        </w:pict>
      </w:r>
    </w:p>
    <w:p w14:paraId="00B1C97D"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3. Ausgangspunkt: Geometrisches Basismodell</w:t>
      </w:r>
    </w:p>
    <w:p w14:paraId="3F8B83FF"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 xml:space="preserve">Der Konstruktionsbeginn erfolgte mit der Definition einer elementaren Empfangsfläche in Form eines gleichseitigen Dreiecks. Dieses erlaubt eine symmetrische Sensorstruktur und bildet die Grundlage für eine reproduzierbare Teilung und Anpassung. Die Kantenlänge wurde zunächst normiert, sodass alle weiteren Skalen auf die </w:t>
      </w:r>
      <w:proofErr w:type="spellStart"/>
      <w:r w:rsidRPr="003E21FD">
        <w:rPr>
          <w:rFonts w:ascii="Times New Roman" w:eastAsia="Times New Roman" w:hAnsi="Times New Roman" w:cs="Times New Roman"/>
          <w:sz w:val="24"/>
          <w:szCs w:val="24"/>
          <w:lang w:eastAsia="de-DE"/>
        </w:rPr>
        <w:t>Miniaturisierbarkeit</w:t>
      </w:r>
      <w:proofErr w:type="spellEnd"/>
      <w:r w:rsidRPr="003E21FD">
        <w:rPr>
          <w:rFonts w:ascii="Times New Roman" w:eastAsia="Times New Roman" w:hAnsi="Times New Roman" w:cs="Times New Roman"/>
          <w:sz w:val="24"/>
          <w:szCs w:val="24"/>
          <w:lang w:eastAsia="de-DE"/>
        </w:rPr>
        <w:t xml:space="preserve"> hin überprüfbar blieben.</w:t>
      </w:r>
    </w:p>
    <w:p w14:paraId="6653A155"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Durch Kopplung des Dreiecks mit einem rückseitigen Punkt (ursprünglich Ursprungspunkt in einem Tetraeder) konnte die räumliche Wahrnehmung modelliert werden. Dabei wurde die Beobachtungsfläche als funktionaler Teil einer sphärisch gekrümmten Umgebung verstanden, deren Lichtstrahlen auf definierte Sensorpunkte treffen.</w:t>
      </w:r>
    </w:p>
    <w:p w14:paraId="31611B10"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6293E1A5">
          <v:rect id="_x0000_i1027" style="width:0;height:1.5pt" o:hralign="center" o:hrstd="t" o:hr="t" fillcolor="#a0a0a0" stroked="f"/>
        </w:pict>
      </w:r>
    </w:p>
    <w:p w14:paraId="7557FED7"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4. Aufbau der Sensorstruktur</w:t>
      </w:r>
    </w:p>
    <w:p w14:paraId="4BD869A1"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strukturierte Sensorfläche wurde schrittweise in einem 4-Schicht-Modell entwickelt:</w:t>
      </w:r>
    </w:p>
    <w:p w14:paraId="48591224" w14:textId="77777777" w:rsidR="003E21FD" w:rsidRPr="003E21FD" w:rsidRDefault="003E21FD" w:rsidP="003E2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b/>
          <w:bCs/>
          <w:sz w:val="24"/>
          <w:szCs w:val="24"/>
          <w:lang w:eastAsia="de-DE"/>
        </w:rPr>
        <w:lastRenderedPageBreak/>
        <w:t>Schicht 1:</w:t>
      </w:r>
      <w:r w:rsidRPr="003E21FD">
        <w:rPr>
          <w:rFonts w:ascii="Times New Roman" w:eastAsia="Times New Roman" w:hAnsi="Times New Roman" w:cs="Times New Roman"/>
          <w:sz w:val="24"/>
          <w:szCs w:val="24"/>
          <w:lang w:eastAsia="de-DE"/>
        </w:rPr>
        <w:t xml:space="preserve"> SPAD-Array zur Einzelphotonendetektion und Zeitstempelung (TDC-Basis)</w:t>
      </w:r>
    </w:p>
    <w:p w14:paraId="1C19C1F4" w14:textId="77777777" w:rsidR="003E21FD" w:rsidRPr="003E21FD" w:rsidRDefault="003E21FD" w:rsidP="003E2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b/>
          <w:bCs/>
          <w:sz w:val="24"/>
          <w:szCs w:val="24"/>
          <w:lang w:eastAsia="de-DE"/>
        </w:rPr>
        <w:t>Schicht 2:</w:t>
      </w:r>
      <w:r w:rsidRPr="003E21FD">
        <w:rPr>
          <w:rFonts w:ascii="Times New Roman" w:eastAsia="Times New Roman" w:hAnsi="Times New Roman" w:cs="Times New Roman"/>
          <w:sz w:val="24"/>
          <w:szCs w:val="24"/>
          <w:lang w:eastAsia="de-DE"/>
        </w:rPr>
        <w:t xml:space="preserve"> Daten- und Steuersignalleitungen zur Ansteuerung und Auslesung</w:t>
      </w:r>
    </w:p>
    <w:p w14:paraId="23325D13" w14:textId="77777777" w:rsidR="003E21FD" w:rsidRPr="003E21FD" w:rsidRDefault="003E21FD" w:rsidP="003E2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b/>
          <w:bCs/>
          <w:sz w:val="24"/>
          <w:szCs w:val="24"/>
          <w:lang w:eastAsia="de-DE"/>
        </w:rPr>
        <w:t>Schicht 3:</w:t>
      </w:r>
      <w:r w:rsidRPr="003E21FD">
        <w:rPr>
          <w:rFonts w:ascii="Times New Roman" w:eastAsia="Times New Roman" w:hAnsi="Times New Roman" w:cs="Times New Roman"/>
          <w:sz w:val="24"/>
          <w:szCs w:val="24"/>
          <w:lang w:eastAsia="de-DE"/>
        </w:rPr>
        <w:t xml:space="preserve"> Heizleiterstrukturen zur thermischen Formveränderung der Fläche</w:t>
      </w:r>
    </w:p>
    <w:p w14:paraId="5E29548D" w14:textId="77777777" w:rsidR="003E21FD" w:rsidRPr="003E21FD" w:rsidRDefault="003E21FD" w:rsidP="003E2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b/>
          <w:bCs/>
          <w:sz w:val="24"/>
          <w:szCs w:val="24"/>
          <w:lang w:eastAsia="de-DE"/>
        </w:rPr>
        <w:t>Schicht 4:</w:t>
      </w:r>
      <w:r w:rsidRPr="003E21FD">
        <w:rPr>
          <w:rFonts w:ascii="Times New Roman" w:eastAsia="Times New Roman" w:hAnsi="Times New Roman" w:cs="Times New Roman"/>
          <w:sz w:val="24"/>
          <w:szCs w:val="24"/>
          <w:lang w:eastAsia="de-DE"/>
        </w:rPr>
        <w:t xml:space="preserve"> Steuerlogikschicht mit Temperatursensoren zur Verformungsregelung</w:t>
      </w:r>
    </w:p>
    <w:p w14:paraId="729D9D54"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 xml:space="preserve">In einer späteren Erweiterung wurde eine </w:t>
      </w:r>
      <w:r w:rsidRPr="003E21FD">
        <w:rPr>
          <w:rFonts w:ascii="Times New Roman" w:eastAsia="Times New Roman" w:hAnsi="Times New Roman" w:cs="Times New Roman"/>
          <w:b/>
          <w:bCs/>
          <w:sz w:val="24"/>
          <w:szCs w:val="24"/>
          <w:lang w:eastAsia="de-DE"/>
        </w:rPr>
        <w:t>fünfte Schicht</w:t>
      </w:r>
      <w:r w:rsidRPr="003E21FD">
        <w:rPr>
          <w:rFonts w:ascii="Times New Roman" w:eastAsia="Times New Roman" w:hAnsi="Times New Roman" w:cs="Times New Roman"/>
          <w:sz w:val="24"/>
          <w:szCs w:val="24"/>
          <w:lang w:eastAsia="de-DE"/>
        </w:rPr>
        <w:t xml:space="preserve"> ergänzt, die lokal wirkende Thermoelemente zur präzisen Rückkopplung jeder Heiz-/Kühleinheit enthält. Dadurch wurde eine geschlossene Regelstruktur zur Formanpassung ermöglicht.</w:t>
      </w:r>
    </w:p>
    <w:p w14:paraId="23A9A63D"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5E445DAB">
          <v:rect id="_x0000_i1028" style="width:0;height:1.5pt" o:hralign="center" o:hrstd="t" o:hr="t" fillcolor="#a0a0a0" stroked="f"/>
        </w:pict>
      </w:r>
    </w:p>
    <w:p w14:paraId="3E5B3C6A"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5. Modellierungsansatz und rekursive Flächenanalyse</w:t>
      </w:r>
    </w:p>
    <w:p w14:paraId="4D298892"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Rekonstruktion der Oberfläche erfolgt durch die Auswertung der photonischen Zeitdaten und deren Zuordnung zu geometrischen Punkten. Die Modellierung basiert auf:</w:t>
      </w:r>
    </w:p>
    <w:p w14:paraId="4D692F9E" w14:textId="77777777" w:rsidR="003E21FD" w:rsidRPr="003E21FD" w:rsidRDefault="003E21FD" w:rsidP="003E21F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Funktionsapproximation durch Polynome, Sinus-/</w:t>
      </w:r>
      <w:proofErr w:type="spellStart"/>
      <w:r w:rsidRPr="003E21FD">
        <w:rPr>
          <w:rFonts w:ascii="Times New Roman" w:eastAsia="Times New Roman" w:hAnsi="Times New Roman" w:cs="Times New Roman"/>
          <w:sz w:val="24"/>
          <w:szCs w:val="24"/>
          <w:lang w:eastAsia="de-DE"/>
        </w:rPr>
        <w:t>Kosinusfunktionen</w:t>
      </w:r>
      <w:proofErr w:type="spellEnd"/>
      <w:r w:rsidRPr="003E21FD">
        <w:rPr>
          <w:rFonts w:ascii="Times New Roman" w:eastAsia="Times New Roman" w:hAnsi="Times New Roman" w:cs="Times New Roman"/>
          <w:sz w:val="24"/>
          <w:szCs w:val="24"/>
          <w:lang w:eastAsia="de-DE"/>
        </w:rPr>
        <w:t>, Exponential- und Logarithmusfunktionen,</w:t>
      </w:r>
    </w:p>
    <w:p w14:paraId="57548D6C" w14:textId="77777777" w:rsidR="003E21FD" w:rsidRPr="003E21FD" w:rsidRDefault="003E21FD" w:rsidP="003E21F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 xml:space="preserve">Bewertung der </w:t>
      </w:r>
      <w:proofErr w:type="spellStart"/>
      <w:r w:rsidRPr="003E21FD">
        <w:rPr>
          <w:rFonts w:ascii="Times New Roman" w:eastAsia="Times New Roman" w:hAnsi="Times New Roman" w:cs="Times New Roman"/>
          <w:sz w:val="24"/>
          <w:szCs w:val="24"/>
          <w:lang w:eastAsia="de-DE"/>
        </w:rPr>
        <w:t>Fitgüte</w:t>
      </w:r>
      <w:proofErr w:type="spellEnd"/>
      <w:r w:rsidRPr="003E21FD">
        <w:rPr>
          <w:rFonts w:ascii="Times New Roman" w:eastAsia="Times New Roman" w:hAnsi="Times New Roman" w:cs="Times New Roman"/>
          <w:sz w:val="24"/>
          <w:szCs w:val="24"/>
          <w:lang w:eastAsia="de-DE"/>
        </w:rPr>
        <w:t xml:space="preserve"> durch Fehlermaße (z. B. mittlere quadratische Abweichung),</w:t>
      </w:r>
    </w:p>
    <w:p w14:paraId="61C25DF2" w14:textId="77777777" w:rsidR="003E21FD" w:rsidRPr="003E21FD" w:rsidRDefault="003E21FD" w:rsidP="003E21F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rekursiver Unterteilung der Sensorfläche in Teilflächen bei nicht erfolgreicher Modellierung.</w:t>
      </w:r>
    </w:p>
    <w:p w14:paraId="789AF476"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 xml:space="preserve">Ein besonderer Ansatz wurde durch die </w:t>
      </w:r>
      <w:r w:rsidRPr="003E21FD">
        <w:rPr>
          <w:rFonts w:ascii="Times New Roman" w:eastAsia="Times New Roman" w:hAnsi="Times New Roman" w:cs="Times New Roman"/>
          <w:b/>
          <w:bCs/>
          <w:sz w:val="24"/>
          <w:szCs w:val="24"/>
          <w:lang w:eastAsia="de-DE"/>
        </w:rPr>
        <w:t>richtungsgeführte Fitting-Methode</w:t>
      </w:r>
      <w:r w:rsidRPr="003E21FD">
        <w:rPr>
          <w:rFonts w:ascii="Times New Roman" w:eastAsia="Times New Roman" w:hAnsi="Times New Roman" w:cs="Times New Roman"/>
          <w:sz w:val="24"/>
          <w:szCs w:val="24"/>
          <w:lang w:eastAsia="de-DE"/>
        </w:rPr>
        <w:t xml:space="preserve"> entlang der drei Winkelhalbierenden jedes Sensor-Dreiecks realisiert. Hierbei wird entlang jeder Richtung ein 1D-Fit durchgeführt. Die resultierenden Funktionen werden dann zu einem lokalen 2D-Flächenmodell kombiniert.</w:t>
      </w:r>
    </w:p>
    <w:p w14:paraId="6BA1541E"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7FCA4415">
          <v:rect id="_x0000_i1029" style="width:0;height:1.5pt" o:hralign="center" o:hrstd="t" o:hr="t" fillcolor="#a0a0a0" stroked="f"/>
        </w:pict>
      </w:r>
    </w:p>
    <w:p w14:paraId="2724E97A"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6. Integration der Lichtquelle und Raumgeometrie</w:t>
      </w:r>
    </w:p>
    <w:p w14:paraId="4E1DBA6C"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Lichtquelle wurde so konzipiert, dass sie hinter dem Betrachtungsdreieck platziert ist. Ihr Licht wird durch eine optische Blende gerichtet abgegeben und trifft auf die Zieloberfläche, bevor es reflektiert und an der Sensorfläche detektiert wird. Die Geometrie erlaubt eine einseitige, flächige Erfassung bei minimalem Streuverlust.</w:t>
      </w:r>
    </w:p>
    <w:p w14:paraId="6585978D"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Integration des Kegels und der Blende wurde in mehreren Visualisierungen (2D- und 3D-Ansicht) simuliert und in den digitalen Modellen evaluiert. Die Kegelform und deren Schnitt mit der Empfangsfläche konnten in GeoGebra konstruktiv überprüft werden.</w:t>
      </w:r>
    </w:p>
    <w:p w14:paraId="5113DFA7"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0DA2C71A">
          <v:rect id="_x0000_i1030" style="width:0;height:1.5pt" o:hralign="center" o:hrstd="t" o:hr="t" fillcolor="#a0a0a0" stroked="f"/>
        </w:pict>
      </w:r>
    </w:p>
    <w:p w14:paraId="0277E4EF"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7. Simulationsgestützte Validierung</w:t>
      </w:r>
    </w:p>
    <w:p w14:paraId="4C966171"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Zur Validierung des Systems wurde ein Python-basiertes Framework entwickelt, das:</w:t>
      </w:r>
    </w:p>
    <w:p w14:paraId="402503DF" w14:textId="77777777" w:rsidR="003E21FD" w:rsidRPr="003E21FD" w:rsidRDefault="003E21FD" w:rsidP="003E2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SPAD-Punktwolken erzeugt,</w:t>
      </w:r>
    </w:p>
    <w:p w14:paraId="671247FE" w14:textId="77777777" w:rsidR="003E21FD" w:rsidRPr="003E21FD" w:rsidRDefault="003E21FD" w:rsidP="003E2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Fitfunktionen automatisch auswählt,</w:t>
      </w:r>
    </w:p>
    <w:p w14:paraId="4360CE23" w14:textId="77777777" w:rsidR="003E21FD" w:rsidRPr="003E21FD" w:rsidRDefault="003E21FD" w:rsidP="003E2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rekursive Unterteilungen durchführt,</w:t>
      </w:r>
    </w:p>
    <w:p w14:paraId="73D10002" w14:textId="77777777" w:rsidR="003E21FD" w:rsidRPr="003E21FD" w:rsidRDefault="003E21FD" w:rsidP="003E2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Visualisierungen der Flächenmodelle liefert,</w:t>
      </w:r>
    </w:p>
    <w:p w14:paraId="33FA5120" w14:textId="77777777" w:rsidR="003E21FD" w:rsidRPr="003E21FD" w:rsidRDefault="003E21FD" w:rsidP="003E2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lastRenderedPageBreak/>
        <w:t>und die Taktfreigabe auf Basis stabiler Modelle simuliert.</w:t>
      </w:r>
    </w:p>
    <w:p w14:paraId="250710F8"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Dieses Framework wurde verwendet, um verschiedene Szenarien zu testen: flache, gekrümmte, verrauschte und strukturierte Oberflächen.</w:t>
      </w:r>
    </w:p>
    <w:p w14:paraId="1B22B37E"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38BCF275">
          <v:rect id="_x0000_i1031" style="width:0;height:1.5pt" o:hralign="center" o:hrstd="t" o:hr="t" fillcolor="#a0a0a0" stroked="f"/>
        </w:pict>
      </w:r>
    </w:p>
    <w:p w14:paraId="1D4CA17F"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8. Technische Konkretisierung</w:t>
      </w:r>
    </w:p>
    <w:p w14:paraId="1FDC4BDF"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Das finale Systemdesign umfasst:</w:t>
      </w:r>
    </w:p>
    <w:p w14:paraId="61576F78" w14:textId="77777777" w:rsidR="003E21FD" w:rsidRPr="003E21FD" w:rsidRDefault="003E21FD" w:rsidP="003E21F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ein 4–5-schichtiges Empfangsdreieck mit lokal ansteuerbarer Mikrostruktur,</w:t>
      </w:r>
    </w:p>
    <w:p w14:paraId="725C370B" w14:textId="77777777" w:rsidR="003E21FD" w:rsidRPr="003E21FD" w:rsidRDefault="003E21FD" w:rsidP="003E21F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eine steuerbare Lichtquelle mit definiertem Öffnungswinkel,</w:t>
      </w:r>
    </w:p>
    <w:p w14:paraId="56B882C7" w14:textId="77777777" w:rsidR="003E21FD" w:rsidRPr="003E21FD" w:rsidRDefault="003E21FD" w:rsidP="003E21F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eine SPAD-Matrix mit TDC-basiertem Zeitstempel,</w:t>
      </w:r>
    </w:p>
    <w:p w14:paraId="7F7DE7C7" w14:textId="77777777" w:rsidR="003E21FD" w:rsidRPr="003E21FD" w:rsidRDefault="003E21FD" w:rsidP="003E21F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eine RISC-Mehrkernarchitektur (4–16 Kerne),</w:t>
      </w:r>
    </w:p>
    <w:p w14:paraId="1C31B52E" w14:textId="77777777" w:rsidR="003E21FD" w:rsidRPr="003E21FD" w:rsidRDefault="003E21FD" w:rsidP="003E21F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 xml:space="preserve">eine Rückstellkühlung (Peltier oder </w:t>
      </w:r>
      <w:proofErr w:type="spellStart"/>
      <w:r w:rsidRPr="003E21FD">
        <w:rPr>
          <w:rFonts w:ascii="Times New Roman" w:eastAsia="Times New Roman" w:hAnsi="Times New Roman" w:cs="Times New Roman"/>
          <w:sz w:val="24"/>
          <w:szCs w:val="24"/>
          <w:lang w:eastAsia="de-DE"/>
        </w:rPr>
        <w:t>Heatspreader</w:t>
      </w:r>
      <w:proofErr w:type="spellEnd"/>
      <w:r w:rsidRPr="003E21FD">
        <w:rPr>
          <w:rFonts w:ascii="Times New Roman" w:eastAsia="Times New Roman" w:hAnsi="Times New Roman" w:cs="Times New Roman"/>
          <w:sz w:val="24"/>
          <w:szCs w:val="24"/>
          <w:lang w:eastAsia="de-DE"/>
        </w:rPr>
        <w:t>),</w:t>
      </w:r>
    </w:p>
    <w:p w14:paraId="3A00712A" w14:textId="77777777" w:rsidR="003E21FD" w:rsidRPr="003E21FD" w:rsidRDefault="003E21FD" w:rsidP="003E21F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eine digitale Taktausgangsleitung zur Maschinenkopplung.</w:t>
      </w:r>
    </w:p>
    <w:p w14:paraId="3E022EBA"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Skalen der Sensorfläche wurden in verschiedenen Varianten simuliert: von &lt;1 cm² für Miniatursysteme bis zu modularen Arrays für großflächige Anwendungen. Die Rückstellzeiten wurden tabellarisch erfasst und mit passiver/aktiver Kühlung verglichen.</w:t>
      </w:r>
    </w:p>
    <w:p w14:paraId="74C76092"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43AE4D51">
          <v:rect id="_x0000_i1032" style="width:0;height:1.5pt" o:hralign="center" o:hrstd="t" o:hr="t" fillcolor="#a0a0a0" stroked="f"/>
        </w:pict>
      </w:r>
    </w:p>
    <w:p w14:paraId="1FD0BA6D"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9. Ergebnis</w:t>
      </w:r>
    </w:p>
    <w:p w14:paraId="258CA4F7"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entwickelte Lösung erlaubt die adaptive Erfassung komplexer Oberflächenformen in einem einzigen Lichtimpulszyklus. Die Kombination aus geometrischer Verformung, hochauflösender Photonendetektion, rekursiver Modellbildung und Echtzeitfreigabe stellt einen technologischen Sprung in der aktiven Sensorik dar.</w:t>
      </w:r>
    </w:p>
    <w:p w14:paraId="1FA16881"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Der modulare Aufbau und die Parallelauswertung ermöglichen eine Skalierung des Systems für verschiedenste Anwendungen, von Robotik über Medizintechnik bis hin zu sicherheitskritischen Mensch-Maschine-Interaktionen.</w:t>
      </w:r>
    </w:p>
    <w:p w14:paraId="0E32EF5D" w14:textId="77777777" w:rsidR="003E21FD" w:rsidRPr="003E21FD" w:rsidRDefault="003E21FD" w:rsidP="003E21FD">
      <w:pPr>
        <w:spacing w:after="0"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pict w14:anchorId="10D8FBF6">
          <v:rect id="_x0000_i1033" style="width:0;height:1.5pt" o:hralign="center" o:hrstd="t" o:hr="t" fillcolor="#a0a0a0" stroked="f"/>
        </w:pict>
      </w:r>
    </w:p>
    <w:p w14:paraId="531575BC" w14:textId="77777777" w:rsidR="003E21FD" w:rsidRPr="003E21FD" w:rsidRDefault="003E21FD" w:rsidP="003E21F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E21FD">
        <w:rPr>
          <w:rFonts w:ascii="Times New Roman" w:eastAsia="Times New Roman" w:hAnsi="Times New Roman" w:cs="Times New Roman"/>
          <w:b/>
          <w:bCs/>
          <w:sz w:val="27"/>
          <w:szCs w:val="27"/>
          <w:lang w:eastAsia="de-DE"/>
        </w:rPr>
        <w:t>10. Bedeutung für die Dissertation</w:t>
      </w:r>
    </w:p>
    <w:p w14:paraId="79529AEA"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hier entwickelte Technologie ist sowohl Ergebnis als auch methodisches Fundament der vorliegenden Dissertation. Sie zeigt, wie aus einem funktional-relationalen Modellansatz eine konkret umsetzbare Sensorstruktur entstehen kann, die sowohl geometrisch als auch systemisch adaptiv arbeitet. Die Erfindung wurde begleitend zur Modellbildung konstruiert, getestet, softwareseitig simuliert und schlussendlich in ein patentfähiges Technologiekonzept überführt.</w:t>
      </w:r>
    </w:p>
    <w:p w14:paraId="710DF93E" w14:textId="77777777" w:rsidR="003E21FD" w:rsidRPr="003E21FD" w:rsidRDefault="003E21FD" w:rsidP="003E21FD">
      <w:pPr>
        <w:spacing w:before="100" w:beforeAutospacing="1" w:after="100" w:afterAutospacing="1" w:line="240" w:lineRule="auto"/>
        <w:rPr>
          <w:rFonts w:ascii="Times New Roman" w:eastAsia="Times New Roman" w:hAnsi="Times New Roman" w:cs="Times New Roman"/>
          <w:sz w:val="24"/>
          <w:szCs w:val="24"/>
          <w:lang w:eastAsia="de-DE"/>
        </w:rPr>
      </w:pPr>
      <w:r w:rsidRPr="003E21FD">
        <w:rPr>
          <w:rFonts w:ascii="Times New Roman" w:eastAsia="Times New Roman" w:hAnsi="Times New Roman" w:cs="Times New Roman"/>
          <w:sz w:val="24"/>
          <w:szCs w:val="24"/>
          <w:lang w:eastAsia="de-DE"/>
        </w:rPr>
        <w:t>Die vorliegende Ausarbeitung dokumentiert nicht nur den technischen Stand, sondern auch den erkenntnistheoretischen Wert eines formalisierten Sensorverständnisses, das Wahrnehmung, Modellbildung und Handlungssteuerung in einem Zyklus zusammenführt.</w:t>
      </w:r>
    </w:p>
    <w:p w14:paraId="58BA1904" w14:textId="77777777" w:rsidR="0026109B" w:rsidRDefault="0026109B"/>
    <w:sectPr w:rsidR="002610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0A0F0D"/>
    <w:multiLevelType w:val="multilevel"/>
    <w:tmpl w:val="290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D67738"/>
    <w:multiLevelType w:val="multilevel"/>
    <w:tmpl w:val="D702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C7EA2"/>
    <w:multiLevelType w:val="multilevel"/>
    <w:tmpl w:val="CA2C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C73FB"/>
    <w:multiLevelType w:val="multilevel"/>
    <w:tmpl w:val="822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1FD"/>
    <w:rsid w:val="0026109B"/>
    <w:rsid w:val="003E21FD"/>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59E5"/>
  <w15:chartTrackingRefBased/>
  <w15:docId w15:val="{8706D65F-352D-4400-B66B-2E823AB8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3E21F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3E21F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E21F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3E21FD"/>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3E21F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E21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99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903</Words>
  <Characters>5690</Characters>
  <Application>Microsoft Office Word</Application>
  <DocSecurity>0</DocSecurity>
  <Lines>47</Lines>
  <Paragraphs>13</Paragraphs>
  <ScaleCrop>false</ScaleCrop>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2025-05-28T04:10:00Z</dcterms:created>
  <dcterms:modified xsi:type="dcterms:W3CDTF">2025-05-28T04:11:00Z</dcterms:modified>
</cp:coreProperties>
</file>