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C749A2" w14:textId="77777777" w:rsidR="00A90F2E" w:rsidRPr="00A11EFC" w:rsidRDefault="00A90F2E" w:rsidP="00A90F2E">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rPr>
      </w:pPr>
      <w:r w:rsidRPr="00A11EFC">
        <w:rPr>
          <w:rFonts w:ascii="Times New Roman" w:eastAsia="Times New Roman" w:hAnsi="Times New Roman" w:cs="Times New Roman"/>
          <w:b/>
          <w:bCs/>
          <w:kern w:val="36"/>
          <w:sz w:val="48"/>
          <w:szCs w:val="48"/>
          <w:lang w:eastAsia="de-DE"/>
        </w:rPr>
        <w:t>Kapitel 2: Entwicklung und didaktisch-methodische Bewertung physikalischer Bezugssysteme</w:t>
      </w:r>
    </w:p>
    <w:p w14:paraId="3F567772" w14:textId="77777777" w:rsidR="00A90F2E" w:rsidRDefault="00A90F2E" w:rsidP="00A90F2E">
      <w:pPr>
        <w:pStyle w:val="berschrift2"/>
      </w:pPr>
      <w:r>
        <w:rPr>
          <w:rStyle w:val="Fett"/>
          <w:b/>
          <w:bCs/>
        </w:rPr>
        <w:t>2.1 Einleitung: Die fundamentale Rolle physikalischer Bezugssysteme in der Erkenntnisgewinnung</w:t>
      </w:r>
    </w:p>
    <w:p w14:paraId="733133B1" w14:textId="77777777" w:rsidR="00A90F2E" w:rsidRDefault="00A90F2E" w:rsidP="00A90F2E">
      <w:pPr>
        <w:pStyle w:val="StandardWeb"/>
      </w:pPr>
      <w:r>
        <w:t>Physikalische Bezugssysteme bilden das konzeptionelle Fundament, auf dem das Gebäude der modernen Physik errichtet ist. Sie sind nicht bloß Werkzeuge zur Beschreibung von Phänomenen, sondern konstituieren die Perspektive, aus der wir die physikalische Realität überhaupt erst erfassen können [1]. Ob in der klassischen Mechanik, der Relativitätstheorie oder der Quantenphysik, stets stellt sich die fundamentale Frage: Wer beobachtet was, von welchem Standpunkt aus und unter welchen Bedingungen? Diese Frage berührt den Kern unseres Verständnisses von Objektivität und Realität in der Physik und verweist auf die erkenntnistheoretische Relevanz der Beobachterperspektive [2].</w:t>
      </w:r>
    </w:p>
    <w:p w14:paraId="419900FE" w14:textId="77777777" w:rsidR="00A90F2E" w:rsidRDefault="00A90F2E" w:rsidP="00A90F2E">
      <w:pPr>
        <w:pStyle w:val="StandardWeb"/>
      </w:pPr>
      <w:r>
        <w:t xml:space="preserve">Die historische Entwicklung physikalischer Bezugssysteme ist eng verknüpft mit den großen Paradigmenwechseln der Physik. Beginnend mit der aristotelischen Vorstellung eines teleologisch geordneten Raums, in dem Körper ihrem „natürlichen Ort“ zustreben, über Galileis Relativitätsprinzip gleichförmiger Bewegungen, das den Grundstein für das newtonsche Inertialsystem legte, bis hin zu Einsteins revolutionärer Einsicht, dass Raum und Zeit keine absoluten Größen darstellen, sondern durch Gravitation beeinflusst und zur Raumzeit verschmolzen werden – jede dieser Etappen markiert einen tiefgreifenden Wandel im physikalischen Denken. Heisenberg betont: „The </w:t>
      </w:r>
      <w:proofErr w:type="spellStart"/>
      <w:r>
        <w:t>revolution</w:t>
      </w:r>
      <w:proofErr w:type="spellEnd"/>
      <w:r>
        <w:t xml:space="preserve"> in modern </w:t>
      </w:r>
      <w:proofErr w:type="spellStart"/>
      <w:r>
        <w:t>physics</w:t>
      </w:r>
      <w:proofErr w:type="spellEnd"/>
      <w:r>
        <w:t xml:space="preserve"> </w:t>
      </w:r>
      <w:proofErr w:type="spellStart"/>
      <w:r>
        <w:t>has</w:t>
      </w:r>
      <w:proofErr w:type="spellEnd"/>
      <w:r>
        <w:t xml:space="preserve"> </w:t>
      </w:r>
      <w:proofErr w:type="spellStart"/>
      <w:r>
        <w:t>been</w:t>
      </w:r>
      <w:proofErr w:type="spellEnd"/>
      <w:r>
        <w:t xml:space="preserve"> a </w:t>
      </w:r>
      <w:proofErr w:type="spellStart"/>
      <w:r>
        <w:t>revolution</w:t>
      </w:r>
      <w:proofErr w:type="spellEnd"/>
      <w:r>
        <w:t xml:space="preserve"> in </w:t>
      </w:r>
      <w:proofErr w:type="spellStart"/>
      <w:r>
        <w:t>concepts</w:t>
      </w:r>
      <w:proofErr w:type="spellEnd"/>
      <w:r>
        <w:t>.“ [4] Schließlich stellt die Quantenmechanik mit ihrer Beobachterabhängigkeit unser klassisches Verständnis von Objektivität grundlegend in Frage.</w:t>
      </w:r>
    </w:p>
    <w:p w14:paraId="25C7D522" w14:textId="77777777" w:rsidR="00A90F2E" w:rsidRDefault="00A90F2E" w:rsidP="00A90F2E">
      <w:pPr>
        <w:pStyle w:val="StandardWeb"/>
      </w:pPr>
      <w:r>
        <w:t>Jede theoretische Erweiterung führt zu einer Vertiefung unseres physikalischen Weltverständnisses, aber auch zu einer Erhöhung der kognitiven Anforderungen an Lernende. Wie Piaget feststellt, „erfordert jedes neue kognitive Schema eine Umstrukturierung der bisherigen Denkformen.“ [5] Die Vermittlung dieser abstrakten Konzepte stellt daher eine besondere Herausforderung für den Unterricht dar, da sie intuitive Alltagsvorstellungen oft überfordern oder sogar konterkarieren.</w:t>
      </w:r>
    </w:p>
    <w:p w14:paraId="7E48506A" w14:textId="77777777" w:rsidR="00A90F2E" w:rsidRDefault="00A90F2E" w:rsidP="00A90F2E">
      <w:pPr>
        <w:pStyle w:val="StandardWeb"/>
      </w:pPr>
      <w:r>
        <w:t>Das Ziel dieser Arbeit ist es daher, die historische Entwicklung physikalischer Bezugssysteme nicht nur nachzuzeichnen, sondern auch die didaktisch-methodischen Implikationen zu analysieren. Es sollen Strategien entwickelt werden, wie diese zentralen Konzepte verständlich und lernwirksam vermittelt werden können. Ein zukunftsweisender Ansatz wird in Kapitel 4 vorgestellt: das funktional-relational gedachte Bezugssystem, das auf aktives Modellieren und subjektive Rahmung setzt.</w:t>
      </w:r>
    </w:p>
    <w:p w14:paraId="3741F542" w14:textId="77777777" w:rsidR="00A90F2E" w:rsidRDefault="00A90F2E" w:rsidP="00A90F2E">
      <w:pPr>
        <w:pStyle w:val="StandardWeb"/>
      </w:pPr>
      <w:r>
        <w:t xml:space="preserve">Ein prägnantes Beispiel für die Bedeutung von Bezugssystemen bietet Galileis berühmtes Gedankenexperiment: Auf einem gleichförmig segelnden Schiff lässt sich im Inneren kein Unterschied zwischen Ruhe und Bewegung erkennen. „A </w:t>
      </w:r>
      <w:proofErr w:type="spellStart"/>
      <w:r>
        <w:t>person</w:t>
      </w:r>
      <w:proofErr w:type="spellEnd"/>
      <w:r>
        <w:t xml:space="preserve"> </w:t>
      </w:r>
      <w:proofErr w:type="spellStart"/>
      <w:r>
        <w:t>shut</w:t>
      </w:r>
      <w:proofErr w:type="spellEnd"/>
      <w:r>
        <w:t xml:space="preserve"> </w:t>
      </w:r>
      <w:proofErr w:type="spellStart"/>
      <w:r>
        <w:t>up</w:t>
      </w:r>
      <w:proofErr w:type="spellEnd"/>
      <w:r>
        <w:t xml:space="preserve"> in a </w:t>
      </w:r>
      <w:proofErr w:type="spellStart"/>
      <w:r>
        <w:t>room</w:t>
      </w:r>
      <w:proofErr w:type="spellEnd"/>
      <w:r>
        <w:t xml:space="preserve"> </w:t>
      </w:r>
      <w:proofErr w:type="spellStart"/>
      <w:r>
        <w:t>below</w:t>
      </w:r>
      <w:proofErr w:type="spellEnd"/>
      <w:r>
        <w:t xml:space="preserve"> deck </w:t>
      </w:r>
      <w:proofErr w:type="spellStart"/>
      <w:r>
        <w:t>cannot</w:t>
      </w:r>
      <w:proofErr w:type="spellEnd"/>
      <w:r>
        <w:t xml:space="preserve"> </w:t>
      </w:r>
      <w:proofErr w:type="spellStart"/>
      <w:r>
        <w:t>tell</w:t>
      </w:r>
      <w:proofErr w:type="spellEnd"/>
      <w:r>
        <w:t xml:space="preserve"> </w:t>
      </w:r>
      <w:proofErr w:type="spellStart"/>
      <w:r>
        <w:t>whether</w:t>
      </w:r>
      <w:proofErr w:type="spellEnd"/>
      <w:r>
        <w:t xml:space="preserve"> </w:t>
      </w:r>
      <w:proofErr w:type="spellStart"/>
      <w:r>
        <w:t>the</w:t>
      </w:r>
      <w:proofErr w:type="spellEnd"/>
      <w:r>
        <w:t xml:space="preserve"> </w:t>
      </w:r>
      <w:proofErr w:type="spellStart"/>
      <w:r>
        <w:t>ship</w:t>
      </w:r>
      <w:proofErr w:type="spellEnd"/>
      <w:r>
        <w:t xml:space="preserve"> </w:t>
      </w:r>
      <w:proofErr w:type="spellStart"/>
      <w:r>
        <w:t>is</w:t>
      </w:r>
      <w:proofErr w:type="spellEnd"/>
      <w:r>
        <w:t xml:space="preserve"> </w:t>
      </w:r>
      <w:proofErr w:type="spellStart"/>
      <w:r>
        <w:t>moving</w:t>
      </w:r>
      <w:proofErr w:type="spellEnd"/>
      <w:r>
        <w:t xml:space="preserve"> </w:t>
      </w:r>
      <w:proofErr w:type="spellStart"/>
      <w:r>
        <w:t>uniformly</w:t>
      </w:r>
      <w:proofErr w:type="spellEnd"/>
      <w:r>
        <w:t xml:space="preserve"> </w:t>
      </w:r>
      <w:proofErr w:type="spellStart"/>
      <w:r>
        <w:t>or</w:t>
      </w:r>
      <w:proofErr w:type="spellEnd"/>
      <w:r>
        <w:t xml:space="preserve"> at </w:t>
      </w:r>
      <w:proofErr w:type="spellStart"/>
      <w:r>
        <w:t>rest</w:t>
      </w:r>
      <w:proofErr w:type="spellEnd"/>
      <w:r>
        <w:t>.“ [6] Dieses Beispiel demonstriert, dass jede physikalische Beschreibung relativ zum gewählten Bezugssystem erfolgt und dass es kein absolutes, allen übergeordnetes System gibt.</w:t>
      </w:r>
    </w:p>
    <w:p w14:paraId="786ABD77" w14:textId="77777777" w:rsidR="00A90F2E" w:rsidRDefault="00A90F2E" w:rsidP="00A90F2E">
      <w:pPr>
        <w:pStyle w:val="StandardWeb"/>
      </w:pPr>
      <w:r>
        <w:lastRenderedPageBreak/>
        <w:t>In den folgenden Kapiteln wird die Entwicklung physikalischer Bezugssysteme detailliert nachgezeichnet und unter didaktischer Perspektive analysiert. Dabei wird stets auch Bezug zur aktuellen Forschung in Physikdidaktik und Kognitionspsychologie genommen, um einen fundierten Beitrag zur Frage zu leisten, wie diese anspruchsvollen Konzepte wirksam vermittelt werden können.</w:t>
      </w:r>
    </w:p>
    <w:p w14:paraId="31F36BED" w14:textId="77777777" w:rsidR="00A90F2E" w:rsidRDefault="00E3432A" w:rsidP="00A90F2E">
      <w:r>
        <w:pict w14:anchorId="553DCFB7">
          <v:rect id="_x0000_i1025" style="width:0;height:1.5pt" o:hralign="center" o:hrstd="t" o:hr="t" fillcolor="#a0a0a0" stroked="f"/>
        </w:pict>
      </w:r>
    </w:p>
    <w:p w14:paraId="628039F0" w14:textId="77777777" w:rsidR="00A90F2E" w:rsidRDefault="00A90F2E" w:rsidP="00A90F2E">
      <w:pPr>
        <w:pStyle w:val="berschrift3"/>
      </w:pPr>
      <w:r>
        <w:rPr>
          <w:rStyle w:val="Fett"/>
          <w:rFonts w:ascii="Segoe UI Emoji" w:hAnsi="Segoe UI Emoji" w:cs="Segoe UI Emoji"/>
          <w:b/>
          <w:bCs/>
        </w:rPr>
        <w:t>📚</w:t>
      </w:r>
      <w:r>
        <w:rPr>
          <w:rStyle w:val="Fett"/>
          <w:b/>
          <w:bCs/>
        </w:rPr>
        <w:t xml:space="preserve"> Quellen zu Abschnitt 2.1</w:t>
      </w:r>
    </w:p>
    <w:p w14:paraId="6C3B9A08" w14:textId="77777777" w:rsidR="00A90F2E" w:rsidRDefault="00A90F2E" w:rsidP="00A90F2E">
      <w:pPr>
        <w:pStyle w:val="StandardWeb"/>
      </w:pPr>
      <w:r>
        <w:t xml:space="preserve">[1] Jammer, M. (1954). </w:t>
      </w:r>
      <w:proofErr w:type="spellStart"/>
      <w:r>
        <w:rPr>
          <w:rStyle w:val="Hervorhebung"/>
        </w:rPr>
        <w:t>Concepts</w:t>
      </w:r>
      <w:proofErr w:type="spellEnd"/>
      <w:r>
        <w:rPr>
          <w:rStyle w:val="Hervorhebung"/>
        </w:rPr>
        <w:t xml:space="preserve"> of Space</w:t>
      </w:r>
      <w:r>
        <w:t>. Harvard University Press.</w:t>
      </w:r>
      <w:r>
        <w:br/>
        <w:t xml:space="preserve">[2] Kuhn, T. S. (1962). </w:t>
      </w:r>
      <w:r>
        <w:rPr>
          <w:rStyle w:val="Hervorhebung"/>
        </w:rPr>
        <w:t xml:space="preserve">The </w:t>
      </w:r>
      <w:proofErr w:type="spellStart"/>
      <w:r>
        <w:rPr>
          <w:rStyle w:val="Hervorhebung"/>
        </w:rPr>
        <w:t>Structure</w:t>
      </w:r>
      <w:proofErr w:type="spellEnd"/>
      <w:r>
        <w:rPr>
          <w:rStyle w:val="Hervorhebung"/>
        </w:rPr>
        <w:t xml:space="preserve"> </w:t>
      </w:r>
      <w:proofErr w:type="spellStart"/>
      <w:r>
        <w:rPr>
          <w:rStyle w:val="Hervorhebung"/>
        </w:rPr>
        <w:t>of</w:t>
      </w:r>
      <w:proofErr w:type="spellEnd"/>
      <w:r>
        <w:rPr>
          <w:rStyle w:val="Hervorhebung"/>
        </w:rPr>
        <w:t xml:space="preserve"> Scientific </w:t>
      </w:r>
      <w:proofErr w:type="spellStart"/>
      <w:r>
        <w:rPr>
          <w:rStyle w:val="Hervorhebung"/>
        </w:rPr>
        <w:t>Revolutions</w:t>
      </w:r>
      <w:proofErr w:type="spellEnd"/>
      <w:r>
        <w:t xml:space="preserve">. University </w:t>
      </w:r>
      <w:proofErr w:type="spellStart"/>
      <w:r>
        <w:t>of</w:t>
      </w:r>
      <w:proofErr w:type="spellEnd"/>
      <w:r>
        <w:t xml:space="preserve"> Chicago Press.</w:t>
      </w:r>
      <w:r>
        <w:br/>
        <w:t xml:space="preserve">[3] Cohen, I. B. (1985). </w:t>
      </w:r>
      <w:r>
        <w:rPr>
          <w:rStyle w:val="Hervorhebung"/>
        </w:rPr>
        <w:t>Revolution in Science</w:t>
      </w:r>
      <w:r>
        <w:t xml:space="preserve">. </w:t>
      </w:r>
      <w:proofErr w:type="spellStart"/>
      <w:r>
        <w:t>Belknap</w:t>
      </w:r>
      <w:proofErr w:type="spellEnd"/>
      <w:r>
        <w:t xml:space="preserve"> Press.</w:t>
      </w:r>
      <w:r>
        <w:br/>
        <w:t xml:space="preserve">[4] Heisenberg, W. (1958). </w:t>
      </w:r>
      <w:r>
        <w:rPr>
          <w:rStyle w:val="Hervorhebung"/>
        </w:rPr>
        <w:t>Physics and Philosophy</w:t>
      </w:r>
      <w:r>
        <w:t xml:space="preserve">. Harper &amp; </w:t>
      </w:r>
      <w:proofErr w:type="spellStart"/>
      <w:r>
        <w:t>Row</w:t>
      </w:r>
      <w:proofErr w:type="spellEnd"/>
      <w:r>
        <w:t>.</w:t>
      </w:r>
      <w:r>
        <w:br/>
        <w:t xml:space="preserve">[5] Piaget, J. (1972). </w:t>
      </w:r>
      <w:r>
        <w:rPr>
          <w:rStyle w:val="Hervorhebung"/>
        </w:rPr>
        <w:t xml:space="preserve">The </w:t>
      </w:r>
      <w:proofErr w:type="spellStart"/>
      <w:r>
        <w:rPr>
          <w:rStyle w:val="Hervorhebung"/>
        </w:rPr>
        <w:t>Principles</w:t>
      </w:r>
      <w:proofErr w:type="spellEnd"/>
      <w:r>
        <w:rPr>
          <w:rStyle w:val="Hervorhebung"/>
        </w:rPr>
        <w:t xml:space="preserve"> </w:t>
      </w:r>
      <w:proofErr w:type="spellStart"/>
      <w:r>
        <w:rPr>
          <w:rStyle w:val="Hervorhebung"/>
        </w:rPr>
        <w:t>of</w:t>
      </w:r>
      <w:proofErr w:type="spellEnd"/>
      <w:r>
        <w:rPr>
          <w:rStyle w:val="Hervorhebung"/>
        </w:rPr>
        <w:t xml:space="preserve"> Genetic </w:t>
      </w:r>
      <w:proofErr w:type="spellStart"/>
      <w:r>
        <w:rPr>
          <w:rStyle w:val="Hervorhebung"/>
        </w:rPr>
        <w:t>Epistemology</w:t>
      </w:r>
      <w:proofErr w:type="spellEnd"/>
      <w:r>
        <w:t>. Routledge.</w:t>
      </w:r>
      <w:r>
        <w:br/>
        <w:t xml:space="preserve">[6] Galilei, G. (1632). </w:t>
      </w:r>
      <w:proofErr w:type="spellStart"/>
      <w:r>
        <w:rPr>
          <w:rStyle w:val="Hervorhebung"/>
        </w:rPr>
        <w:t>Dialogues</w:t>
      </w:r>
      <w:proofErr w:type="spellEnd"/>
      <w:r>
        <w:rPr>
          <w:rStyle w:val="Hervorhebung"/>
        </w:rPr>
        <w:t xml:space="preserve"> </w:t>
      </w:r>
      <w:proofErr w:type="spellStart"/>
      <w:r>
        <w:rPr>
          <w:rStyle w:val="Hervorhebung"/>
        </w:rPr>
        <w:t>Concerning</w:t>
      </w:r>
      <w:proofErr w:type="spellEnd"/>
      <w:r>
        <w:rPr>
          <w:rStyle w:val="Hervorhebung"/>
        </w:rPr>
        <w:t xml:space="preserve"> </w:t>
      </w:r>
      <w:proofErr w:type="spellStart"/>
      <w:r>
        <w:rPr>
          <w:rStyle w:val="Hervorhebung"/>
        </w:rPr>
        <w:t>Two</w:t>
      </w:r>
      <w:proofErr w:type="spellEnd"/>
      <w:r>
        <w:rPr>
          <w:rStyle w:val="Hervorhebung"/>
        </w:rPr>
        <w:t xml:space="preserve"> New Sciences</w:t>
      </w:r>
      <w:r>
        <w:t xml:space="preserve">. </w:t>
      </w:r>
      <w:proofErr w:type="spellStart"/>
      <w:r>
        <w:t>Leyden</w:t>
      </w:r>
      <w:proofErr w:type="spellEnd"/>
      <w:r>
        <w:t>.</w:t>
      </w:r>
    </w:p>
    <w:p w14:paraId="48399D6F" w14:textId="77777777" w:rsidR="00A90F2E" w:rsidRDefault="00A90F2E" w:rsidP="00A90F2E">
      <w:pPr>
        <w:pStyle w:val="berschrift2"/>
      </w:pPr>
      <w:r>
        <w:rPr>
          <w:rStyle w:val="Fett"/>
          <w:b/>
          <w:bCs/>
        </w:rPr>
        <w:t>2.2 Historische Entwicklung physikalischer Bezugssysteme</w:t>
      </w:r>
    </w:p>
    <w:p w14:paraId="65598011" w14:textId="77777777" w:rsidR="00A90F2E" w:rsidRDefault="00A90F2E" w:rsidP="00A90F2E">
      <w:pPr>
        <w:pStyle w:val="StandardWeb"/>
      </w:pPr>
      <w:r>
        <w:t>Die Entwicklung physikalischer Bezugssysteme spiegelt das kontinuierliche Streben des Menschen wider, Ordnung und Gesetzmäßigkeit in der Natur zu erkennen. Bereits die frühen Weltbilder enthielten implizite oder explizite Raumkonzepte, in denen Bewegung und Ort nicht willkürlich, sondern sinnhaft und zielgerichtet erschienen. Mit jedem Paradigmenwechsel in der Geschichte der Physik veränderte sich auch das Verständnis der grundlegenden Begriffe Raum, Zeit und Bewegung [3].</w:t>
      </w:r>
    </w:p>
    <w:p w14:paraId="3592F6BA" w14:textId="77777777" w:rsidR="00A90F2E" w:rsidRDefault="00A90F2E" w:rsidP="00A90F2E">
      <w:pPr>
        <w:pStyle w:val="berschrift3"/>
      </w:pPr>
      <w:r>
        <w:rPr>
          <w:rStyle w:val="Fett"/>
          <w:b/>
          <w:bCs/>
        </w:rPr>
        <w:t>2.2.1 Antike Weltbilder – Qualitative Ortsbindung</w:t>
      </w:r>
    </w:p>
    <w:p w14:paraId="620FFC49" w14:textId="77777777" w:rsidR="00A90F2E" w:rsidRDefault="00A90F2E" w:rsidP="00A90F2E">
      <w:pPr>
        <w:pStyle w:val="StandardWeb"/>
      </w:pPr>
      <w:r>
        <w:t>In der aristotelischen Physik war der Raum durch ein teleologisches Prinzip strukturiert: Jeder Körper strebe seinem „natürlichen Ort“ zu – Feuer nach oben, Erde nach unten. Bewegung bedeutete Rückkehr in eine vorgesehene Ordnung. Raum war damit kein leerer Behälter, sondern qualitativ differenziert [7]. Es existierte kein universelles Bezugssystem, sondern eine raumstrukturierende Ordnung, in der Bewegung durch Zielgerichtetheit charakterisiert war. Dieses Weltbild blieb bis weit ins Mittelalter hinein prägend.</w:t>
      </w:r>
    </w:p>
    <w:p w14:paraId="1A4E57A3" w14:textId="77777777" w:rsidR="00A90F2E" w:rsidRDefault="00A90F2E" w:rsidP="00A90F2E">
      <w:pPr>
        <w:pStyle w:val="StandardWeb"/>
      </w:pPr>
      <w:r>
        <w:t xml:space="preserve">„Die Bewegung eines Körpers entsteht durch das Streben nach seinem natürlichen Ort.“ (Aristoteles, </w:t>
      </w:r>
      <w:r>
        <w:rPr>
          <w:rStyle w:val="Hervorhebung"/>
        </w:rPr>
        <w:t>Physik</w:t>
      </w:r>
      <w:r>
        <w:t>, Buch IV) [7]</w:t>
      </w:r>
    </w:p>
    <w:p w14:paraId="4A84B6E5" w14:textId="77777777" w:rsidR="00A90F2E" w:rsidRDefault="00A90F2E" w:rsidP="00A90F2E">
      <w:pPr>
        <w:pStyle w:val="berschrift3"/>
      </w:pPr>
      <w:r>
        <w:rPr>
          <w:rStyle w:val="Fett"/>
          <w:b/>
          <w:bCs/>
        </w:rPr>
        <w:t>2.2.2 Galilei – Relativität der gleichförmigen Bewegung</w:t>
      </w:r>
    </w:p>
    <w:p w14:paraId="60694F3F" w14:textId="77777777" w:rsidR="00A90F2E" w:rsidRDefault="00A90F2E" w:rsidP="00A90F2E">
      <w:pPr>
        <w:pStyle w:val="StandardWeb"/>
      </w:pPr>
      <w:r>
        <w:t>Mit Galilei begann die Ablösung vom aristotelischen Verständnis. In seinem berühmten Schiffsbeispiel formulierte er das Prinzip der Relativität gleichförmiger Bewegungen. Beobachter innerhalb eines gleichmäßig bewegten Schiffs können durch innere Experimente nicht entscheiden, ob sie sich bewegen oder in Ruhe sind.</w:t>
      </w:r>
    </w:p>
    <w:p w14:paraId="43121ED8" w14:textId="77777777" w:rsidR="00A90F2E" w:rsidRDefault="00A90F2E" w:rsidP="00A90F2E">
      <w:pPr>
        <w:pStyle w:val="StandardWeb"/>
      </w:pPr>
      <w:r>
        <w:t xml:space="preserve">„Es ist unmöglich, durch irgendwelche Experimente zu erkennen, ob man sich gleichförmig bewegt oder ruht.“ (Galilei, 1632, </w:t>
      </w:r>
      <w:r>
        <w:rPr>
          <w:rStyle w:val="Hervorhebung"/>
        </w:rPr>
        <w:t>Dialog über die zwei hauptsächlichen Weltsysteme</w:t>
      </w:r>
      <w:r>
        <w:t>) [8]</w:t>
      </w:r>
    </w:p>
    <w:p w14:paraId="29362115" w14:textId="77777777" w:rsidR="00A90F2E" w:rsidRDefault="00A90F2E" w:rsidP="00A90F2E">
      <w:pPr>
        <w:pStyle w:val="StandardWeb"/>
      </w:pPr>
      <w:r>
        <w:t>Diese Erkenntnis war grundlegend für das Konzept des Inertialsystems: Die Gesetze der Mechanik sind in allen gleichförmig bewegten Systemen identisch.</w:t>
      </w:r>
    </w:p>
    <w:p w14:paraId="1C9FE997" w14:textId="77777777" w:rsidR="00A90F2E" w:rsidRDefault="00A90F2E" w:rsidP="00A90F2E">
      <w:pPr>
        <w:pStyle w:val="berschrift3"/>
      </w:pPr>
      <w:r>
        <w:rPr>
          <w:rStyle w:val="Fett"/>
          <w:b/>
          <w:bCs/>
        </w:rPr>
        <w:lastRenderedPageBreak/>
        <w:t>2.2.3 Newton – Das Inertialsystem und der absolute Raum</w:t>
      </w:r>
    </w:p>
    <w:p w14:paraId="3DD0F9DB" w14:textId="77777777" w:rsidR="00A90F2E" w:rsidRDefault="00A90F2E" w:rsidP="00A90F2E">
      <w:pPr>
        <w:pStyle w:val="StandardWeb"/>
      </w:pPr>
      <w:r>
        <w:t>Isaac Newton übernahm Galileis Prinzip und entwickelte es weiter. Er führte das Konzept eines absoluten Raums ein – eines unveränderlichen Hintergrunds, in dem Bewegung definiert ist. Seine Bewegungsgesetze galten nur in diesem festen, unbeeinflussten Rahmen.</w:t>
      </w:r>
    </w:p>
    <w:p w14:paraId="150E22A6" w14:textId="77777777" w:rsidR="00A90F2E" w:rsidRDefault="00A90F2E" w:rsidP="00A90F2E">
      <w:pPr>
        <w:pStyle w:val="StandardWeb"/>
      </w:pPr>
      <w:r>
        <w:t xml:space="preserve">„Raum ist ein Gefäß, in dem sich alle Dinge bewegen, unabhängig davon, ob sie beobachtet werden.“ (Newton, 1687, </w:t>
      </w:r>
      <w:r>
        <w:rPr>
          <w:rStyle w:val="Hervorhebung"/>
        </w:rPr>
        <w:t>Principia Mathematica</w:t>
      </w:r>
      <w:r>
        <w:t>) [9]</w:t>
      </w:r>
    </w:p>
    <w:p w14:paraId="5A53F6D8" w14:textId="77777777" w:rsidR="00A90F2E" w:rsidRDefault="00A90F2E" w:rsidP="00A90F2E">
      <w:pPr>
        <w:pStyle w:val="StandardWeb"/>
      </w:pPr>
      <w:r>
        <w:t>Das newtonsche Inertialsystem ermöglichte eine mathematisch präzise Beschreibung physikalischer Vorgänge und prägte die Physik bis ins 20. Jahrhundert hinein.</w:t>
      </w:r>
    </w:p>
    <w:p w14:paraId="6231B3AE" w14:textId="77777777" w:rsidR="00A90F2E" w:rsidRDefault="00A90F2E" w:rsidP="00A90F2E">
      <w:pPr>
        <w:pStyle w:val="berschrift3"/>
      </w:pPr>
      <w:r>
        <w:rPr>
          <w:rStyle w:val="Fett"/>
          <w:b/>
          <w:bCs/>
        </w:rPr>
        <w:t>2.2.4 Einstein – Relativität und Raumzeitstruktur</w:t>
      </w:r>
    </w:p>
    <w:p w14:paraId="27C6F3AD" w14:textId="77777777" w:rsidR="00A90F2E" w:rsidRDefault="00A90F2E" w:rsidP="00A90F2E">
      <w:pPr>
        <w:pStyle w:val="StandardWeb"/>
      </w:pPr>
      <w:r>
        <w:t>Einsteins spezielle Relativitätstheorie (1905) stellte das Konzept des absoluten Raums infrage. Raum und Zeit sind keine getrennten, invarianten Größen mehr, sondern miteinander verknüpft zur vierdimensionalen Raumzeit. Beobachtungen wie Zeitdilatation und Längenkontraktion sind abhängig vom Bewegungszustand des Beobachters. In der allgemeinen Relativitätstheorie (1915) wird Gravitation als Krümmung dieser Raumzeit beschrieben.</w:t>
      </w:r>
    </w:p>
    <w:p w14:paraId="167F090B" w14:textId="77777777" w:rsidR="00A90F2E" w:rsidRDefault="00A90F2E" w:rsidP="00A90F2E">
      <w:pPr>
        <w:pStyle w:val="StandardWeb"/>
      </w:pPr>
      <w:r>
        <w:t>„Raum und Zeit verlieren den Charakter absoluter Realität.“ (Einstein, 1905) [10]</w:t>
      </w:r>
    </w:p>
    <w:p w14:paraId="228AB2A1" w14:textId="77777777" w:rsidR="00A90F2E" w:rsidRDefault="00A90F2E" w:rsidP="00A90F2E">
      <w:pPr>
        <w:pStyle w:val="StandardWeb"/>
      </w:pPr>
      <w:r>
        <w:t>Damit wurde das Bezugssystem zu einem dynamischen Bestandteil der physikalischen Beschreibung selbst – es ist nicht nur Beobachtungsrahmen, sondern mit der Materie wechselwirkend verbunden.</w:t>
      </w:r>
    </w:p>
    <w:p w14:paraId="3DF396D7" w14:textId="77777777" w:rsidR="00A90F2E" w:rsidRDefault="00A90F2E" w:rsidP="00A90F2E">
      <w:pPr>
        <w:pStyle w:val="berschrift3"/>
      </w:pPr>
      <w:r>
        <w:rPr>
          <w:rStyle w:val="Fett"/>
          <w:b/>
          <w:bCs/>
        </w:rPr>
        <w:t>2.2.5 Quantenmechanik – Beobachterabhängigkeit</w:t>
      </w:r>
    </w:p>
    <w:p w14:paraId="44EE9377" w14:textId="77777777" w:rsidR="00A90F2E" w:rsidRDefault="00A90F2E" w:rsidP="00A90F2E">
      <w:pPr>
        <w:pStyle w:val="StandardWeb"/>
      </w:pPr>
      <w:r>
        <w:t>Die Quantenmechanik geht noch einen Schritt weiter: Hier hängt das Ergebnis einer Messung direkt vom Beobachtungsprozess ab. Die Realität eines Systems ist nicht unabhängig von seiner Beobachtung definierbar. Die Wellenfunktion beschreibt nur Wahrscheinlichkeiten – erst durch die Messung wird ein Zustand „real“.</w:t>
      </w:r>
    </w:p>
    <w:p w14:paraId="0F9C2283" w14:textId="77777777" w:rsidR="00A90F2E" w:rsidRDefault="00A90F2E" w:rsidP="00A90F2E">
      <w:pPr>
        <w:pStyle w:val="StandardWeb"/>
      </w:pPr>
      <w:r>
        <w:t>„Die Natur stellt sich uns nicht objektiv dar, sondern abhängig vom beobachtenden Subjekt.“ (Heisenberg, 1958) [4]</w:t>
      </w:r>
    </w:p>
    <w:p w14:paraId="73E4ACBD" w14:textId="68063095" w:rsidR="00A90F2E" w:rsidRDefault="00A90F2E" w:rsidP="00A90F2E">
      <w:pPr>
        <w:pStyle w:val="StandardWeb"/>
      </w:pPr>
      <w:r>
        <w:t>Dieses Prinzip widerspricht dem klassisch-objektiven Verständnis von Realität und führt zu tiefgreifenden philosophischen Fragestellungen über die Rolle des Beobachters.</w:t>
      </w:r>
    </w:p>
    <w:p w14:paraId="5082C049" w14:textId="79041E83" w:rsidR="008F7035" w:rsidRDefault="008F7035" w:rsidP="00A90F2E">
      <w:pPr>
        <w:pStyle w:val="StandardWeb"/>
      </w:pPr>
      <w:r w:rsidRPr="008F7035">
        <w:t>https://quantumphysicslady.org/what-is-wave-function-collapse-is-it-a-physical-event/</w:t>
      </w:r>
    </w:p>
    <w:p w14:paraId="26C3D4DC" w14:textId="77777777" w:rsidR="00A90F2E" w:rsidRDefault="00E3432A" w:rsidP="00A90F2E">
      <w:r>
        <w:pict w14:anchorId="6CAD1CE0">
          <v:rect id="_x0000_i1026" style="width:0;height:1.5pt" o:hralign="center" o:hrstd="t" o:hr="t" fillcolor="#a0a0a0" stroked="f"/>
        </w:pict>
      </w:r>
    </w:p>
    <w:p w14:paraId="41C9BBB0" w14:textId="77777777" w:rsidR="00A90F2E" w:rsidRDefault="00A90F2E" w:rsidP="00A90F2E">
      <w:pPr>
        <w:pStyle w:val="berschrift3"/>
      </w:pPr>
      <w:r>
        <w:rPr>
          <w:rStyle w:val="Fett"/>
          <w:rFonts w:ascii="Segoe UI Emoji" w:hAnsi="Segoe UI Emoji" w:cs="Segoe UI Emoji"/>
          <w:b/>
          <w:bCs/>
        </w:rPr>
        <w:t>📚</w:t>
      </w:r>
      <w:r>
        <w:rPr>
          <w:rStyle w:val="Fett"/>
          <w:b/>
          <w:bCs/>
        </w:rPr>
        <w:t xml:space="preserve"> Quellen zu Abschnitt 2.2</w:t>
      </w:r>
    </w:p>
    <w:p w14:paraId="73321884" w14:textId="77777777" w:rsidR="00A90F2E" w:rsidRDefault="00A90F2E" w:rsidP="00A90F2E">
      <w:pPr>
        <w:pStyle w:val="StandardWeb"/>
      </w:pPr>
      <w:r>
        <w:t xml:space="preserve">[3] Cohen, I. B. (1985). </w:t>
      </w:r>
      <w:r>
        <w:rPr>
          <w:rStyle w:val="Hervorhebung"/>
        </w:rPr>
        <w:t>Revolution in Science</w:t>
      </w:r>
      <w:r>
        <w:t xml:space="preserve">. </w:t>
      </w:r>
      <w:proofErr w:type="spellStart"/>
      <w:r>
        <w:t>Belknap</w:t>
      </w:r>
      <w:proofErr w:type="spellEnd"/>
      <w:r>
        <w:t xml:space="preserve"> Press.</w:t>
      </w:r>
      <w:r>
        <w:br/>
        <w:t xml:space="preserve">[4] Heisenberg, W. (1958). </w:t>
      </w:r>
      <w:r>
        <w:rPr>
          <w:rStyle w:val="Hervorhebung"/>
        </w:rPr>
        <w:t>Physics and Philosophy: The Revolution in Modern Science</w:t>
      </w:r>
      <w:r>
        <w:t xml:space="preserve">. Harper &amp; </w:t>
      </w:r>
      <w:proofErr w:type="spellStart"/>
      <w:r>
        <w:t>Row</w:t>
      </w:r>
      <w:proofErr w:type="spellEnd"/>
      <w:r>
        <w:t>.</w:t>
      </w:r>
      <w:r>
        <w:br/>
        <w:t xml:space="preserve">[7] Aristoteles (ca. 350 v. Chr.). </w:t>
      </w:r>
      <w:r>
        <w:rPr>
          <w:rStyle w:val="Hervorhebung"/>
        </w:rPr>
        <w:t>Physik</w:t>
      </w:r>
      <w:r>
        <w:t>. Buch IV.</w:t>
      </w:r>
      <w:r>
        <w:br/>
      </w:r>
      <w:r>
        <w:lastRenderedPageBreak/>
        <w:t xml:space="preserve">[8] Galilei, G. (1632). </w:t>
      </w:r>
      <w:r>
        <w:rPr>
          <w:rStyle w:val="Hervorhebung"/>
        </w:rPr>
        <w:t>Dialog über die zwei hauptsächlichen Weltsysteme</w:t>
      </w:r>
      <w:r>
        <w:t>. Florenz.</w:t>
      </w:r>
      <w:r>
        <w:br/>
        <w:t xml:space="preserve">[9] Newton, I. (1687). </w:t>
      </w:r>
      <w:proofErr w:type="spellStart"/>
      <w:r>
        <w:rPr>
          <w:rStyle w:val="Hervorhebung"/>
        </w:rPr>
        <w:t>Philosophiæ</w:t>
      </w:r>
      <w:proofErr w:type="spellEnd"/>
      <w:r>
        <w:rPr>
          <w:rStyle w:val="Hervorhebung"/>
        </w:rPr>
        <w:t xml:space="preserve"> Naturalis Principia Mathematica</w:t>
      </w:r>
      <w:r>
        <w:t>. London.</w:t>
      </w:r>
      <w:r>
        <w:br/>
        <w:t xml:space="preserve">[10] Einstein, A. (1905). </w:t>
      </w:r>
      <w:r>
        <w:rPr>
          <w:rStyle w:val="Hervorhebung"/>
        </w:rPr>
        <w:t>Zur Elektrodynamik bewegter Körper</w:t>
      </w:r>
      <w:r>
        <w:t xml:space="preserve">. </w:t>
      </w:r>
      <w:r>
        <w:rPr>
          <w:rStyle w:val="Hervorhebung"/>
        </w:rPr>
        <w:t>Annalen der Physik</w:t>
      </w:r>
      <w:r>
        <w:t>, 17(10), 891–921.</w:t>
      </w:r>
      <w:r>
        <w:br/>
        <w:t xml:space="preserve">Einstein, A. (1915). </w:t>
      </w:r>
      <w:r>
        <w:rPr>
          <w:rStyle w:val="Hervorhebung"/>
        </w:rPr>
        <w:t>Die Feldgleichungen der Gravitation</w:t>
      </w:r>
      <w:r>
        <w:t>. Sitzungsberichte der Preußischen Akademie der Wissenschaften.</w:t>
      </w:r>
    </w:p>
    <w:p w14:paraId="4CC2382C" w14:textId="77777777" w:rsidR="00A90F2E" w:rsidRPr="00A90F2E" w:rsidRDefault="00A90F2E" w:rsidP="00A90F2E">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A90F2E">
        <w:rPr>
          <w:rFonts w:ascii="Times New Roman" w:eastAsia="Times New Roman" w:hAnsi="Times New Roman" w:cs="Times New Roman"/>
          <w:b/>
          <w:bCs/>
          <w:sz w:val="36"/>
          <w:szCs w:val="36"/>
          <w:lang w:eastAsia="de-DE"/>
        </w:rPr>
        <w:t>2.3 Methodisch-didaktische Bewertung physikalischer Bezugssysteme</w:t>
      </w:r>
    </w:p>
    <w:p w14:paraId="51F1C2A1" w14:textId="77777777" w:rsidR="00A90F2E" w:rsidRPr="00A90F2E" w:rsidRDefault="00A90F2E" w:rsidP="00A90F2E">
      <w:pPr>
        <w:spacing w:before="100" w:beforeAutospacing="1" w:after="100" w:afterAutospacing="1" w:line="240" w:lineRule="auto"/>
        <w:rPr>
          <w:rFonts w:ascii="Times New Roman" w:eastAsia="Times New Roman" w:hAnsi="Times New Roman" w:cs="Times New Roman"/>
          <w:sz w:val="24"/>
          <w:szCs w:val="24"/>
          <w:lang w:eastAsia="de-DE"/>
        </w:rPr>
      </w:pPr>
      <w:r w:rsidRPr="00A90F2E">
        <w:rPr>
          <w:rFonts w:ascii="Times New Roman" w:eastAsia="Times New Roman" w:hAnsi="Times New Roman" w:cs="Times New Roman"/>
          <w:sz w:val="24"/>
          <w:szCs w:val="24"/>
          <w:lang w:eastAsia="de-DE"/>
        </w:rPr>
        <w:t xml:space="preserve">Die Vermittlung physikalischer Bezugssysteme stellt Lehrende vor erhebliche didaktische Herausforderungen. Diese ergeben sich sowohl aus der Abstraktheit und Komplexität der Konzepte selbst als auch aus der oftmals unreflektierten Übernahme traditioneller Vermittlungsstrategien [12]. Bezugssysteme sind nicht nur mathematische </w:t>
      </w:r>
      <w:proofErr w:type="spellStart"/>
      <w:r w:rsidRPr="00A90F2E">
        <w:rPr>
          <w:rFonts w:ascii="Times New Roman" w:eastAsia="Times New Roman" w:hAnsi="Times New Roman" w:cs="Times New Roman"/>
          <w:sz w:val="24"/>
          <w:szCs w:val="24"/>
          <w:lang w:eastAsia="de-DE"/>
        </w:rPr>
        <w:t>Hilfskonstrukte</w:t>
      </w:r>
      <w:proofErr w:type="spellEnd"/>
      <w:r w:rsidRPr="00A90F2E">
        <w:rPr>
          <w:rFonts w:ascii="Times New Roman" w:eastAsia="Times New Roman" w:hAnsi="Times New Roman" w:cs="Times New Roman"/>
          <w:sz w:val="24"/>
          <w:szCs w:val="24"/>
          <w:lang w:eastAsia="de-DE"/>
        </w:rPr>
        <w:t>, sondern tief in epistemologische und erkenntnistheoretische Fragen eingebettet – ihr Verständnis verlangt sowohl begriffliche Klarheit als auch kognitive Flexibilität.</w:t>
      </w:r>
    </w:p>
    <w:p w14:paraId="42C481BD" w14:textId="77777777" w:rsidR="00A90F2E" w:rsidRPr="00A90F2E" w:rsidRDefault="00A90F2E" w:rsidP="00A90F2E">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A90F2E">
        <w:rPr>
          <w:rFonts w:ascii="Times New Roman" w:eastAsia="Times New Roman" w:hAnsi="Times New Roman" w:cs="Times New Roman"/>
          <w:b/>
          <w:bCs/>
          <w:sz w:val="27"/>
          <w:szCs w:val="27"/>
          <w:lang w:eastAsia="de-DE"/>
        </w:rPr>
        <w:t>2.3.1 Linearität versus vernetztes Lernen</w:t>
      </w:r>
    </w:p>
    <w:p w14:paraId="07B2150B" w14:textId="77777777" w:rsidR="00A90F2E" w:rsidRPr="00A90F2E" w:rsidRDefault="00A90F2E" w:rsidP="00A90F2E">
      <w:pPr>
        <w:spacing w:before="100" w:beforeAutospacing="1" w:after="100" w:afterAutospacing="1" w:line="240" w:lineRule="auto"/>
        <w:rPr>
          <w:rFonts w:ascii="Times New Roman" w:eastAsia="Times New Roman" w:hAnsi="Times New Roman" w:cs="Times New Roman"/>
          <w:sz w:val="24"/>
          <w:szCs w:val="24"/>
          <w:lang w:eastAsia="de-DE"/>
        </w:rPr>
      </w:pPr>
      <w:r w:rsidRPr="00A90F2E">
        <w:rPr>
          <w:rFonts w:ascii="Times New Roman" w:eastAsia="Times New Roman" w:hAnsi="Times New Roman" w:cs="Times New Roman"/>
          <w:sz w:val="24"/>
          <w:szCs w:val="24"/>
          <w:lang w:eastAsia="de-DE"/>
        </w:rPr>
        <w:t>Der klassische Physikunterricht ist häufig chronologisch aufgebaut: von Newton über Einstein zur Quantenmechanik. Diese lineare Struktur wird der sprunghaften, oft revolutionären Entwicklung physikalischer Theorien jedoch nicht gerecht. Wie Kuhn betont, verlaufen wissenschaftliche Entwicklungen nicht kontinuierlich, sondern in Form von Paradigmenwechseln, bei denen sich die grundlegenden Begriffe und Methoden verändern:</w:t>
      </w:r>
    </w:p>
    <w:p w14:paraId="55DDF141" w14:textId="77777777" w:rsidR="00A90F2E" w:rsidRPr="00A90F2E" w:rsidRDefault="00A90F2E" w:rsidP="00A90F2E">
      <w:pPr>
        <w:spacing w:beforeAutospacing="1" w:after="100" w:afterAutospacing="1" w:line="240" w:lineRule="auto"/>
        <w:rPr>
          <w:rFonts w:ascii="Times New Roman" w:eastAsia="Times New Roman" w:hAnsi="Times New Roman" w:cs="Times New Roman"/>
          <w:sz w:val="24"/>
          <w:szCs w:val="24"/>
          <w:lang w:eastAsia="de-DE"/>
        </w:rPr>
      </w:pPr>
      <w:r w:rsidRPr="00A90F2E">
        <w:rPr>
          <w:rFonts w:ascii="Times New Roman" w:eastAsia="Times New Roman" w:hAnsi="Times New Roman" w:cs="Times New Roman"/>
          <w:sz w:val="24"/>
          <w:szCs w:val="24"/>
          <w:lang w:eastAsia="de-DE"/>
        </w:rPr>
        <w:t xml:space="preserve">„Scientific </w:t>
      </w:r>
      <w:proofErr w:type="spellStart"/>
      <w:r w:rsidRPr="00A90F2E">
        <w:rPr>
          <w:rFonts w:ascii="Times New Roman" w:eastAsia="Times New Roman" w:hAnsi="Times New Roman" w:cs="Times New Roman"/>
          <w:sz w:val="24"/>
          <w:szCs w:val="24"/>
          <w:lang w:eastAsia="de-DE"/>
        </w:rPr>
        <w:t>revolutions</w:t>
      </w:r>
      <w:proofErr w:type="spellEnd"/>
      <w:r w:rsidRPr="00A90F2E">
        <w:rPr>
          <w:rFonts w:ascii="Times New Roman" w:eastAsia="Times New Roman" w:hAnsi="Times New Roman" w:cs="Times New Roman"/>
          <w:sz w:val="24"/>
          <w:szCs w:val="24"/>
          <w:lang w:eastAsia="de-DE"/>
        </w:rPr>
        <w:t xml:space="preserve"> </w:t>
      </w:r>
      <w:proofErr w:type="spellStart"/>
      <w:r w:rsidRPr="00A90F2E">
        <w:rPr>
          <w:rFonts w:ascii="Times New Roman" w:eastAsia="Times New Roman" w:hAnsi="Times New Roman" w:cs="Times New Roman"/>
          <w:sz w:val="24"/>
          <w:szCs w:val="24"/>
          <w:lang w:eastAsia="de-DE"/>
        </w:rPr>
        <w:t>are</w:t>
      </w:r>
      <w:proofErr w:type="spellEnd"/>
      <w:r w:rsidRPr="00A90F2E">
        <w:rPr>
          <w:rFonts w:ascii="Times New Roman" w:eastAsia="Times New Roman" w:hAnsi="Times New Roman" w:cs="Times New Roman"/>
          <w:sz w:val="24"/>
          <w:szCs w:val="24"/>
          <w:lang w:eastAsia="de-DE"/>
        </w:rPr>
        <w:t xml:space="preserve"> </w:t>
      </w:r>
      <w:proofErr w:type="spellStart"/>
      <w:r w:rsidRPr="00A90F2E">
        <w:rPr>
          <w:rFonts w:ascii="Times New Roman" w:eastAsia="Times New Roman" w:hAnsi="Times New Roman" w:cs="Times New Roman"/>
          <w:sz w:val="24"/>
          <w:szCs w:val="24"/>
          <w:lang w:eastAsia="de-DE"/>
        </w:rPr>
        <w:t>those</w:t>
      </w:r>
      <w:proofErr w:type="spellEnd"/>
      <w:r w:rsidRPr="00A90F2E">
        <w:rPr>
          <w:rFonts w:ascii="Times New Roman" w:eastAsia="Times New Roman" w:hAnsi="Times New Roman" w:cs="Times New Roman"/>
          <w:sz w:val="24"/>
          <w:szCs w:val="24"/>
          <w:lang w:eastAsia="de-DE"/>
        </w:rPr>
        <w:t xml:space="preserve"> non-</w:t>
      </w:r>
      <w:proofErr w:type="spellStart"/>
      <w:r w:rsidRPr="00A90F2E">
        <w:rPr>
          <w:rFonts w:ascii="Times New Roman" w:eastAsia="Times New Roman" w:hAnsi="Times New Roman" w:cs="Times New Roman"/>
          <w:sz w:val="24"/>
          <w:szCs w:val="24"/>
          <w:lang w:eastAsia="de-DE"/>
        </w:rPr>
        <w:t>cumulative</w:t>
      </w:r>
      <w:proofErr w:type="spellEnd"/>
      <w:r w:rsidRPr="00A90F2E">
        <w:rPr>
          <w:rFonts w:ascii="Times New Roman" w:eastAsia="Times New Roman" w:hAnsi="Times New Roman" w:cs="Times New Roman"/>
          <w:sz w:val="24"/>
          <w:szCs w:val="24"/>
          <w:lang w:eastAsia="de-DE"/>
        </w:rPr>
        <w:t xml:space="preserve"> </w:t>
      </w:r>
      <w:proofErr w:type="spellStart"/>
      <w:r w:rsidRPr="00A90F2E">
        <w:rPr>
          <w:rFonts w:ascii="Times New Roman" w:eastAsia="Times New Roman" w:hAnsi="Times New Roman" w:cs="Times New Roman"/>
          <w:sz w:val="24"/>
          <w:szCs w:val="24"/>
          <w:lang w:eastAsia="de-DE"/>
        </w:rPr>
        <w:t>developmental</w:t>
      </w:r>
      <w:proofErr w:type="spellEnd"/>
      <w:r w:rsidRPr="00A90F2E">
        <w:rPr>
          <w:rFonts w:ascii="Times New Roman" w:eastAsia="Times New Roman" w:hAnsi="Times New Roman" w:cs="Times New Roman"/>
          <w:sz w:val="24"/>
          <w:szCs w:val="24"/>
          <w:lang w:eastAsia="de-DE"/>
        </w:rPr>
        <w:t xml:space="preserve"> </w:t>
      </w:r>
      <w:proofErr w:type="spellStart"/>
      <w:r w:rsidRPr="00A90F2E">
        <w:rPr>
          <w:rFonts w:ascii="Times New Roman" w:eastAsia="Times New Roman" w:hAnsi="Times New Roman" w:cs="Times New Roman"/>
          <w:sz w:val="24"/>
          <w:szCs w:val="24"/>
          <w:lang w:eastAsia="de-DE"/>
        </w:rPr>
        <w:t>episodes</w:t>
      </w:r>
      <w:proofErr w:type="spellEnd"/>
      <w:r w:rsidRPr="00A90F2E">
        <w:rPr>
          <w:rFonts w:ascii="Times New Roman" w:eastAsia="Times New Roman" w:hAnsi="Times New Roman" w:cs="Times New Roman"/>
          <w:sz w:val="24"/>
          <w:szCs w:val="24"/>
          <w:lang w:eastAsia="de-DE"/>
        </w:rPr>
        <w:t xml:space="preserve"> in </w:t>
      </w:r>
      <w:proofErr w:type="spellStart"/>
      <w:r w:rsidRPr="00A90F2E">
        <w:rPr>
          <w:rFonts w:ascii="Times New Roman" w:eastAsia="Times New Roman" w:hAnsi="Times New Roman" w:cs="Times New Roman"/>
          <w:sz w:val="24"/>
          <w:szCs w:val="24"/>
          <w:lang w:eastAsia="de-DE"/>
        </w:rPr>
        <w:t>which</w:t>
      </w:r>
      <w:proofErr w:type="spellEnd"/>
      <w:r w:rsidRPr="00A90F2E">
        <w:rPr>
          <w:rFonts w:ascii="Times New Roman" w:eastAsia="Times New Roman" w:hAnsi="Times New Roman" w:cs="Times New Roman"/>
          <w:sz w:val="24"/>
          <w:szCs w:val="24"/>
          <w:lang w:eastAsia="de-DE"/>
        </w:rPr>
        <w:t xml:space="preserve"> an </w:t>
      </w:r>
      <w:proofErr w:type="spellStart"/>
      <w:r w:rsidRPr="00A90F2E">
        <w:rPr>
          <w:rFonts w:ascii="Times New Roman" w:eastAsia="Times New Roman" w:hAnsi="Times New Roman" w:cs="Times New Roman"/>
          <w:sz w:val="24"/>
          <w:szCs w:val="24"/>
          <w:lang w:eastAsia="de-DE"/>
        </w:rPr>
        <w:t>older</w:t>
      </w:r>
      <w:proofErr w:type="spellEnd"/>
      <w:r w:rsidRPr="00A90F2E">
        <w:rPr>
          <w:rFonts w:ascii="Times New Roman" w:eastAsia="Times New Roman" w:hAnsi="Times New Roman" w:cs="Times New Roman"/>
          <w:sz w:val="24"/>
          <w:szCs w:val="24"/>
          <w:lang w:eastAsia="de-DE"/>
        </w:rPr>
        <w:t xml:space="preserve"> </w:t>
      </w:r>
      <w:proofErr w:type="spellStart"/>
      <w:r w:rsidRPr="00A90F2E">
        <w:rPr>
          <w:rFonts w:ascii="Times New Roman" w:eastAsia="Times New Roman" w:hAnsi="Times New Roman" w:cs="Times New Roman"/>
          <w:sz w:val="24"/>
          <w:szCs w:val="24"/>
          <w:lang w:eastAsia="de-DE"/>
        </w:rPr>
        <w:t>paradigm</w:t>
      </w:r>
      <w:proofErr w:type="spellEnd"/>
      <w:r w:rsidRPr="00A90F2E">
        <w:rPr>
          <w:rFonts w:ascii="Times New Roman" w:eastAsia="Times New Roman" w:hAnsi="Times New Roman" w:cs="Times New Roman"/>
          <w:sz w:val="24"/>
          <w:szCs w:val="24"/>
          <w:lang w:eastAsia="de-DE"/>
        </w:rPr>
        <w:t xml:space="preserve"> </w:t>
      </w:r>
      <w:proofErr w:type="spellStart"/>
      <w:r w:rsidRPr="00A90F2E">
        <w:rPr>
          <w:rFonts w:ascii="Times New Roman" w:eastAsia="Times New Roman" w:hAnsi="Times New Roman" w:cs="Times New Roman"/>
          <w:sz w:val="24"/>
          <w:szCs w:val="24"/>
          <w:lang w:eastAsia="de-DE"/>
        </w:rPr>
        <w:t>is</w:t>
      </w:r>
      <w:proofErr w:type="spellEnd"/>
      <w:r w:rsidRPr="00A90F2E">
        <w:rPr>
          <w:rFonts w:ascii="Times New Roman" w:eastAsia="Times New Roman" w:hAnsi="Times New Roman" w:cs="Times New Roman"/>
          <w:sz w:val="24"/>
          <w:szCs w:val="24"/>
          <w:lang w:eastAsia="de-DE"/>
        </w:rPr>
        <w:t xml:space="preserve"> </w:t>
      </w:r>
      <w:proofErr w:type="spellStart"/>
      <w:r w:rsidRPr="00A90F2E">
        <w:rPr>
          <w:rFonts w:ascii="Times New Roman" w:eastAsia="Times New Roman" w:hAnsi="Times New Roman" w:cs="Times New Roman"/>
          <w:sz w:val="24"/>
          <w:szCs w:val="24"/>
          <w:lang w:eastAsia="de-DE"/>
        </w:rPr>
        <w:t>replaced</w:t>
      </w:r>
      <w:proofErr w:type="spellEnd"/>
      <w:r w:rsidRPr="00A90F2E">
        <w:rPr>
          <w:rFonts w:ascii="Times New Roman" w:eastAsia="Times New Roman" w:hAnsi="Times New Roman" w:cs="Times New Roman"/>
          <w:sz w:val="24"/>
          <w:szCs w:val="24"/>
          <w:lang w:eastAsia="de-DE"/>
        </w:rPr>
        <w:t xml:space="preserve"> in </w:t>
      </w:r>
      <w:proofErr w:type="spellStart"/>
      <w:r w:rsidRPr="00A90F2E">
        <w:rPr>
          <w:rFonts w:ascii="Times New Roman" w:eastAsia="Times New Roman" w:hAnsi="Times New Roman" w:cs="Times New Roman"/>
          <w:sz w:val="24"/>
          <w:szCs w:val="24"/>
          <w:lang w:eastAsia="de-DE"/>
        </w:rPr>
        <w:t>whole</w:t>
      </w:r>
      <w:proofErr w:type="spellEnd"/>
      <w:r w:rsidRPr="00A90F2E">
        <w:rPr>
          <w:rFonts w:ascii="Times New Roman" w:eastAsia="Times New Roman" w:hAnsi="Times New Roman" w:cs="Times New Roman"/>
          <w:sz w:val="24"/>
          <w:szCs w:val="24"/>
          <w:lang w:eastAsia="de-DE"/>
        </w:rPr>
        <w:t xml:space="preserve"> </w:t>
      </w:r>
      <w:proofErr w:type="spellStart"/>
      <w:r w:rsidRPr="00A90F2E">
        <w:rPr>
          <w:rFonts w:ascii="Times New Roman" w:eastAsia="Times New Roman" w:hAnsi="Times New Roman" w:cs="Times New Roman"/>
          <w:sz w:val="24"/>
          <w:szCs w:val="24"/>
          <w:lang w:eastAsia="de-DE"/>
        </w:rPr>
        <w:t>or</w:t>
      </w:r>
      <w:proofErr w:type="spellEnd"/>
      <w:r w:rsidRPr="00A90F2E">
        <w:rPr>
          <w:rFonts w:ascii="Times New Roman" w:eastAsia="Times New Roman" w:hAnsi="Times New Roman" w:cs="Times New Roman"/>
          <w:sz w:val="24"/>
          <w:szCs w:val="24"/>
          <w:lang w:eastAsia="de-DE"/>
        </w:rPr>
        <w:t xml:space="preserve"> in </w:t>
      </w:r>
      <w:proofErr w:type="spellStart"/>
      <w:r w:rsidRPr="00A90F2E">
        <w:rPr>
          <w:rFonts w:ascii="Times New Roman" w:eastAsia="Times New Roman" w:hAnsi="Times New Roman" w:cs="Times New Roman"/>
          <w:sz w:val="24"/>
          <w:szCs w:val="24"/>
          <w:lang w:eastAsia="de-DE"/>
        </w:rPr>
        <w:t>part</w:t>
      </w:r>
      <w:proofErr w:type="spellEnd"/>
      <w:r w:rsidRPr="00A90F2E">
        <w:rPr>
          <w:rFonts w:ascii="Times New Roman" w:eastAsia="Times New Roman" w:hAnsi="Times New Roman" w:cs="Times New Roman"/>
          <w:sz w:val="24"/>
          <w:szCs w:val="24"/>
          <w:lang w:eastAsia="de-DE"/>
        </w:rPr>
        <w:t xml:space="preserve"> </w:t>
      </w:r>
      <w:proofErr w:type="spellStart"/>
      <w:r w:rsidRPr="00A90F2E">
        <w:rPr>
          <w:rFonts w:ascii="Times New Roman" w:eastAsia="Times New Roman" w:hAnsi="Times New Roman" w:cs="Times New Roman"/>
          <w:sz w:val="24"/>
          <w:szCs w:val="24"/>
          <w:lang w:eastAsia="de-DE"/>
        </w:rPr>
        <w:t>by</w:t>
      </w:r>
      <w:proofErr w:type="spellEnd"/>
      <w:r w:rsidRPr="00A90F2E">
        <w:rPr>
          <w:rFonts w:ascii="Times New Roman" w:eastAsia="Times New Roman" w:hAnsi="Times New Roman" w:cs="Times New Roman"/>
          <w:sz w:val="24"/>
          <w:szCs w:val="24"/>
          <w:lang w:eastAsia="de-DE"/>
        </w:rPr>
        <w:t xml:space="preserve"> an </w:t>
      </w:r>
      <w:proofErr w:type="spellStart"/>
      <w:r w:rsidRPr="00A90F2E">
        <w:rPr>
          <w:rFonts w:ascii="Times New Roman" w:eastAsia="Times New Roman" w:hAnsi="Times New Roman" w:cs="Times New Roman"/>
          <w:sz w:val="24"/>
          <w:szCs w:val="24"/>
          <w:lang w:eastAsia="de-DE"/>
        </w:rPr>
        <w:t>incompatible</w:t>
      </w:r>
      <w:proofErr w:type="spellEnd"/>
      <w:r w:rsidRPr="00A90F2E">
        <w:rPr>
          <w:rFonts w:ascii="Times New Roman" w:eastAsia="Times New Roman" w:hAnsi="Times New Roman" w:cs="Times New Roman"/>
          <w:sz w:val="24"/>
          <w:szCs w:val="24"/>
          <w:lang w:eastAsia="de-DE"/>
        </w:rPr>
        <w:t xml:space="preserve"> </w:t>
      </w:r>
      <w:proofErr w:type="spellStart"/>
      <w:r w:rsidRPr="00A90F2E">
        <w:rPr>
          <w:rFonts w:ascii="Times New Roman" w:eastAsia="Times New Roman" w:hAnsi="Times New Roman" w:cs="Times New Roman"/>
          <w:sz w:val="24"/>
          <w:szCs w:val="24"/>
          <w:lang w:eastAsia="de-DE"/>
        </w:rPr>
        <w:t>new</w:t>
      </w:r>
      <w:proofErr w:type="spellEnd"/>
      <w:r w:rsidRPr="00A90F2E">
        <w:rPr>
          <w:rFonts w:ascii="Times New Roman" w:eastAsia="Times New Roman" w:hAnsi="Times New Roman" w:cs="Times New Roman"/>
          <w:sz w:val="24"/>
          <w:szCs w:val="24"/>
          <w:lang w:eastAsia="de-DE"/>
        </w:rPr>
        <w:t xml:space="preserve"> </w:t>
      </w:r>
      <w:proofErr w:type="spellStart"/>
      <w:r w:rsidRPr="00A90F2E">
        <w:rPr>
          <w:rFonts w:ascii="Times New Roman" w:eastAsia="Times New Roman" w:hAnsi="Times New Roman" w:cs="Times New Roman"/>
          <w:sz w:val="24"/>
          <w:szCs w:val="24"/>
          <w:lang w:eastAsia="de-DE"/>
        </w:rPr>
        <w:t>one</w:t>
      </w:r>
      <w:proofErr w:type="spellEnd"/>
      <w:r w:rsidRPr="00A90F2E">
        <w:rPr>
          <w:rFonts w:ascii="Times New Roman" w:eastAsia="Times New Roman" w:hAnsi="Times New Roman" w:cs="Times New Roman"/>
          <w:sz w:val="24"/>
          <w:szCs w:val="24"/>
          <w:lang w:eastAsia="de-DE"/>
        </w:rPr>
        <w:t>.“ (Kuhn, 1962, S. 92) [13]</w:t>
      </w:r>
    </w:p>
    <w:p w14:paraId="3E7D3589" w14:textId="77777777" w:rsidR="00A90F2E" w:rsidRPr="00A90F2E" w:rsidRDefault="00A90F2E" w:rsidP="00A90F2E">
      <w:pPr>
        <w:spacing w:before="100" w:beforeAutospacing="1" w:after="100" w:afterAutospacing="1" w:line="240" w:lineRule="auto"/>
        <w:rPr>
          <w:rFonts w:ascii="Times New Roman" w:eastAsia="Times New Roman" w:hAnsi="Times New Roman" w:cs="Times New Roman"/>
          <w:sz w:val="24"/>
          <w:szCs w:val="24"/>
          <w:lang w:eastAsia="de-DE"/>
        </w:rPr>
      </w:pPr>
      <w:r w:rsidRPr="00A90F2E">
        <w:rPr>
          <w:rFonts w:ascii="Times New Roman" w:eastAsia="Times New Roman" w:hAnsi="Times New Roman" w:cs="Times New Roman"/>
          <w:sz w:val="24"/>
          <w:szCs w:val="24"/>
          <w:lang w:eastAsia="de-DE"/>
        </w:rPr>
        <w:t xml:space="preserve">Vernetztes Lernen – das heißt das thematische und problemorientierte Verknüpfen von Inhalten – erweist sich laut aktueller Lernforschung als deutlich nachhaltiger. </w:t>
      </w:r>
      <w:proofErr w:type="spellStart"/>
      <w:r w:rsidRPr="00A90F2E">
        <w:rPr>
          <w:rFonts w:ascii="Times New Roman" w:eastAsia="Times New Roman" w:hAnsi="Times New Roman" w:cs="Times New Roman"/>
          <w:sz w:val="24"/>
          <w:szCs w:val="24"/>
          <w:lang w:eastAsia="de-DE"/>
        </w:rPr>
        <w:t>Sweller</w:t>
      </w:r>
      <w:proofErr w:type="spellEnd"/>
      <w:r w:rsidRPr="00A90F2E">
        <w:rPr>
          <w:rFonts w:ascii="Times New Roman" w:eastAsia="Times New Roman" w:hAnsi="Times New Roman" w:cs="Times New Roman"/>
          <w:sz w:val="24"/>
          <w:szCs w:val="24"/>
          <w:lang w:eastAsia="de-DE"/>
        </w:rPr>
        <w:t xml:space="preserve"> betont, dass das Lernen durch die kognitive Strukturierung kontextueller Zusammenhänge effektiver wird [14].</w:t>
      </w:r>
    </w:p>
    <w:p w14:paraId="647BAA53" w14:textId="77777777" w:rsidR="00A90F2E" w:rsidRPr="00A90F2E" w:rsidRDefault="00A90F2E" w:rsidP="00A90F2E">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A90F2E">
        <w:rPr>
          <w:rFonts w:ascii="Times New Roman" w:eastAsia="Times New Roman" w:hAnsi="Times New Roman" w:cs="Times New Roman"/>
          <w:b/>
          <w:bCs/>
          <w:sz w:val="27"/>
          <w:szCs w:val="27"/>
          <w:lang w:eastAsia="de-DE"/>
        </w:rPr>
        <w:t>2.3.2 Verlust der Anschaulichkeit</w:t>
      </w:r>
    </w:p>
    <w:p w14:paraId="77421F05" w14:textId="77777777" w:rsidR="00A90F2E" w:rsidRPr="00A90F2E" w:rsidRDefault="00A90F2E" w:rsidP="00A90F2E">
      <w:pPr>
        <w:spacing w:before="100" w:beforeAutospacing="1" w:after="100" w:afterAutospacing="1" w:line="240" w:lineRule="auto"/>
        <w:rPr>
          <w:rFonts w:ascii="Times New Roman" w:eastAsia="Times New Roman" w:hAnsi="Times New Roman" w:cs="Times New Roman"/>
          <w:sz w:val="24"/>
          <w:szCs w:val="24"/>
          <w:lang w:eastAsia="de-DE"/>
        </w:rPr>
      </w:pPr>
      <w:r w:rsidRPr="00A90F2E">
        <w:rPr>
          <w:rFonts w:ascii="Times New Roman" w:eastAsia="Times New Roman" w:hAnsi="Times New Roman" w:cs="Times New Roman"/>
          <w:sz w:val="24"/>
          <w:szCs w:val="24"/>
          <w:lang w:eastAsia="de-DE"/>
        </w:rPr>
        <w:t>Mit wachsender theoretischer Tiefe verlieren physikalische Bezugssysteme oft ihren Bezug zur Erfahrungswelt. Während das newtonsche Weltbild durch klassische Experimente wie die Bewegung auf der Luftkissenbahn noch veranschaulicht werden kann, bleiben Einsteins gekrümmte Raumzeit oder quantenmechanische Zustände kognitiv schwer zugänglich. Spitzer weist in diesem Zusammenhang auf die neurokognitiven Grundlagen des Lernens hin:</w:t>
      </w:r>
    </w:p>
    <w:p w14:paraId="3EAD0019" w14:textId="77777777" w:rsidR="00A90F2E" w:rsidRPr="00A90F2E" w:rsidRDefault="00A90F2E" w:rsidP="00A90F2E">
      <w:pPr>
        <w:spacing w:beforeAutospacing="1" w:after="100" w:afterAutospacing="1" w:line="240" w:lineRule="auto"/>
        <w:rPr>
          <w:rFonts w:ascii="Times New Roman" w:eastAsia="Times New Roman" w:hAnsi="Times New Roman" w:cs="Times New Roman"/>
          <w:sz w:val="24"/>
          <w:szCs w:val="24"/>
          <w:lang w:eastAsia="de-DE"/>
        </w:rPr>
      </w:pPr>
      <w:r w:rsidRPr="00A90F2E">
        <w:rPr>
          <w:rFonts w:ascii="Times New Roman" w:eastAsia="Times New Roman" w:hAnsi="Times New Roman" w:cs="Times New Roman"/>
          <w:sz w:val="24"/>
          <w:szCs w:val="24"/>
          <w:lang w:eastAsia="de-DE"/>
        </w:rPr>
        <w:t>„Das Gehirn lernt bevorzugt durch Anschauung, Handlung und emotionale Beteiligung.“ (Spitzer, 2012, S. 143) [15]</w:t>
      </w:r>
    </w:p>
    <w:p w14:paraId="0DE98D89" w14:textId="77777777" w:rsidR="00A90F2E" w:rsidRPr="00A90F2E" w:rsidRDefault="00A90F2E" w:rsidP="00A90F2E">
      <w:pPr>
        <w:spacing w:before="100" w:beforeAutospacing="1" w:after="100" w:afterAutospacing="1" w:line="240" w:lineRule="auto"/>
        <w:rPr>
          <w:rFonts w:ascii="Times New Roman" w:eastAsia="Times New Roman" w:hAnsi="Times New Roman" w:cs="Times New Roman"/>
          <w:sz w:val="24"/>
          <w:szCs w:val="24"/>
          <w:lang w:eastAsia="de-DE"/>
        </w:rPr>
      </w:pPr>
      <w:r w:rsidRPr="00A90F2E">
        <w:rPr>
          <w:rFonts w:ascii="Times New Roman" w:eastAsia="Times New Roman" w:hAnsi="Times New Roman" w:cs="Times New Roman"/>
          <w:sz w:val="24"/>
          <w:szCs w:val="24"/>
          <w:lang w:eastAsia="de-DE"/>
        </w:rPr>
        <w:t>Die Herausforderung besteht darin, abstrakte Inhalte durch Visualisierungen, Simulationen und kontextbezogene Modelle erfahrbar zu machen.</w:t>
      </w:r>
    </w:p>
    <w:p w14:paraId="53E77B10" w14:textId="77777777" w:rsidR="00A90F2E" w:rsidRPr="00A90F2E" w:rsidRDefault="00A90F2E" w:rsidP="00A90F2E">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A90F2E">
        <w:rPr>
          <w:rFonts w:ascii="Times New Roman" w:eastAsia="Times New Roman" w:hAnsi="Times New Roman" w:cs="Times New Roman"/>
          <w:b/>
          <w:bCs/>
          <w:sz w:val="27"/>
          <w:szCs w:val="27"/>
          <w:lang w:eastAsia="de-DE"/>
        </w:rPr>
        <w:t>2.3.3 Wissenszunahme versus curriculare Machbarkeit</w:t>
      </w:r>
    </w:p>
    <w:p w14:paraId="7268FACA" w14:textId="77777777" w:rsidR="00A90F2E" w:rsidRPr="00A90F2E" w:rsidRDefault="00A90F2E" w:rsidP="00A90F2E">
      <w:pPr>
        <w:spacing w:before="100" w:beforeAutospacing="1" w:after="100" w:afterAutospacing="1" w:line="240" w:lineRule="auto"/>
        <w:rPr>
          <w:rFonts w:ascii="Times New Roman" w:eastAsia="Times New Roman" w:hAnsi="Times New Roman" w:cs="Times New Roman"/>
          <w:sz w:val="24"/>
          <w:szCs w:val="24"/>
          <w:lang w:eastAsia="de-DE"/>
        </w:rPr>
      </w:pPr>
      <w:r w:rsidRPr="00A90F2E">
        <w:rPr>
          <w:rFonts w:ascii="Times New Roman" w:eastAsia="Times New Roman" w:hAnsi="Times New Roman" w:cs="Times New Roman"/>
          <w:sz w:val="24"/>
          <w:szCs w:val="24"/>
          <w:lang w:eastAsia="de-DE"/>
        </w:rPr>
        <w:lastRenderedPageBreak/>
        <w:t>Mit dem exponentiellen Anstieg wissenschaftlicher Erkenntnisse wächst der Druck auf das Curriculum. Besonders interdisziplinäre Anwendungen wie GPS, Raumfahrt oder Quantentechnologie, deren Verständnis moderne Bezugssysteme voraussetzt, bleiben häufig unterrepräsentiert. Roth betont, dass Lernende nur durch personale Relevanz und klare konzeptuelle Strukturen zu nachhaltigem Lernen motiviert werden können:</w:t>
      </w:r>
    </w:p>
    <w:p w14:paraId="4069F964" w14:textId="77777777" w:rsidR="00A90F2E" w:rsidRPr="00A90F2E" w:rsidRDefault="00A90F2E" w:rsidP="00A90F2E">
      <w:pPr>
        <w:spacing w:beforeAutospacing="1" w:after="100" w:afterAutospacing="1" w:line="240" w:lineRule="auto"/>
        <w:rPr>
          <w:rFonts w:ascii="Times New Roman" w:eastAsia="Times New Roman" w:hAnsi="Times New Roman" w:cs="Times New Roman"/>
          <w:sz w:val="24"/>
          <w:szCs w:val="24"/>
          <w:lang w:eastAsia="de-DE"/>
        </w:rPr>
      </w:pPr>
      <w:r w:rsidRPr="00A90F2E">
        <w:rPr>
          <w:rFonts w:ascii="Times New Roman" w:eastAsia="Times New Roman" w:hAnsi="Times New Roman" w:cs="Times New Roman"/>
          <w:sz w:val="24"/>
          <w:szCs w:val="24"/>
          <w:lang w:eastAsia="de-DE"/>
        </w:rPr>
        <w:t>„Nur was individuell bedeutsam erscheint, wird langfristig behalten und angewendet.“ (Roth, 2013, S. 78) [16]</w:t>
      </w:r>
    </w:p>
    <w:p w14:paraId="3C913B48" w14:textId="77777777" w:rsidR="00A90F2E" w:rsidRPr="00A90F2E" w:rsidRDefault="00A90F2E" w:rsidP="00A90F2E">
      <w:pPr>
        <w:spacing w:before="100" w:beforeAutospacing="1" w:after="100" w:afterAutospacing="1" w:line="240" w:lineRule="auto"/>
        <w:rPr>
          <w:rFonts w:ascii="Times New Roman" w:eastAsia="Times New Roman" w:hAnsi="Times New Roman" w:cs="Times New Roman"/>
          <w:sz w:val="24"/>
          <w:szCs w:val="24"/>
          <w:lang w:eastAsia="de-DE"/>
        </w:rPr>
      </w:pPr>
      <w:r w:rsidRPr="00A90F2E">
        <w:rPr>
          <w:rFonts w:ascii="Times New Roman" w:eastAsia="Times New Roman" w:hAnsi="Times New Roman" w:cs="Times New Roman"/>
          <w:sz w:val="24"/>
          <w:szCs w:val="24"/>
          <w:lang w:eastAsia="de-DE"/>
        </w:rPr>
        <w:t xml:space="preserve">Die Auswahl und Reduktion der Inhalte </w:t>
      </w:r>
      <w:proofErr w:type="gramStart"/>
      <w:r w:rsidRPr="00A90F2E">
        <w:rPr>
          <w:rFonts w:ascii="Times New Roman" w:eastAsia="Times New Roman" w:hAnsi="Times New Roman" w:cs="Times New Roman"/>
          <w:sz w:val="24"/>
          <w:szCs w:val="24"/>
          <w:lang w:eastAsia="de-DE"/>
        </w:rPr>
        <w:t>muss</w:t>
      </w:r>
      <w:proofErr w:type="gramEnd"/>
      <w:r w:rsidRPr="00A90F2E">
        <w:rPr>
          <w:rFonts w:ascii="Times New Roman" w:eastAsia="Times New Roman" w:hAnsi="Times New Roman" w:cs="Times New Roman"/>
          <w:sz w:val="24"/>
          <w:szCs w:val="24"/>
          <w:lang w:eastAsia="de-DE"/>
        </w:rPr>
        <w:t xml:space="preserve"> also ebenso didaktisch reflektiert erfolgen wie deren methodische Aufbereitung.</w:t>
      </w:r>
    </w:p>
    <w:p w14:paraId="2A9C1DB6" w14:textId="77777777" w:rsidR="00A90F2E" w:rsidRPr="00A90F2E" w:rsidRDefault="00E3432A" w:rsidP="00A90F2E">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6153DA46">
          <v:rect id="_x0000_i1027" style="width:0;height:1.5pt" o:hralign="center" o:hrstd="t" o:hr="t" fillcolor="#a0a0a0" stroked="f"/>
        </w:pict>
      </w:r>
    </w:p>
    <w:p w14:paraId="422C9FD1" w14:textId="77777777" w:rsidR="00A90F2E" w:rsidRPr="00A90F2E" w:rsidRDefault="00A90F2E" w:rsidP="00A90F2E">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A90F2E">
        <w:rPr>
          <w:rFonts w:ascii="Times New Roman" w:eastAsia="Times New Roman" w:hAnsi="Times New Roman" w:cs="Times New Roman"/>
          <w:b/>
          <w:bCs/>
          <w:sz w:val="27"/>
          <w:szCs w:val="27"/>
          <w:lang w:eastAsia="de-DE"/>
        </w:rPr>
        <w:t>Effektive Lehrmethoden</w:t>
      </w:r>
    </w:p>
    <w:p w14:paraId="44FBE074" w14:textId="77777777" w:rsidR="00A90F2E" w:rsidRPr="00A90F2E" w:rsidRDefault="00A90F2E" w:rsidP="00A90F2E">
      <w:pPr>
        <w:spacing w:before="100" w:beforeAutospacing="1" w:after="100" w:afterAutospacing="1" w:line="240" w:lineRule="auto"/>
        <w:rPr>
          <w:rFonts w:ascii="Times New Roman" w:eastAsia="Times New Roman" w:hAnsi="Times New Roman" w:cs="Times New Roman"/>
          <w:sz w:val="24"/>
          <w:szCs w:val="24"/>
          <w:lang w:eastAsia="de-DE"/>
        </w:rPr>
      </w:pPr>
      <w:r w:rsidRPr="00A90F2E">
        <w:rPr>
          <w:rFonts w:ascii="Times New Roman" w:eastAsia="Times New Roman" w:hAnsi="Times New Roman" w:cs="Times New Roman"/>
          <w:sz w:val="24"/>
          <w:szCs w:val="24"/>
          <w:lang w:eastAsia="de-DE"/>
        </w:rPr>
        <w:t>Um diesen Herausforderungen zu begegnen, bedarf es innovativer didaktischer Strategien:</w:t>
      </w:r>
    </w:p>
    <w:p w14:paraId="0DDE9F94" w14:textId="77777777" w:rsidR="00A90F2E" w:rsidRPr="00A90F2E" w:rsidRDefault="00A90F2E" w:rsidP="00A90F2E">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A90F2E">
        <w:rPr>
          <w:rFonts w:ascii="Times New Roman" w:eastAsia="Times New Roman" w:hAnsi="Times New Roman" w:cs="Times New Roman"/>
          <w:b/>
          <w:bCs/>
          <w:sz w:val="24"/>
          <w:szCs w:val="24"/>
          <w:lang w:eastAsia="de-DE"/>
        </w:rPr>
        <w:t>Vernetztes Lernen:</w:t>
      </w:r>
      <w:r w:rsidRPr="00A90F2E">
        <w:rPr>
          <w:rFonts w:ascii="Times New Roman" w:eastAsia="Times New Roman" w:hAnsi="Times New Roman" w:cs="Times New Roman"/>
          <w:sz w:val="24"/>
          <w:szCs w:val="24"/>
          <w:lang w:eastAsia="de-DE"/>
        </w:rPr>
        <w:t xml:space="preserve"> Inhalte sollten thematisch eingebettet, mit übergreifenden Fragestellungen verknüpft und in realitätsnahe Kontexte gestellt werden [14].</w:t>
      </w:r>
    </w:p>
    <w:p w14:paraId="309CB7A6" w14:textId="77777777" w:rsidR="00A90F2E" w:rsidRPr="00A90F2E" w:rsidRDefault="00A90F2E" w:rsidP="00A90F2E">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A90F2E">
        <w:rPr>
          <w:rFonts w:ascii="Times New Roman" w:eastAsia="Times New Roman" w:hAnsi="Times New Roman" w:cs="Times New Roman"/>
          <w:b/>
          <w:bCs/>
          <w:sz w:val="24"/>
          <w:szCs w:val="24"/>
          <w:lang w:eastAsia="de-DE"/>
        </w:rPr>
        <w:t>Visualisierung:</w:t>
      </w:r>
      <w:r w:rsidRPr="00A90F2E">
        <w:rPr>
          <w:rFonts w:ascii="Times New Roman" w:eastAsia="Times New Roman" w:hAnsi="Times New Roman" w:cs="Times New Roman"/>
          <w:sz w:val="24"/>
          <w:szCs w:val="24"/>
          <w:lang w:eastAsia="de-DE"/>
        </w:rPr>
        <w:t xml:space="preserve"> Der gezielte Einsatz von Simulationen und Visualisierungstools wie GeoGebra oder interaktiven Raumzeitdiagrammen hilft, abstrakte Strukturen zu konkretisieren [20].</w:t>
      </w:r>
    </w:p>
    <w:p w14:paraId="073E2EB4" w14:textId="77777777" w:rsidR="00A90F2E" w:rsidRPr="00A90F2E" w:rsidRDefault="00A90F2E" w:rsidP="00A90F2E">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A90F2E">
        <w:rPr>
          <w:rFonts w:ascii="Times New Roman" w:eastAsia="Times New Roman" w:hAnsi="Times New Roman" w:cs="Times New Roman"/>
          <w:b/>
          <w:bCs/>
          <w:sz w:val="24"/>
          <w:szCs w:val="24"/>
          <w:lang w:eastAsia="de-DE"/>
        </w:rPr>
        <w:t>Alltagsbezug:</w:t>
      </w:r>
      <w:r w:rsidRPr="00A90F2E">
        <w:rPr>
          <w:rFonts w:ascii="Times New Roman" w:eastAsia="Times New Roman" w:hAnsi="Times New Roman" w:cs="Times New Roman"/>
          <w:sz w:val="24"/>
          <w:szCs w:val="24"/>
          <w:lang w:eastAsia="de-DE"/>
        </w:rPr>
        <w:t xml:space="preserve"> Die Verbindung zu Anwendungen wie GPS oder Zeitdilatation bei Raumflügen macht Bezugssysteme greifbar und motivierend [16].</w:t>
      </w:r>
    </w:p>
    <w:p w14:paraId="7792693B" w14:textId="77777777" w:rsidR="00A90F2E" w:rsidRPr="00A90F2E" w:rsidRDefault="00A90F2E" w:rsidP="00A90F2E">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A90F2E">
        <w:rPr>
          <w:rFonts w:ascii="Times New Roman" w:eastAsia="Times New Roman" w:hAnsi="Times New Roman" w:cs="Times New Roman"/>
          <w:b/>
          <w:bCs/>
          <w:sz w:val="24"/>
          <w:szCs w:val="24"/>
          <w:lang w:eastAsia="de-DE"/>
        </w:rPr>
        <w:t>Aktives Lernen:</w:t>
      </w:r>
      <w:r w:rsidRPr="00A90F2E">
        <w:rPr>
          <w:rFonts w:ascii="Times New Roman" w:eastAsia="Times New Roman" w:hAnsi="Times New Roman" w:cs="Times New Roman"/>
          <w:sz w:val="24"/>
          <w:szCs w:val="24"/>
          <w:lang w:eastAsia="de-DE"/>
        </w:rPr>
        <w:t xml:space="preserve"> Projektarbeit, Modellbildung, Diskussionen und Experimente fördern eine tiefere Auseinandersetzung mit komplexen Konzepten [22].</w:t>
      </w:r>
    </w:p>
    <w:p w14:paraId="46DC0554" w14:textId="77777777" w:rsidR="00A90F2E" w:rsidRPr="00A90F2E" w:rsidRDefault="00E3432A" w:rsidP="00A90F2E">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68E9A12B">
          <v:rect id="_x0000_i1028" style="width:0;height:1.5pt" o:hralign="center" o:hrstd="t" o:hr="t" fillcolor="#a0a0a0" stroked="f"/>
        </w:pict>
      </w:r>
    </w:p>
    <w:p w14:paraId="01C53BF7" w14:textId="77777777" w:rsidR="00A90F2E" w:rsidRPr="00A90F2E" w:rsidRDefault="00A90F2E" w:rsidP="00A90F2E">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A90F2E">
        <w:rPr>
          <w:rFonts w:ascii="Times New Roman" w:eastAsia="Times New Roman" w:hAnsi="Times New Roman" w:cs="Times New Roman"/>
          <w:b/>
          <w:bCs/>
          <w:sz w:val="27"/>
          <w:szCs w:val="27"/>
          <w:lang w:eastAsia="de-DE"/>
        </w:rPr>
        <w:t>Fazit</w:t>
      </w:r>
    </w:p>
    <w:p w14:paraId="069A1B0C" w14:textId="77777777" w:rsidR="00A90F2E" w:rsidRPr="00A90F2E" w:rsidRDefault="00A90F2E" w:rsidP="00A90F2E">
      <w:pPr>
        <w:spacing w:before="100" w:beforeAutospacing="1" w:after="100" w:afterAutospacing="1" w:line="240" w:lineRule="auto"/>
        <w:rPr>
          <w:rFonts w:ascii="Times New Roman" w:eastAsia="Times New Roman" w:hAnsi="Times New Roman" w:cs="Times New Roman"/>
          <w:sz w:val="24"/>
          <w:szCs w:val="24"/>
          <w:lang w:eastAsia="de-DE"/>
        </w:rPr>
      </w:pPr>
      <w:r w:rsidRPr="00A90F2E">
        <w:rPr>
          <w:rFonts w:ascii="Times New Roman" w:eastAsia="Times New Roman" w:hAnsi="Times New Roman" w:cs="Times New Roman"/>
          <w:sz w:val="24"/>
          <w:szCs w:val="24"/>
          <w:lang w:eastAsia="de-DE"/>
        </w:rPr>
        <w:t>Die methodisch-didaktische Reflexion physikalischer Bezugssysteme ist zentral für eine gelingende Vermittlung. Durch die Kombination aus vernetztem Lernen, Anschaulichkeit, Alltagsbezug und aktiven Lernmethoden kann ein Zugang geschaffen werden, der sowohl den theoretischen Anspruch als auch die kognitive Zugänglichkeit berücksichtigt. Ziel muss es sein, nicht nur Wissen zu vermitteln, sondern Verstehen zu ermöglichen.</w:t>
      </w:r>
    </w:p>
    <w:p w14:paraId="610C4432" w14:textId="77777777" w:rsidR="00A90F2E" w:rsidRPr="00A90F2E" w:rsidRDefault="00E3432A" w:rsidP="00A90F2E">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65D8E47B">
          <v:rect id="_x0000_i1029" style="width:0;height:1.5pt" o:hralign="center" o:hrstd="t" o:hr="t" fillcolor="#a0a0a0" stroked="f"/>
        </w:pict>
      </w:r>
    </w:p>
    <w:p w14:paraId="2EA122C6" w14:textId="77777777" w:rsidR="00A90F2E" w:rsidRPr="00A90F2E" w:rsidRDefault="00A90F2E" w:rsidP="00A90F2E">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A90F2E">
        <w:rPr>
          <w:rFonts w:ascii="Segoe UI Emoji" w:eastAsia="Times New Roman" w:hAnsi="Segoe UI Emoji" w:cs="Segoe UI Emoji"/>
          <w:b/>
          <w:bCs/>
          <w:sz w:val="27"/>
          <w:szCs w:val="27"/>
          <w:lang w:eastAsia="de-DE"/>
        </w:rPr>
        <w:t>📚</w:t>
      </w:r>
      <w:r w:rsidRPr="00A90F2E">
        <w:rPr>
          <w:rFonts w:ascii="Times New Roman" w:eastAsia="Times New Roman" w:hAnsi="Times New Roman" w:cs="Times New Roman"/>
          <w:b/>
          <w:bCs/>
          <w:sz w:val="27"/>
          <w:szCs w:val="27"/>
          <w:lang w:eastAsia="de-DE"/>
        </w:rPr>
        <w:t xml:space="preserve"> Quellen zu Abschnitt 2.3</w:t>
      </w:r>
    </w:p>
    <w:p w14:paraId="76BFD0B5" w14:textId="77777777" w:rsidR="00A90F2E" w:rsidRPr="00A90F2E" w:rsidRDefault="00A90F2E" w:rsidP="00A90F2E">
      <w:pPr>
        <w:spacing w:before="100" w:beforeAutospacing="1" w:after="100" w:afterAutospacing="1" w:line="240" w:lineRule="auto"/>
        <w:rPr>
          <w:rFonts w:ascii="Times New Roman" w:eastAsia="Times New Roman" w:hAnsi="Times New Roman" w:cs="Times New Roman"/>
          <w:sz w:val="24"/>
          <w:szCs w:val="24"/>
          <w:lang w:eastAsia="de-DE"/>
        </w:rPr>
      </w:pPr>
      <w:r w:rsidRPr="00A90F2E">
        <w:rPr>
          <w:rFonts w:ascii="Times New Roman" w:eastAsia="Times New Roman" w:hAnsi="Times New Roman" w:cs="Times New Roman"/>
          <w:sz w:val="24"/>
          <w:szCs w:val="24"/>
          <w:lang w:eastAsia="de-DE"/>
        </w:rPr>
        <w:t xml:space="preserve">[12] </w:t>
      </w:r>
      <w:proofErr w:type="spellStart"/>
      <w:r w:rsidRPr="00A90F2E">
        <w:rPr>
          <w:rFonts w:ascii="Times New Roman" w:eastAsia="Times New Roman" w:hAnsi="Times New Roman" w:cs="Times New Roman"/>
          <w:sz w:val="24"/>
          <w:szCs w:val="24"/>
          <w:lang w:eastAsia="de-DE"/>
        </w:rPr>
        <w:t>Duit</w:t>
      </w:r>
      <w:proofErr w:type="spellEnd"/>
      <w:r w:rsidRPr="00A90F2E">
        <w:rPr>
          <w:rFonts w:ascii="Times New Roman" w:eastAsia="Times New Roman" w:hAnsi="Times New Roman" w:cs="Times New Roman"/>
          <w:sz w:val="24"/>
          <w:szCs w:val="24"/>
          <w:lang w:eastAsia="de-DE"/>
        </w:rPr>
        <w:t xml:space="preserve">, R. (2004). </w:t>
      </w:r>
      <w:r w:rsidRPr="00A90F2E">
        <w:rPr>
          <w:rFonts w:ascii="Times New Roman" w:eastAsia="Times New Roman" w:hAnsi="Times New Roman" w:cs="Times New Roman"/>
          <w:i/>
          <w:iCs/>
          <w:sz w:val="24"/>
          <w:szCs w:val="24"/>
          <w:lang w:eastAsia="de-DE"/>
        </w:rPr>
        <w:t>Schülervorstellungen und Physikunterricht</w:t>
      </w:r>
      <w:r w:rsidRPr="00A90F2E">
        <w:rPr>
          <w:rFonts w:ascii="Times New Roman" w:eastAsia="Times New Roman" w:hAnsi="Times New Roman" w:cs="Times New Roman"/>
          <w:sz w:val="24"/>
          <w:szCs w:val="24"/>
          <w:lang w:eastAsia="de-DE"/>
        </w:rPr>
        <w:t xml:space="preserve">. In: Komorek et al. (Hrsg.), </w:t>
      </w:r>
      <w:r w:rsidRPr="00A90F2E">
        <w:rPr>
          <w:rFonts w:ascii="Times New Roman" w:eastAsia="Times New Roman" w:hAnsi="Times New Roman" w:cs="Times New Roman"/>
          <w:i/>
          <w:iCs/>
          <w:sz w:val="24"/>
          <w:szCs w:val="24"/>
          <w:lang w:eastAsia="de-DE"/>
        </w:rPr>
        <w:t>Naturwissenschaftlicher Unterricht</w:t>
      </w:r>
      <w:r w:rsidRPr="00A90F2E">
        <w:rPr>
          <w:rFonts w:ascii="Times New Roman" w:eastAsia="Times New Roman" w:hAnsi="Times New Roman" w:cs="Times New Roman"/>
          <w:sz w:val="24"/>
          <w:szCs w:val="24"/>
          <w:lang w:eastAsia="de-DE"/>
        </w:rPr>
        <w:t>.</w:t>
      </w:r>
      <w:r w:rsidRPr="00A90F2E">
        <w:rPr>
          <w:rFonts w:ascii="Times New Roman" w:eastAsia="Times New Roman" w:hAnsi="Times New Roman" w:cs="Times New Roman"/>
          <w:sz w:val="24"/>
          <w:szCs w:val="24"/>
          <w:lang w:eastAsia="de-DE"/>
        </w:rPr>
        <w:br/>
        <w:t xml:space="preserve">[13] Kuhn, T. S. (1962). </w:t>
      </w:r>
      <w:r w:rsidRPr="00A90F2E">
        <w:rPr>
          <w:rFonts w:ascii="Times New Roman" w:eastAsia="Times New Roman" w:hAnsi="Times New Roman" w:cs="Times New Roman"/>
          <w:i/>
          <w:iCs/>
          <w:sz w:val="24"/>
          <w:szCs w:val="24"/>
          <w:lang w:eastAsia="de-DE"/>
        </w:rPr>
        <w:t xml:space="preserve">The </w:t>
      </w:r>
      <w:proofErr w:type="spellStart"/>
      <w:r w:rsidRPr="00A90F2E">
        <w:rPr>
          <w:rFonts w:ascii="Times New Roman" w:eastAsia="Times New Roman" w:hAnsi="Times New Roman" w:cs="Times New Roman"/>
          <w:i/>
          <w:iCs/>
          <w:sz w:val="24"/>
          <w:szCs w:val="24"/>
          <w:lang w:eastAsia="de-DE"/>
        </w:rPr>
        <w:t>Structure</w:t>
      </w:r>
      <w:proofErr w:type="spellEnd"/>
      <w:r w:rsidRPr="00A90F2E">
        <w:rPr>
          <w:rFonts w:ascii="Times New Roman" w:eastAsia="Times New Roman" w:hAnsi="Times New Roman" w:cs="Times New Roman"/>
          <w:i/>
          <w:iCs/>
          <w:sz w:val="24"/>
          <w:szCs w:val="24"/>
          <w:lang w:eastAsia="de-DE"/>
        </w:rPr>
        <w:t xml:space="preserve"> </w:t>
      </w:r>
      <w:proofErr w:type="spellStart"/>
      <w:r w:rsidRPr="00A90F2E">
        <w:rPr>
          <w:rFonts w:ascii="Times New Roman" w:eastAsia="Times New Roman" w:hAnsi="Times New Roman" w:cs="Times New Roman"/>
          <w:i/>
          <w:iCs/>
          <w:sz w:val="24"/>
          <w:szCs w:val="24"/>
          <w:lang w:eastAsia="de-DE"/>
        </w:rPr>
        <w:t>of</w:t>
      </w:r>
      <w:proofErr w:type="spellEnd"/>
      <w:r w:rsidRPr="00A90F2E">
        <w:rPr>
          <w:rFonts w:ascii="Times New Roman" w:eastAsia="Times New Roman" w:hAnsi="Times New Roman" w:cs="Times New Roman"/>
          <w:i/>
          <w:iCs/>
          <w:sz w:val="24"/>
          <w:szCs w:val="24"/>
          <w:lang w:eastAsia="de-DE"/>
        </w:rPr>
        <w:t xml:space="preserve"> Scientific </w:t>
      </w:r>
      <w:proofErr w:type="spellStart"/>
      <w:r w:rsidRPr="00A90F2E">
        <w:rPr>
          <w:rFonts w:ascii="Times New Roman" w:eastAsia="Times New Roman" w:hAnsi="Times New Roman" w:cs="Times New Roman"/>
          <w:i/>
          <w:iCs/>
          <w:sz w:val="24"/>
          <w:szCs w:val="24"/>
          <w:lang w:eastAsia="de-DE"/>
        </w:rPr>
        <w:t>Revolutions</w:t>
      </w:r>
      <w:proofErr w:type="spellEnd"/>
      <w:r w:rsidRPr="00A90F2E">
        <w:rPr>
          <w:rFonts w:ascii="Times New Roman" w:eastAsia="Times New Roman" w:hAnsi="Times New Roman" w:cs="Times New Roman"/>
          <w:sz w:val="24"/>
          <w:szCs w:val="24"/>
          <w:lang w:eastAsia="de-DE"/>
        </w:rPr>
        <w:t xml:space="preserve">. University </w:t>
      </w:r>
      <w:proofErr w:type="spellStart"/>
      <w:r w:rsidRPr="00A90F2E">
        <w:rPr>
          <w:rFonts w:ascii="Times New Roman" w:eastAsia="Times New Roman" w:hAnsi="Times New Roman" w:cs="Times New Roman"/>
          <w:sz w:val="24"/>
          <w:szCs w:val="24"/>
          <w:lang w:eastAsia="de-DE"/>
        </w:rPr>
        <w:t>of</w:t>
      </w:r>
      <w:proofErr w:type="spellEnd"/>
      <w:r w:rsidRPr="00A90F2E">
        <w:rPr>
          <w:rFonts w:ascii="Times New Roman" w:eastAsia="Times New Roman" w:hAnsi="Times New Roman" w:cs="Times New Roman"/>
          <w:sz w:val="24"/>
          <w:szCs w:val="24"/>
          <w:lang w:eastAsia="de-DE"/>
        </w:rPr>
        <w:t xml:space="preserve"> Chicago Press.</w:t>
      </w:r>
      <w:r w:rsidRPr="00A90F2E">
        <w:rPr>
          <w:rFonts w:ascii="Times New Roman" w:eastAsia="Times New Roman" w:hAnsi="Times New Roman" w:cs="Times New Roman"/>
          <w:sz w:val="24"/>
          <w:szCs w:val="24"/>
          <w:lang w:eastAsia="de-DE"/>
        </w:rPr>
        <w:br/>
        <w:t xml:space="preserve">[14] </w:t>
      </w:r>
      <w:proofErr w:type="spellStart"/>
      <w:r w:rsidRPr="00A90F2E">
        <w:rPr>
          <w:rFonts w:ascii="Times New Roman" w:eastAsia="Times New Roman" w:hAnsi="Times New Roman" w:cs="Times New Roman"/>
          <w:sz w:val="24"/>
          <w:szCs w:val="24"/>
          <w:lang w:eastAsia="de-DE"/>
        </w:rPr>
        <w:t>Sweller</w:t>
      </w:r>
      <w:proofErr w:type="spellEnd"/>
      <w:r w:rsidRPr="00A90F2E">
        <w:rPr>
          <w:rFonts w:ascii="Times New Roman" w:eastAsia="Times New Roman" w:hAnsi="Times New Roman" w:cs="Times New Roman"/>
          <w:sz w:val="24"/>
          <w:szCs w:val="24"/>
          <w:lang w:eastAsia="de-DE"/>
        </w:rPr>
        <w:t xml:space="preserve">, J. (1988). </w:t>
      </w:r>
      <w:proofErr w:type="spellStart"/>
      <w:r w:rsidRPr="00A90F2E">
        <w:rPr>
          <w:rFonts w:ascii="Times New Roman" w:eastAsia="Times New Roman" w:hAnsi="Times New Roman" w:cs="Times New Roman"/>
          <w:i/>
          <w:iCs/>
          <w:sz w:val="24"/>
          <w:szCs w:val="24"/>
          <w:lang w:eastAsia="de-DE"/>
        </w:rPr>
        <w:t>Cognitive</w:t>
      </w:r>
      <w:proofErr w:type="spellEnd"/>
      <w:r w:rsidRPr="00A90F2E">
        <w:rPr>
          <w:rFonts w:ascii="Times New Roman" w:eastAsia="Times New Roman" w:hAnsi="Times New Roman" w:cs="Times New Roman"/>
          <w:i/>
          <w:iCs/>
          <w:sz w:val="24"/>
          <w:szCs w:val="24"/>
          <w:lang w:eastAsia="de-DE"/>
        </w:rPr>
        <w:t xml:space="preserve"> Load Theory</w:t>
      </w:r>
      <w:r w:rsidRPr="00A90F2E">
        <w:rPr>
          <w:rFonts w:ascii="Times New Roman" w:eastAsia="Times New Roman" w:hAnsi="Times New Roman" w:cs="Times New Roman"/>
          <w:sz w:val="24"/>
          <w:szCs w:val="24"/>
          <w:lang w:eastAsia="de-DE"/>
        </w:rPr>
        <w:t xml:space="preserve">. </w:t>
      </w:r>
      <w:proofErr w:type="spellStart"/>
      <w:r w:rsidRPr="00A90F2E">
        <w:rPr>
          <w:rFonts w:ascii="Times New Roman" w:eastAsia="Times New Roman" w:hAnsi="Times New Roman" w:cs="Times New Roman"/>
          <w:i/>
          <w:iCs/>
          <w:sz w:val="24"/>
          <w:szCs w:val="24"/>
          <w:lang w:eastAsia="de-DE"/>
        </w:rPr>
        <w:t>Cognitive</w:t>
      </w:r>
      <w:proofErr w:type="spellEnd"/>
      <w:r w:rsidRPr="00A90F2E">
        <w:rPr>
          <w:rFonts w:ascii="Times New Roman" w:eastAsia="Times New Roman" w:hAnsi="Times New Roman" w:cs="Times New Roman"/>
          <w:i/>
          <w:iCs/>
          <w:sz w:val="24"/>
          <w:szCs w:val="24"/>
          <w:lang w:eastAsia="de-DE"/>
        </w:rPr>
        <w:t xml:space="preserve"> Science</w:t>
      </w:r>
      <w:r w:rsidRPr="00A90F2E">
        <w:rPr>
          <w:rFonts w:ascii="Times New Roman" w:eastAsia="Times New Roman" w:hAnsi="Times New Roman" w:cs="Times New Roman"/>
          <w:sz w:val="24"/>
          <w:szCs w:val="24"/>
          <w:lang w:eastAsia="de-DE"/>
        </w:rPr>
        <w:t>, 12(2), 257–285.</w:t>
      </w:r>
      <w:r w:rsidRPr="00A90F2E">
        <w:rPr>
          <w:rFonts w:ascii="Times New Roman" w:eastAsia="Times New Roman" w:hAnsi="Times New Roman" w:cs="Times New Roman"/>
          <w:sz w:val="24"/>
          <w:szCs w:val="24"/>
          <w:lang w:eastAsia="de-DE"/>
        </w:rPr>
        <w:br/>
        <w:t xml:space="preserve">[15] Spitzer, M. (2012). </w:t>
      </w:r>
      <w:r w:rsidRPr="00A90F2E">
        <w:rPr>
          <w:rFonts w:ascii="Times New Roman" w:eastAsia="Times New Roman" w:hAnsi="Times New Roman" w:cs="Times New Roman"/>
          <w:i/>
          <w:iCs/>
          <w:sz w:val="24"/>
          <w:szCs w:val="24"/>
          <w:lang w:eastAsia="de-DE"/>
        </w:rPr>
        <w:t>Digitale Demenz: Wie wir uns und unsere Kinder um den Verstand bringen</w:t>
      </w:r>
      <w:r w:rsidRPr="00A90F2E">
        <w:rPr>
          <w:rFonts w:ascii="Times New Roman" w:eastAsia="Times New Roman" w:hAnsi="Times New Roman" w:cs="Times New Roman"/>
          <w:sz w:val="24"/>
          <w:szCs w:val="24"/>
          <w:lang w:eastAsia="de-DE"/>
        </w:rPr>
        <w:t>. Droemer.</w:t>
      </w:r>
      <w:r w:rsidRPr="00A90F2E">
        <w:rPr>
          <w:rFonts w:ascii="Times New Roman" w:eastAsia="Times New Roman" w:hAnsi="Times New Roman" w:cs="Times New Roman"/>
          <w:sz w:val="24"/>
          <w:szCs w:val="24"/>
          <w:lang w:eastAsia="de-DE"/>
        </w:rPr>
        <w:br/>
        <w:t xml:space="preserve">[16] Roth, G. (2013). </w:t>
      </w:r>
      <w:r w:rsidRPr="00A90F2E">
        <w:rPr>
          <w:rFonts w:ascii="Times New Roman" w:eastAsia="Times New Roman" w:hAnsi="Times New Roman" w:cs="Times New Roman"/>
          <w:i/>
          <w:iCs/>
          <w:sz w:val="24"/>
          <w:szCs w:val="24"/>
          <w:lang w:eastAsia="de-DE"/>
        </w:rPr>
        <w:t>Bildung braucht Persönlichkeit</w:t>
      </w:r>
      <w:r w:rsidRPr="00A90F2E">
        <w:rPr>
          <w:rFonts w:ascii="Times New Roman" w:eastAsia="Times New Roman" w:hAnsi="Times New Roman" w:cs="Times New Roman"/>
          <w:sz w:val="24"/>
          <w:szCs w:val="24"/>
          <w:lang w:eastAsia="de-DE"/>
        </w:rPr>
        <w:t>. Beltz.</w:t>
      </w:r>
      <w:r w:rsidRPr="00A90F2E">
        <w:rPr>
          <w:rFonts w:ascii="Times New Roman" w:eastAsia="Times New Roman" w:hAnsi="Times New Roman" w:cs="Times New Roman"/>
          <w:sz w:val="24"/>
          <w:szCs w:val="24"/>
          <w:lang w:eastAsia="de-DE"/>
        </w:rPr>
        <w:br/>
        <w:t xml:space="preserve">[20] </w:t>
      </w:r>
      <w:proofErr w:type="spellStart"/>
      <w:r w:rsidRPr="00A90F2E">
        <w:rPr>
          <w:rFonts w:ascii="Times New Roman" w:eastAsia="Times New Roman" w:hAnsi="Times New Roman" w:cs="Times New Roman"/>
          <w:sz w:val="24"/>
          <w:szCs w:val="24"/>
          <w:lang w:eastAsia="de-DE"/>
        </w:rPr>
        <w:t>Papert</w:t>
      </w:r>
      <w:proofErr w:type="spellEnd"/>
      <w:r w:rsidRPr="00A90F2E">
        <w:rPr>
          <w:rFonts w:ascii="Times New Roman" w:eastAsia="Times New Roman" w:hAnsi="Times New Roman" w:cs="Times New Roman"/>
          <w:sz w:val="24"/>
          <w:szCs w:val="24"/>
          <w:lang w:eastAsia="de-DE"/>
        </w:rPr>
        <w:t xml:space="preserve">, S. (1980). </w:t>
      </w:r>
      <w:r w:rsidRPr="00A90F2E">
        <w:rPr>
          <w:rFonts w:ascii="Times New Roman" w:eastAsia="Times New Roman" w:hAnsi="Times New Roman" w:cs="Times New Roman"/>
          <w:i/>
          <w:iCs/>
          <w:sz w:val="24"/>
          <w:szCs w:val="24"/>
          <w:lang w:eastAsia="de-DE"/>
        </w:rPr>
        <w:t xml:space="preserve">Mindstorms: Children, Computers, and Powerful </w:t>
      </w:r>
      <w:proofErr w:type="spellStart"/>
      <w:r w:rsidRPr="00A90F2E">
        <w:rPr>
          <w:rFonts w:ascii="Times New Roman" w:eastAsia="Times New Roman" w:hAnsi="Times New Roman" w:cs="Times New Roman"/>
          <w:i/>
          <w:iCs/>
          <w:sz w:val="24"/>
          <w:szCs w:val="24"/>
          <w:lang w:eastAsia="de-DE"/>
        </w:rPr>
        <w:t>Ideas</w:t>
      </w:r>
      <w:proofErr w:type="spellEnd"/>
      <w:r w:rsidRPr="00A90F2E">
        <w:rPr>
          <w:rFonts w:ascii="Times New Roman" w:eastAsia="Times New Roman" w:hAnsi="Times New Roman" w:cs="Times New Roman"/>
          <w:sz w:val="24"/>
          <w:szCs w:val="24"/>
          <w:lang w:eastAsia="de-DE"/>
        </w:rPr>
        <w:t>. Basic Books.</w:t>
      </w:r>
      <w:r w:rsidRPr="00A90F2E">
        <w:rPr>
          <w:rFonts w:ascii="Times New Roman" w:eastAsia="Times New Roman" w:hAnsi="Times New Roman" w:cs="Times New Roman"/>
          <w:sz w:val="24"/>
          <w:szCs w:val="24"/>
          <w:lang w:eastAsia="de-DE"/>
        </w:rPr>
        <w:br/>
      </w:r>
      <w:r w:rsidRPr="00A90F2E">
        <w:rPr>
          <w:rFonts w:ascii="Times New Roman" w:eastAsia="Times New Roman" w:hAnsi="Times New Roman" w:cs="Times New Roman"/>
          <w:sz w:val="24"/>
          <w:szCs w:val="24"/>
          <w:lang w:eastAsia="de-DE"/>
        </w:rPr>
        <w:lastRenderedPageBreak/>
        <w:t xml:space="preserve">[22] Hattie, J. (2009). </w:t>
      </w:r>
      <w:r w:rsidRPr="00A90F2E">
        <w:rPr>
          <w:rFonts w:ascii="Times New Roman" w:eastAsia="Times New Roman" w:hAnsi="Times New Roman" w:cs="Times New Roman"/>
          <w:i/>
          <w:iCs/>
          <w:sz w:val="24"/>
          <w:szCs w:val="24"/>
          <w:lang w:eastAsia="de-DE"/>
        </w:rPr>
        <w:t xml:space="preserve">Visible Learning: A Synthesis </w:t>
      </w:r>
      <w:proofErr w:type="spellStart"/>
      <w:r w:rsidRPr="00A90F2E">
        <w:rPr>
          <w:rFonts w:ascii="Times New Roman" w:eastAsia="Times New Roman" w:hAnsi="Times New Roman" w:cs="Times New Roman"/>
          <w:i/>
          <w:iCs/>
          <w:sz w:val="24"/>
          <w:szCs w:val="24"/>
          <w:lang w:eastAsia="de-DE"/>
        </w:rPr>
        <w:t>of</w:t>
      </w:r>
      <w:proofErr w:type="spellEnd"/>
      <w:r w:rsidRPr="00A90F2E">
        <w:rPr>
          <w:rFonts w:ascii="Times New Roman" w:eastAsia="Times New Roman" w:hAnsi="Times New Roman" w:cs="Times New Roman"/>
          <w:i/>
          <w:iCs/>
          <w:sz w:val="24"/>
          <w:szCs w:val="24"/>
          <w:lang w:eastAsia="de-DE"/>
        </w:rPr>
        <w:t xml:space="preserve"> Over 800 Meta-</w:t>
      </w:r>
      <w:proofErr w:type="spellStart"/>
      <w:r w:rsidRPr="00A90F2E">
        <w:rPr>
          <w:rFonts w:ascii="Times New Roman" w:eastAsia="Times New Roman" w:hAnsi="Times New Roman" w:cs="Times New Roman"/>
          <w:i/>
          <w:iCs/>
          <w:sz w:val="24"/>
          <w:szCs w:val="24"/>
          <w:lang w:eastAsia="de-DE"/>
        </w:rPr>
        <w:t>Analyses</w:t>
      </w:r>
      <w:proofErr w:type="spellEnd"/>
      <w:r w:rsidRPr="00A90F2E">
        <w:rPr>
          <w:rFonts w:ascii="Times New Roman" w:eastAsia="Times New Roman" w:hAnsi="Times New Roman" w:cs="Times New Roman"/>
          <w:i/>
          <w:iCs/>
          <w:sz w:val="24"/>
          <w:szCs w:val="24"/>
          <w:lang w:eastAsia="de-DE"/>
        </w:rPr>
        <w:t xml:space="preserve"> </w:t>
      </w:r>
      <w:proofErr w:type="spellStart"/>
      <w:r w:rsidRPr="00A90F2E">
        <w:rPr>
          <w:rFonts w:ascii="Times New Roman" w:eastAsia="Times New Roman" w:hAnsi="Times New Roman" w:cs="Times New Roman"/>
          <w:i/>
          <w:iCs/>
          <w:sz w:val="24"/>
          <w:szCs w:val="24"/>
          <w:lang w:eastAsia="de-DE"/>
        </w:rPr>
        <w:t>Relating</w:t>
      </w:r>
      <w:proofErr w:type="spellEnd"/>
      <w:r w:rsidRPr="00A90F2E">
        <w:rPr>
          <w:rFonts w:ascii="Times New Roman" w:eastAsia="Times New Roman" w:hAnsi="Times New Roman" w:cs="Times New Roman"/>
          <w:i/>
          <w:iCs/>
          <w:sz w:val="24"/>
          <w:szCs w:val="24"/>
          <w:lang w:eastAsia="de-DE"/>
        </w:rPr>
        <w:t xml:space="preserve"> </w:t>
      </w:r>
      <w:proofErr w:type="spellStart"/>
      <w:r w:rsidRPr="00A90F2E">
        <w:rPr>
          <w:rFonts w:ascii="Times New Roman" w:eastAsia="Times New Roman" w:hAnsi="Times New Roman" w:cs="Times New Roman"/>
          <w:i/>
          <w:iCs/>
          <w:sz w:val="24"/>
          <w:szCs w:val="24"/>
          <w:lang w:eastAsia="de-DE"/>
        </w:rPr>
        <w:t>to</w:t>
      </w:r>
      <w:proofErr w:type="spellEnd"/>
      <w:r w:rsidRPr="00A90F2E">
        <w:rPr>
          <w:rFonts w:ascii="Times New Roman" w:eastAsia="Times New Roman" w:hAnsi="Times New Roman" w:cs="Times New Roman"/>
          <w:i/>
          <w:iCs/>
          <w:sz w:val="24"/>
          <w:szCs w:val="24"/>
          <w:lang w:eastAsia="de-DE"/>
        </w:rPr>
        <w:t xml:space="preserve"> Achievement</w:t>
      </w:r>
      <w:r w:rsidRPr="00A90F2E">
        <w:rPr>
          <w:rFonts w:ascii="Times New Roman" w:eastAsia="Times New Roman" w:hAnsi="Times New Roman" w:cs="Times New Roman"/>
          <w:sz w:val="24"/>
          <w:szCs w:val="24"/>
          <w:lang w:eastAsia="de-DE"/>
        </w:rPr>
        <w:t>. Routledge.</w:t>
      </w:r>
    </w:p>
    <w:p w14:paraId="329BDE80" w14:textId="77777777" w:rsidR="00A90F2E" w:rsidRPr="00A90F2E" w:rsidRDefault="00A90F2E" w:rsidP="00A90F2E">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A90F2E">
        <w:rPr>
          <w:rFonts w:ascii="Times New Roman" w:eastAsia="Times New Roman" w:hAnsi="Times New Roman" w:cs="Times New Roman"/>
          <w:b/>
          <w:bCs/>
          <w:sz w:val="36"/>
          <w:szCs w:val="36"/>
          <w:lang w:eastAsia="de-DE"/>
        </w:rPr>
        <w:t>2.4 Ausblick: Funktional-relationales Bezugssystem</w:t>
      </w:r>
    </w:p>
    <w:p w14:paraId="20B3B4DC" w14:textId="77777777" w:rsidR="00A90F2E" w:rsidRPr="00A90F2E" w:rsidRDefault="00A90F2E" w:rsidP="00A90F2E">
      <w:pPr>
        <w:spacing w:before="100" w:beforeAutospacing="1" w:after="100" w:afterAutospacing="1" w:line="240" w:lineRule="auto"/>
        <w:rPr>
          <w:rFonts w:ascii="Times New Roman" w:eastAsia="Times New Roman" w:hAnsi="Times New Roman" w:cs="Times New Roman"/>
          <w:sz w:val="24"/>
          <w:szCs w:val="24"/>
          <w:lang w:eastAsia="de-DE"/>
        </w:rPr>
      </w:pPr>
      <w:r w:rsidRPr="00A90F2E">
        <w:rPr>
          <w:rFonts w:ascii="Times New Roman" w:eastAsia="Times New Roman" w:hAnsi="Times New Roman" w:cs="Times New Roman"/>
          <w:sz w:val="24"/>
          <w:szCs w:val="24"/>
          <w:lang w:eastAsia="de-DE"/>
        </w:rPr>
        <w:t>Die klassischen physikalischen Bezugssysteme – von Newtons absolutem Raum bis hin zu Einsteins relativistischer Raumzeit – haben sich als äußerst erfolgreich in der Beschreibung physikalischer Phänomene erwiesen. Doch insbesondere im Bildungskontext stoßen sie an didaktische Grenzen. Ihre Vermittlung verlangt ein hohes Maß an Abstraktionsfähigkeit und bleibt häufig auf die Vorstellung eines objektiven, beobachterunabhängigen Rahmens beschränkt [18]. Das funktional-relational gedachte Bezugssystem bietet hier einen alternativen Zugang, der Perspektivität und Kontextabhängigkeit explizit berücksichtigt.</w:t>
      </w:r>
    </w:p>
    <w:p w14:paraId="292E2607" w14:textId="77777777" w:rsidR="00A90F2E" w:rsidRPr="00A90F2E" w:rsidRDefault="00A90F2E" w:rsidP="00A90F2E">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A90F2E">
        <w:rPr>
          <w:rFonts w:ascii="Times New Roman" w:eastAsia="Times New Roman" w:hAnsi="Times New Roman" w:cs="Times New Roman"/>
          <w:b/>
          <w:bCs/>
          <w:sz w:val="27"/>
          <w:szCs w:val="27"/>
          <w:lang w:eastAsia="de-DE"/>
        </w:rPr>
        <w:t>2.4.1 Methodischer Anspruch</w:t>
      </w:r>
    </w:p>
    <w:p w14:paraId="6A75A6AB" w14:textId="77777777" w:rsidR="00A90F2E" w:rsidRPr="00A90F2E" w:rsidRDefault="00A90F2E" w:rsidP="00A90F2E">
      <w:pPr>
        <w:spacing w:before="100" w:beforeAutospacing="1" w:after="100" w:afterAutospacing="1" w:line="240" w:lineRule="auto"/>
        <w:rPr>
          <w:rFonts w:ascii="Times New Roman" w:eastAsia="Times New Roman" w:hAnsi="Times New Roman" w:cs="Times New Roman"/>
          <w:sz w:val="24"/>
          <w:szCs w:val="24"/>
          <w:lang w:eastAsia="de-DE"/>
        </w:rPr>
      </w:pPr>
      <w:r w:rsidRPr="00A90F2E">
        <w:rPr>
          <w:rFonts w:ascii="Times New Roman" w:eastAsia="Times New Roman" w:hAnsi="Times New Roman" w:cs="Times New Roman"/>
          <w:sz w:val="24"/>
          <w:szCs w:val="24"/>
          <w:lang w:eastAsia="de-DE"/>
        </w:rPr>
        <w:t xml:space="preserve">Das funktional-relationale Bezugssystem basiert auf dem Spiralprinzip von Bruner [17]. Lerninhalte werden in wiederholten Zyklen </w:t>
      </w:r>
      <w:proofErr w:type="gramStart"/>
      <w:r w:rsidRPr="00A90F2E">
        <w:rPr>
          <w:rFonts w:ascii="Times New Roman" w:eastAsia="Times New Roman" w:hAnsi="Times New Roman" w:cs="Times New Roman"/>
          <w:sz w:val="24"/>
          <w:szCs w:val="24"/>
          <w:lang w:eastAsia="de-DE"/>
        </w:rPr>
        <w:t>auf steigendem</w:t>
      </w:r>
      <w:proofErr w:type="gramEnd"/>
      <w:r w:rsidRPr="00A90F2E">
        <w:rPr>
          <w:rFonts w:ascii="Times New Roman" w:eastAsia="Times New Roman" w:hAnsi="Times New Roman" w:cs="Times New Roman"/>
          <w:sz w:val="24"/>
          <w:szCs w:val="24"/>
          <w:lang w:eastAsia="de-DE"/>
        </w:rPr>
        <w:t xml:space="preserve"> Abstraktionsniveau eingeführt: von zweidimensionalen Bewegungsmodellen bis hin zu dynamischen raumzeitlichen Strukturen. Dabei modellieren die Lernenden ihre eigenen Bezugssysteme aktiv.</w:t>
      </w:r>
    </w:p>
    <w:p w14:paraId="3E87DCF1" w14:textId="77777777" w:rsidR="00A90F2E" w:rsidRPr="00A90F2E" w:rsidRDefault="00A90F2E" w:rsidP="00A90F2E">
      <w:pPr>
        <w:spacing w:beforeAutospacing="1" w:after="100" w:afterAutospacing="1" w:line="240" w:lineRule="auto"/>
        <w:rPr>
          <w:rFonts w:ascii="Times New Roman" w:eastAsia="Times New Roman" w:hAnsi="Times New Roman" w:cs="Times New Roman"/>
          <w:sz w:val="24"/>
          <w:szCs w:val="24"/>
          <w:lang w:eastAsia="de-DE"/>
        </w:rPr>
      </w:pPr>
      <w:r w:rsidRPr="00A90F2E">
        <w:rPr>
          <w:rFonts w:ascii="Times New Roman" w:eastAsia="Times New Roman" w:hAnsi="Times New Roman" w:cs="Times New Roman"/>
          <w:sz w:val="24"/>
          <w:szCs w:val="24"/>
          <w:lang w:eastAsia="de-DE"/>
        </w:rPr>
        <w:t xml:space="preserve">„Curriculum </w:t>
      </w:r>
      <w:proofErr w:type="spellStart"/>
      <w:r w:rsidRPr="00A90F2E">
        <w:rPr>
          <w:rFonts w:ascii="Times New Roman" w:eastAsia="Times New Roman" w:hAnsi="Times New Roman" w:cs="Times New Roman"/>
          <w:sz w:val="24"/>
          <w:szCs w:val="24"/>
          <w:lang w:eastAsia="de-DE"/>
        </w:rPr>
        <w:t>should</w:t>
      </w:r>
      <w:proofErr w:type="spellEnd"/>
      <w:r w:rsidRPr="00A90F2E">
        <w:rPr>
          <w:rFonts w:ascii="Times New Roman" w:eastAsia="Times New Roman" w:hAnsi="Times New Roman" w:cs="Times New Roman"/>
          <w:sz w:val="24"/>
          <w:szCs w:val="24"/>
          <w:lang w:eastAsia="de-DE"/>
        </w:rPr>
        <w:t xml:space="preserve"> </w:t>
      </w:r>
      <w:proofErr w:type="spellStart"/>
      <w:r w:rsidRPr="00A90F2E">
        <w:rPr>
          <w:rFonts w:ascii="Times New Roman" w:eastAsia="Times New Roman" w:hAnsi="Times New Roman" w:cs="Times New Roman"/>
          <w:sz w:val="24"/>
          <w:szCs w:val="24"/>
          <w:lang w:eastAsia="de-DE"/>
        </w:rPr>
        <w:t>revisit</w:t>
      </w:r>
      <w:proofErr w:type="spellEnd"/>
      <w:r w:rsidRPr="00A90F2E">
        <w:rPr>
          <w:rFonts w:ascii="Times New Roman" w:eastAsia="Times New Roman" w:hAnsi="Times New Roman" w:cs="Times New Roman"/>
          <w:sz w:val="24"/>
          <w:szCs w:val="24"/>
          <w:lang w:eastAsia="de-DE"/>
        </w:rPr>
        <w:t xml:space="preserve"> </w:t>
      </w:r>
      <w:proofErr w:type="spellStart"/>
      <w:r w:rsidRPr="00A90F2E">
        <w:rPr>
          <w:rFonts w:ascii="Times New Roman" w:eastAsia="Times New Roman" w:hAnsi="Times New Roman" w:cs="Times New Roman"/>
          <w:sz w:val="24"/>
          <w:szCs w:val="24"/>
          <w:lang w:eastAsia="de-DE"/>
        </w:rPr>
        <w:t>basic</w:t>
      </w:r>
      <w:proofErr w:type="spellEnd"/>
      <w:r w:rsidRPr="00A90F2E">
        <w:rPr>
          <w:rFonts w:ascii="Times New Roman" w:eastAsia="Times New Roman" w:hAnsi="Times New Roman" w:cs="Times New Roman"/>
          <w:sz w:val="24"/>
          <w:szCs w:val="24"/>
          <w:lang w:eastAsia="de-DE"/>
        </w:rPr>
        <w:t xml:space="preserve"> </w:t>
      </w:r>
      <w:proofErr w:type="spellStart"/>
      <w:r w:rsidRPr="00A90F2E">
        <w:rPr>
          <w:rFonts w:ascii="Times New Roman" w:eastAsia="Times New Roman" w:hAnsi="Times New Roman" w:cs="Times New Roman"/>
          <w:sz w:val="24"/>
          <w:szCs w:val="24"/>
          <w:lang w:eastAsia="de-DE"/>
        </w:rPr>
        <w:t>ideas</w:t>
      </w:r>
      <w:proofErr w:type="spellEnd"/>
      <w:r w:rsidRPr="00A90F2E">
        <w:rPr>
          <w:rFonts w:ascii="Times New Roman" w:eastAsia="Times New Roman" w:hAnsi="Times New Roman" w:cs="Times New Roman"/>
          <w:sz w:val="24"/>
          <w:szCs w:val="24"/>
          <w:lang w:eastAsia="de-DE"/>
        </w:rPr>
        <w:t xml:space="preserve"> </w:t>
      </w:r>
      <w:proofErr w:type="spellStart"/>
      <w:r w:rsidRPr="00A90F2E">
        <w:rPr>
          <w:rFonts w:ascii="Times New Roman" w:eastAsia="Times New Roman" w:hAnsi="Times New Roman" w:cs="Times New Roman"/>
          <w:sz w:val="24"/>
          <w:szCs w:val="24"/>
          <w:lang w:eastAsia="de-DE"/>
        </w:rPr>
        <w:t>repeatedly</w:t>
      </w:r>
      <w:proofErr w:type="spellEnd"/>
      <w:r w:rsidRPr="00A90F2E">
        <w:rPr>
          <w:rFonts w:ascii="Times New Roman" w:eastAsia="Times New Roman" w:hAnsi="Times New Roman" w:cs="Times New Roman"/>
          <w:sz w:val="24"/>
          <w:szCs w:val="24"/>
          <w:lang w:eastAsia="de-DE"/>
        </w:rPr>
        <w:t xml:space="preserve">, </w:t>
      </w:r>
      <w:proofErr w:type="spellStart"/>
      <w:r w:rsidRPr="00A90F2E">
        <w:rPr>
          <w:rFonts w:ascii="Times New Roman" w:eastAsia="Times New Roman" w:hAnsi="Times New Roman" w:cs="Times New Roman"/>
          <w:sz w:val="24"/>
          <w:szCs w:val="24"/>
          <w:lang w:eastAsia="de-DE"/>
        </w:rPr>
        <w:t>building</w:t>
      </w:r>
      <w:proofErr w:type="spellEnd"/>
      <w:r w:rsidRPr="00A90F2E">
        <w:rPr>
          <w:rFonts w:ascii="Times New Roman" w:eastAsia="Times New Roman" w:hAnsi="Times New Roman" w:cs="Times New Roman"/>
          <w:sz w:val="24"/>
          <w:szCs w:val="24"/>
          <w:lang w:eastAsia="de-DE"/>
        </w:rPr>
        <w:t xml:space="preserve"> upon </w:t>
      </w:r>
      <w:proofErr w:type="spellStart"/>
      <w:r w:rsidRPr="00A90F2E">
        <w:rPr>
          <w:rFonts w:ascii="Times New Roman" w:eastAsia="Times New Roman" w:hAnsi="Times New Roman" w:cs="Times New Roman"/>
          <w:sz w:val="24"/>
          <w:szCs w:val="24"/>
          <w:lang w:eastAsia="de-DE"/>
        </w:rPr>
        <w:t>them</w:t>
      </w:r>
      <w:proofErr w:type="spellEnd"/>
      <w:r w:rsidRPr="00A90F2E">
        <w:rPr>
          <w:rFonts w:ascii="Times New Roman" w:eastAsia="Times New Roman" w:hAnsi="Times New Roman" w:cs="Times New Roman"/>
          <w:sz w:val="24"/>
          <w:szCs w:val="24"/>
          <w:lang w:eastAsia="de-DE"/>
        </w:rPr>
        <w:t xml:space="preserve"> </w:t>
      </w:r>
      <w:proofErr w:type="spellStart"/>
      <w:r w:rsidRPr="00A90F2E">
        <w:rPr>
          <w:rFonts w:ascii="Times New Roman" w:eastAsia="Times New Roman" w:hAnsi="Times New Roman" w:cs="Times New Roman"/>
          <w:sz w:val="24"/>
          <w:szCs w:val="24"/>
          <w:lang w:eastAsia="de-DE"/>
        </w:rPr>
        <w:t>until</w:t>
      </w:r>
      <w:proofErr w:type="spellEnd"/>
      <w:r w:rsidRPr="00A90F2E">
        <w:rPr>
          <w:rFonts w:ascii="Times New Roman" w:eastAsia="Times New Roman" w:hAnsi="Times New Roman" w:cs="Times New Roman"/>
          <w:sz w:val="24"/>
          <w:szCs w:val="24"/>
          <w:lang w:eastAsia="de-DE"/>
        </w:rPr>
        <w:t xml:space="preserve"> </w:t>
      </w:r>
      <w:proofErr w:type="spellStart"/>
      <w:r w:rsidRPr="00A90F2E">
        <w:rPr>
          <w:rFonts w:ascii="Times New Roman" w:eastAsia="Times New Roman" w:hAnsi="Times New Roman" w:cs="Times New Roman"/>
          <w:sz w:val="24"/>
          <w:szCs w:val="24"/>
          <w:lang w:eastAsia="de-DE"/>
        </w:rPr>
        <w:t>the</w:t>
      </w:r>
      <w:proofErr w:type="spellEnd"/>
      <w:r w:rsidRPr="00A90F2E">
        <w:rPr>
          <w:rFonts w:ascii="Times New Roman" w:eastAsia="Times New Roman" w:hAnsi="Times New Roman" w:cs="Times New Roman"/>
          <w:sz w:val="24"/>
          <w:szCs w:val="24"/>
          <w:lang w:eastAsia="de-DE"/>
        </w:rPr>
        <w:t xml:space="preserve"> </w:t>
      </w:r>
      <w:proofErr w:type="spellStart"/>
      <w:r w:rsidRPr="00A90F2E">
        <w:rPr>
          <w:rFonts w:ascii="Times New Roman" w:eastAsia="Times New Roman" w:hAnsi="Times New Roman" w:cs="Times New Roman"/>
          <w:sz w:val="24"/>
          <w:szCs w:val="24"/>
          <w:lang w:eastAsia="de-DE"/>
        </w:rPr>
        <w:t>student</w:t>
      </w:r>
      <w:proofErr w:type="spellEnd"/>
      <w:r w:rsidRPr="00A90F2E">
        <w:rPr>
          <w:rFonts w:ascii="Times New Roman" w:eastAsia="Times New Roman" w:hAnsi="Times New Roman" w:cs="Times New Roman"/>
          <w:sz w:val="24"/>
          <w:szCs w:val="24"/>
          <w:lang w:eastAsia="de-DE"/>
        </w:rPr>
        <w:t xml:space="preserve"> </w:t>
      </w:r>
      <w:proofErr w:type="spellStart"/>
      <w:r w:rsidRPr="00A90F2E">
        <w:rPr>
          <w:rFonts w:ascii="Times New Roman" w:eastAsia="Times New Roman" w:hAnsi="Times New Roman" w:cs="Times New Roman"/>
          <w:sz w:val="24"/>
          <w:szCs w:val="24"/>
          <w:lang w:eastAsia="de-DE"/>
        </w:rPr>
        <w:t>has</w:t>
      </w:r>
      <w:proofErr w:type="spellEnd"/>
      <w:r w:rsidRPr="00A90F2E">
        <w:rPr>
          <w:rFonts w:ascii="Times New Roman" w:eastAsia="Times New Roman" w:hAnsi="Times New Roman" w:cs="Times New Roman"/>
          <w:sz w:val="24"/>
          <w:szCs w:val="24"/>
          <w:lang w:eastAsia="de-DE"/>
        </w:rPr>
        <w:t xml:space="preserve"> </w:t>
      </w:r>
      <w:proofErr w:type="spellStart"/>
      <w:r w:rsidRPr="00A90F2E">
        <w:rPr>
          <w:rFonts w:ascii="Times New Roman" w:eastAsia="Times New Roman" w:hAnsi="Times New Roman" w:cs="Times New Roman"/>
          <w:sz w:val="24"/>
          <w:szCs w:val="24"/>
          <w:lang w:eastAsia="de-DE"/>
        </w:rPr>
        <w:t>grasped</w:t>
      </w:r>
      <w:proofErr w:type="spellEnd"/>
      <w:r w:rsidRPr="00A90F2E">
        <w:rPr>
          <w:rFonts w:ascii="Times New Roman" w:eastAsia="Times New Roman" w:hAnsi="Times New Roman" w:cs="Times New Roman"/>
          <w:sz w:val="24"/>
          <w:szCs w:val="24"/>
          <w:lang w:eastAsia="de-DE"/>
        </w:rPr>
        <w:t xml:space="preserve"> </w:t>
      </w:r>
      <w:proofErr w:type="spellStart"/>
      <w:r w:rsidRPr="00A90F2E">
        <w:rPr>
          <w:rFonts w:ascii="Times New Roman" w:eastAsia="Times New Roman" w:hAnsi="Times New Roman" w:cs="Times New Roman"/>
          <w:sz w:val="24"/>
          <w:szCs w:val="24"/>
          <w:lang w:eastAsia="de-DE"/>
        </w:rPr>
        <w:t>the</w:t>
      </w:r>
      <w:proofErr w:type="spellEnd"/>
      <w:r w:rsidRPr="00A90F2E">
        <w:rPr>
          <w:rFonts w:ascii="Times New Roman" w:eastAsia="Times New Roman" w:hAnsi="Times New Roman" w:cs="Times New Roman"/>
          <w:sz w:val="24"/>
          <w:szCs w:val="24"/>
          <w:lang w:eastAsia="de-DE"/>
        </w:rPr>
        <w:t xml:space="preserve"> </w:t>
      </w:r>
      <w:proofErr w:type="spellStart"/>
      <w:r w:rsidRPr="00A90F2E">
        <w:rPr>
          <w:rFonts w:ascii="Times New Roman" w:eastAsia="Times New Roman" w:hAnsi="Times New Roman" w:cs="Times New Roman"/>
          <w:sz w:val="24"/>
          <w:szCs w:val="24"/>
          <w:lang w:eastAsia="de-DE"/>
        </w:rPr>
        <w:t>full</w:t>
      </w:r>
      <w:proofErr w:type="spellEnd"/>
      <w:r w:rsidRPr="00A90F2E">
        <w:rPr>
          <w:rFonts w:ascii="Times New Roman" w:eastAsia="Times New Roman" w:hAnsi="Times New Roman" w:cs="Times New Roman"/>
          <w:sz w:val="24"/>
          <w:szCs w:val="24"/>
          <w:lang w:eastAsia="de-DE"/>
        </w:rPr>
        <w:t xml:space="preserve"> formal </w:t>
      </w:r>
      <w:proofErr w:type="spellStart"/>
      <w:r w:rsidRPr="00A90F2E">
        <w:rPr>
          <w:rFonts w:ascii="Times New Roman" w:eastAsia="Times New Roman" w:hAnsi="Times New Roman" w:cs="Times New Roman"/>
          <w:sz w:val="24"/>
          <w:szCs w:val="24"/>
          <w:lang w:eastAsia="de-DE"/>
        </w:rPr>
        <w:t>structure</w:t>
      </w:r>
      <w:proofErr w:type="spellEnd"/>
      <w:r w:rsidRPr="00A90F2E">
        <w:rPr>
          <w:rFonts w:ascii="Times New Roman" w:eastAsia="Times New Roman" w:hAnsi="Times New Roman" w:cs="Times New Roman"/>
          <w:sz w:val="24"/>
          <w:szCs w:val="24"/>
          <w:lang w:eastAsia="de-DE"/>
        </w:rPr>
        <w:t>.“ (Bruner, 1960, S. 13) [17]</w:t>
      </w:r>
    </w:p>
    <w:p w14:paraId="7D33D5D3" w14:textId="77777777" w:rsidR="00A90F2E" w:rsidRPr="00A90F2E" w:rsidRDefault="00A90F2E" w:rsidP="00A90F2E">
      <w:pPr>
        <w:spacing w:before="100" w:beforeAutospacing="1" w:after="100" w:afterAutospacing="1" w:line="240" w:lineRule="auto"/>
        <w:rPr>
          <w:rFonts w:ascii="Times New Roman" w:eastAsia="Times New Roman" w:hAnsi="Times New Roman" w:cs="Times New Roman"/>
          <w:sz w:val="24"/>
          <w:szCs w:val="24"/>
          <w:lang w:eastAsia="de-DE"/>
        </w:rPr>
      </w:pPr>
      <w:r w:rsidRPr="00A90F2E">
        <w:rPr>
          <w:rFonts w:ascii="Times New Roman" w:eastAsia="Times New Roman" w:hAnsi="Times New Roman" w:cs="Times New Roman"/>
          <w:sz w:val="24"/>
          <w:szCs w:val="24"/>
          <w:lang w:eastAsia="de-DE"/>
        </w:rPr>
        <w:t>Diese Vorgehensweise entspricht konstruktivistischen Lehrmodellen, bei denen Wissen nicht passiv aufgenommen, sondern aktiv durch Handeln konstruiert wird [19].</w:t>
      </w:r>
    </w:p>
    <w:p w14:paraId="489EFC68" w14:textId="77777777" w:rsidR="00A90F2E" w:rsidRPr="00A90F2E" w:rsidRDefault="00A90F2E" w:rsidP="00A90F2E">
      <w:pPr>
        <w:spacing w:beforeAutospacing="1" w:after="100" w:afterAutospacing="1" w:line="240" w:lineRule="auto"/>
        <w:rPr>
          <w:rFonts w:ascii="Times New Roman" w:eastAsia="Times New Roman" w:hAnsi="Times New Roman" w:cs="Times New Roman"/>
          <w:sz w:val="24"/>
          <w:szCs w:val="24"/>
          <w:lang w:eastAsia="de-DE"/>
        </w:rPr>
      </w:pPr>
      <w:r w:rsidRPr="00A90F2E">
        <w:rPr>
          <w:rFonts w:ascii="Times New Roman" w:eastAsia="Times New Roman" w:hAnsi="Times New Roman" w:cs="Times New Roman"/>
          <w:sz w:val="24"/>
          <w:szCs w:val="24"/>
          <w:lang w:eastAsia="de-DE"/>
        </w:rPr>
        <w:t>„Wissen wird im Handeln erworben – nicht durch Übertragung, sondern durch Konstruktion.“ (Seel, 2012, S. 112) [19]</w:t>
      </w:r>
    </w:p>
    <w:p w14:paraId="16460C42" w14:textId="77777777" w:rsidR="00A90F2E" w:rsidRPr="00A90F2E" w:rsidRDefault="00A90F2E" w:rsidP="00A90F2E">
      <w:pPr>
        <w:spacing w:before="100" w:beforeAutospacing="1" w:after="100" w:afterAutospacing="1" w:line="240" w:lineRule="auto"/>
        <w:rPr>
          <w:rFonts w:ascii="Times New Roman" w:eastAsia="Times New Roman" w:hAnsi="Times New Roman" w:cs="Times New Roman"/>
          <w:sz w:val="24"/>
          <w:szCs w:val="24"/>
          <w:lang w:eastAsia="de-DE"/>
        </w:rPr>
      </w:pPr>
      <w:r w:rsidRPr="00A90F2E">
        <w:rPr>
          <w:rFonts w:ascii="Times New Roman" w:eastAsia="Times New Roman" w:hAnsi="Times New Roman" w:cs="Times New Roman"/>
          <w:sz w:val="24"/>
          <w:szCs w:val="24"/>
          <w:lang w:eastAsia="de-DE"/>
        </w:rPr>
        <w:t>Der Fokus liegt somit auf der epistemischen Aktivität der Lernenden, die physikalische Bedeutungszusammenhänge selbst konstruieren und überprüfen.</w:t>
      </w:r>
    </w:p>
    <w:p w14:paraId="1850F7BA" w14:textId="77777777" w:rsidR="00A90F2E" w:rsidRPr="00A90F2E" w:rsidRDefault="00A90F2E" w:rsidP="00A90F2E">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A90F2E">
        <w:rPr>
          <w:rFonts w:ascii="Times New Roman" w:eastAsia="Times New Roman" w:hAnsi="Times New Roman" w:cs="Times New Roman"/>
          <w:b/>
          <w:bCs/>
          <w:sz w:val="27"/>
          <w:szCs w:val="27"/>
          <w:lang w:eastAsia="de-DE"/>
        </w:rPr>
        <w:t>2.4.2 Didaktische Herausforderungen</w:t>
      </w:r>
    </w:p>
    <w:p w14:paraId="753C5370" w14:textId="77777777" w:rsidR="00A90F2E" w:rsidRPr="00A90F2E" w:rsidRDefault="00A90F2E" w:rsidP="00A90F2E">
      <w:pPr>
        <w:spacing w:before="100" w:beforeAutospacing="1" w:after="100" w:afterAutospacing="1" w:line="240" w:lineRule="auto"/>
        <w:rPr>
          <w:rFonts w:ascii="Times New Roman" w:eastAsia="Times New Roman" w:hAnsi="Times New Roman" w:cs="Times New Roman"/>
          <w:sz w:val="24"/>
          <w:szCs w:val="24"/>
          <w:lang w:eastAsia="de-DE"/>
        </w:rPr>
      </w:pPr>
      <w:r w:rsidRPr="00A90F2E">
        <w:rPr>
          <w:rFonts w:ascii="Times New Roman" w:eastAsia="Times New Roman" w:hAnsi="Times New Roman" w:cs="Times New Roman"/>
          <w:sz w:val="24"/>
          <w:szCs w:val="24"/>
          <w:lang w:eastAsia="de-DE"/>
        </w:rPr>
        <w:t xml:space="preserve">Die Vorstellung einer vierdimensionalen, dynamischen Raumzeitstruktur ist kognitiv außerordentlich anspruchsvoll. Ohne gezielte didaktische Hilfsmittel bleibt sie oft abstrakt und vom Erfahrungsraum der Lernenden entkoppelt. Um dieser Herausforderung zu begegnen, sind vorbereitende Visualisierungen, digitale Simulationen und reflexive Lernphasen erforderlich. </w:t>
      </w:r>
      <w:proofErr w:type="spellStart"/>
      <w:r w:rsidRPr="00A90F2E">
        <w:rPr>
          <w:rFonts w:ascii="Times New Roman" w:eastAsia="Times New Roman" w:hAnsi="Times New Roman" w:cs="Times New Roman"/>
          <w:sz w:val="24"/>
          <w:szCs w:val="24"/>
          <w:lang w:eastAsia="de-DE"/>
        </w:rPr>
        <w:t>Papert</w:t>
      </w:r>
      <w:proofErr w:type="spellEnd"/>
      <w:r w:rsidRPr="00A90F2E">
        <w:rPr>
          <w:rFonts w:ascii="Times New Roman" w:eastAsia="Times New Roman" w:hAnsi="Times New Roman" w:cs="Times New Roman"/>
          <w:sz w:val="24"/>
          <w:szCs w:val="24"/>
          <w:lang w:eastAsia="de-DE"/>
        </w:rPr>
        <w:t xml:space="preserve"> plädiert für den Einsatz digitaler „mentaler Mikrowelten“, in denen Lernende Konzepte explorieren können:</w:t>
      </w:r>
    </w:p>
    <w:p w14:paraId="2659EAB9" w14:textId="77777777" w:rsidR="00A90F2E" w:rsidRPr="00A90F2E" w:rsidRDefault="00A90F2E" w:rsidP="00A90F2E">
      <w:pPr>
        <w:spacing w:beforeAutospacing="1" w:after="100" w:afterAutospacing="1" w:line="240" w:lineRule="auto"/>
        <w:rPr>
          <w:rFonts w:ascii="Times New Roman" w:eastAsia="Times New Roman" w:hAnsi="Times New Roman" w:cs="Times New Roman"/>
          <w:sz w:val="24"/>
          <w:szCs w:val="24"/>
          <w:lang w:eastAsia="de-DE"/>
        </w:rPr>
      </w:pPr>
      <w:r w:rsidRPr="00A90F2E">
        <w:rPr>
          <w:rFonts w:ascii="Times New Roman" w:eastAsia="Times New Roman" w:hAnsi="Times New Roman" w:cs="Times New Roman"/>
          <w:sz w:val="24"/>
          <w:szCs w:val="24"/>
          <w:lang w:eastAsia="de-DE"/>
        </w:rPr>
        <w:t xml:space="preserve">„The </w:t>
      </w:r>
      <w:proofErr w:type="spellStart"/>
      <w:r w:rsidRPr="00A90F2E">
        <w:rPr>
          <w:rFonts w:ascii="Times New Roman" w:eastAsia="Times New Roman" w:hAnsi="Times New Roman" w:cs="Times New Roman"/>
          <w:sz w:val="24"/>
          <w:szCs w:val="24"/>
          <w:lang w:eastAsia="de-DE"/>
        </w:rPr>
        <w:t>computer</w:t>
      </w:r>
      <w:proofErr w:type="spellEnd"/>
      <w:r w:rsidRPr="00A90F2E">
        <w:rPr>
          <w:rFonts w:ascii="Times New Roman" w:eastAsia="Times New Roman" w:hAnsi="Times New Roman" w:cs="Times New Roman"/>
          <w:sz w:val="24"/>
          <w:szCs w:val="24"/>
          <w:lang w:eastAsia="de-DE"/>
        </w:rPr>
        <w:t xml:space="preserve"> </w:t>
      </w:r>
      <w:proofErr w:type="spellStart"/>
      <w:r w:rsidRPr="00A90F2E">
        <w:rPr>
          <w:rFonts w:ascii="Times New Roman" w:eastAsia="Times New Roman" w:hAnsi="Times New Roman" w:cs="Times New Roman"/>
          <w:sz w:val="24"/>
          <w:szCs w:val="24"/>
          <w:lang w:eastAsia="de-DE"/>
        </w:rPr>
        <w:t>can</w:t>
      </w:r>
      <w:proofErr w:type="spellEnd"/>
      <w:r w:rsidRPr="00A90F2E">
        <w:rPr>
          <w:rFonts w:ascii="Times New Roman" w:eastAsia="Times New Roman" w:hAnsi="Times New Roman" w:cs="Times New Roman"/>
          <w:sz w:val="24"/>
          <w:szCs w:val="24"/>
          <w:lang w:eastAsia="de-DE"/>
        </w:rPr>
        <w:t xml:space="preserve"> </w:t>
      </w:r>
      <w:proofErr w:type="spellStart"/>
      <w:r w:rsidRPr="00A90F2E">
        <w:rPr>
          <w:rFonts w:ascii="Times New Roman" w:eastAsia="Times New Roman" w:hAnsi="Times New Roman" w:cs="Times New Roman"/>
          <w:sz w:val="24"/>
          <w:szCs w:val="24"/>
          <w:lang w:eastAsia="de-DE"/>
        </w:rPr>
        <w:t>serve</w:t>
      </w:r>
      <w:proofErr w:type="spellEnd"/>
      <w:r w:rsidRPr="00A90F2E">
        <w:rPr>
          <w:rFonts w:ascii="Times New Roman" w:eastAsia="Times New Roman" w:hAnsi="Times New Roman" w:cs="Times New Roman"/>
          <w:sz w:val="24"/>
          <w:szCs w:val="24"/>
          <w:lang w:eastAsia="de-DE"/>
        </w:rPr>
        <w:t xml:space="preserve"> </w:t>
      </w:r>
      <w:proofErr w:type="spellStart"/>
      <w:r w:rsidRPr="00A90F2E">
        <w:rPr>
          <w:rFonts w:ascii="Times New Roman" w:eastAsia="Times New Roman" w:hAnsi="Times New Roman" w:cs="Times New Roman"/>
          <w:sz w:val="24"/>
          <w:szCs w:val="24"/>
          <w:lang w:eastAsia="de-DE"/>
        </w:rPr>
        <w:t>as</w:t>
      </w:r>
      <w:proofErr w:type="spellEnd"/>
      <w:r w:rsidRPr="00A90F2E">
        <w:rPr>
          <w:rFonts w:ascii="Times New Roman" w:eastAsia="Times New Roman" w:hAnsi="Times New Roman" w:cs="Times New Roman"/>
          <w:sz w:val="24"/>
          <w:szCs w:val="24"/>
          <w:lang w:eastAsia="de-DE"/>
        </w:rPr>
        <w:t xml:space="preserve"> a medium </w:t>
      </w:r>
      <w:proofErr w:type="spellStart"/>
      <w:r w:rsidRPr="00A90F2E">
        <w:rPr>
          <w:rFonts w:ascii="Times New Roman" w:eastAsia="Times New Roman" w:hAnsi="Times New Roman" w:cs="Times New Roman"/>
          <w:sz w:val="24"/>
          <w:szCs w:val="24"/>
          <w:lang w:eastAsia="de-DE"/>
        </w:rPr>
        <w:t>to</w:t>
      </w:r>
      <w:proofErr w:type="spellEnd"/>
      <w:r w:rsidRPr="00A90F2E">
        <w:rPr>
          <w:rFonts w:ascii="Times New Roman" w:eastAsia="Times New Roman" w:hAnsi="Times New Roman" w:cs="Times New Roman"/>
          <w:sz w:val="24"/>
          <w:szCs w:val="24"/>
          <w:lang w:eastAsia="de-DE"/>
        </w:rPr>
        <w:t xml:space="preserve"> </w:t>
      </w:r>
      <w:proofErr w:type="spellStart"/>
      <w:r w:rsidRPr="00A90F2E">
        <w:rPr>
          <w:rFonts w:ascii="Times New Roman" w:eastAsia="Times New Roman" w:hAnsi="Times New Roman" w:cs="Times New Roman"/>
          <w:sz w:val="24"/>
          <w:szCs w:val="24"/>
          <w:lang w:eastAsia="de-DE"/>
        </w:rPr>
        <w:t>construct</w:t>
      </w:r>
      <w:proofErr w:type="spellEnd"/>
      <w:r w:rsidRPr="00A90F2E">
        <w:rPr>
          <w:rFonts w:ascii="Times New Roman" w:eastAsia="Times New Roman" w:hAnsi="Times New Roman" w:cs="Times New Roman"/>
          <w:sz w:val="24"/>
          <w:szCs w:val="24"/>
          <w:lang w:eastAsia="de-DE"/>
        </w:rPr>
        <w:t xml:space="preserve"> </w:t>
      </w:r>
      <w:proofErr w:type="spellStart"/>
      <w:r w:rsidRPr="00A90F2E">
        <w:rPr>
          <w:rFonts w:ascii="Times New Roman" w:eastAsia="Times New Roman" w:hAnsi="Times New Roman" w:cs="Times New Roman"/>
          <w:sz w:val="24"/>
          <w:szCs w:val="24"/>
          <w:lang w:eastAsia="de-DE"/>
        </w:rPr>
        <w:t>models</w:t>
      </w:r>
      <w:proofErr w:type="spellEnd"/>
      <w:r w:rsidRPr="00A90F2E">
        <w:rPr>
          <w:rFonts w:ascii="Times New Roman" w:eastAsia="Times New Roman" w:hAnsi="Times New Roman" w:cs="Times New Roman"/>
          <w:sz w:val="24"/>
          <w:szCs w:val="24"/>
          <w:lang w:eastAsia="de-DE"/>
        </w:rPr>
        <w:t xml:space="preserve"> </w:t>
      </w:r>
      <w:proofErr w:type="spellStart"/>
      <w:r w:rsidRPr="00A90F2E">
        <w:rPr>
          <w:rFonts w:ascii="Times New Roman" w:eastAsia="Times New Roman" w:hAnsi="Times New Roman" w:cs="Times New Roman"/>
          <w:sz w:val="24"/>
          <w:szCs w:val="24"/>
          <w:lang w:eastAsia="de-DE"/>
        </w:rPr>
        <w:t>that</w:t>
      </w:r>
      <w:proofErr w:type="spellEnd"/>
      <w:r w:rsidRPr="00A90F2E">
        <w:rPr>
          <w:rFonts w:ascii="Times New Roman" w:eastAsia="Times New Roman" w:hAnsi="Times New Roman" w:cs="Times New Roman"/>
          <w:sz w:val="24"/>
          <w:szCs w:val="24"/>
          <w:lang w:eastAsia="de-DE"/>
        </w:rPr>
        <w:t xml:space="preserve"> </w:t>
      </w:r>
      <w:proofErr w:type="spellStart"/>
      <w:r w:rsidRPr="00A90F2E">
        <w:rPr>
          <w:rFonts w:ascii="Times New Roman" w:eastAsia="Times New Roman" w:hAnsi="Times New Roman" w:cs="Times New Roman"/>
          <w:sz w:val="24"/>
          <w:szCs w:val="24"/>
          <w:lang w:eastAsia="de-DE"/>
        </w:rPr>
        <w:t>help</w:t>
      </w:r>
      <w:proofErr w:type="spellEnd"/>
      <w:r w:rsidRPr="00A90F2E">
        <w:rPr>
          <w:rFonts w:ascii="Times New Roman" w:eastAsia="Times New Roman" w:hAnsi="Times New Roman" w:cs="Times New Roman"/>
          <w:sz w:val="24"/>
          <w:szCs w:val="24"/>
          <w:lang w:eastAsia="de-DE"/>
        </w:rPr>
        <w:t xml:space="preserve"> </w:t>
      </w:r>
      <w:proofErr w:type="spellStart"/>
      <w:r w:rsidRPr="00A90F2E">
        <w:rPr>
          <w:rFonts w:ascii="Times New Roman" w:eastAsia="Times New Roman" w:hAnsi="Times New Roman" w:cs="Times New Roman"/>
          <w:sz w:val="24"/>
          <w:szCs w:val="24"/>
          <w:lang w:eastAsia="de-DE"/>
        </w:rPr>
        <w:t>shape</w:t>
      </w:r>
      <w:proofErr w:type="spellEnd"/>
      <w:r w:rsidRPr="00A90F2E">
        <w:rPr>
          <w:rFonts w:ascii="Times New Roman" w:eastAsia="Times New Roman" w:hAnsi="Times New Roman" w:cs="Times New Roman"/>
          <w:sz w:val="24"/>
          <w:szCs w:val="24"/>
          <w:lang w:eastAsia="de-DE"/>
        </w:rPr>
        <w:t xml:space="preserve"> and </w:t>
      </w:r>
      <w:proofErr w:type="spellStart"/>
      <w:r w:rsidRPr="00A90F2E">
        <w:rPr>
          <w:rFonts w:ascii="Times New Roman" w:eastAsia="Times New Roman" w:hAnsi="Times New Roman" w:cs="Times New Roman"/>
          <w:sz w:val="24"/>
          <w:szCs w:val="24"/>
          <w:lang w:eastAsia="de-DE"/>
        </w:rPr>
        <w:t>reshape</w:t>
      </w:r>
      <w:proofErr w:type="spellEnd"/>
      <w:r w:rsidRPr="00A90F2E">
        <w:rPr>
          <w:rFonts w:ascii="Times New Roman" w:eastAsia="Times New Roman" w:hAnsi="Times New Roman" w:cs="Times New Roman"/>
          <w:sz w:val="24"/>
          <w:szCs w:val="24"/>
          <w:lang w:eastAsia="de-DE"/>
        </w:rPr>
        <w:t xml:space="preserve"> intuitive </w:t>
      </w:r>
      <w:proofErr w:type="spellStart"/>
      <w:r w:rsidRPr="00A90F2E">
        <w:rPr>
          <w:rFonts w:ascii="Times New Roman" w:eastAsia="Times New Roman" w:hAnsi="Times New Roman" w:cs="Times New Roman"/>
          <w:sz w:val="24"/>
          <w:szCs w:val="24"/>
          <w:lang w:eastAsia="de-DE"/>
        </w:rPr>
        <w:t>understanding</w:t>
      </w:r>
      <w:proofErr w:type="spellEnd"/>
      <w:r w:rsidRPr="00A90F2E">
        <w:rPr>
          <w:rFonts w:ascii="Times New Roman" w:eastAsia="Times New Roman" w:hAnsi="Times New Roman" w:cs="Times New Roman"/>
          <w:sz w:val="24"/>
          <w:szCs w:val="24"/>
          <w:lang w:eastAsia="de-DE"/>
        </w:rPr>
        <w:t>.“ (</w:t>
      </w:r>
      <w:proofErr w:type="spellStart"/>
      <w:r w:rsidRPr="00A90F2E">
        <w:rPr>
          <w:rFonts w:ascii="Times New Roman" w:eastAsia="Times New Roman" w:hAnsi="Times New Roman" w:cs="Times New Roman"/>
          <w:sz w:val="24"/>
          <w:szCs w:val="24"/>
          <w:lang w:eastAsia="de-DE"/>
        </w:rPr>
        <w:t>Papert</w:t>
      </w:r>
      <w:proofErr w:type="spellEnd"/>
      <w:r w:rsidRPr="00A90F2E">
        <w:rPr>
          <w:rFonts w:ascii="Times New Roman" w:eastAsia="Times New Roman" w:hAnsi="Times New Roman" w:cs="Times New Roman"/>
          <w:sz w:val="24"/>
          <w:szCs w:val="24"/>
          <w:lang w:eastAsia="de-DE"/>
        </w:rPr>
        <w:t>, 1980, S. 37) [20]</w:t>
      </w:r>
    </w:p>
    <w:p w14:paraId="628E7892" w14:textId="77777777" w:rsidR="00A90F2E" w:rsidRPr="00A90F2E" w:rsidRDefault="00A90F2E" w:rsidP="00A90F2E">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A90F2E">
        <w:rPr>
          <w:rFonts w:ascii="Times New Roman" w:eastAsia="Times New Roman" w:hAnsi="Times New Roman" w:cs="Times New Roman"/>
          <w:b/>
          <w:bCs/>
          <w:sz w:val="27"/>
          <w:szCs w:val="27"/>
          <w:lang w:eastAsia="de-DE"/>
        </w:rPr>
        <w:t>2.4.3 Kontrast zu klassischen Modellen</w:t>
      </w:r>
    </w:p>
    <w:p w14:paraId="0EB4702E" w14:textId="77777777" w:rsidR="00A90F2E" w:rsidRPr="00A90F2E" w:rsidRDefault="00A90F2E" w:rsidP="00A90F2E">
      <w:pPr>
        <w:spacing w:before="100" w:beforeAutospacing="1" w:after="100" w:afterAutospacing="1" w:line="240" w:lineRule="auto"/>
        <w:rPr>
          <w:rFonts w:ascii="Times New Roman" w:eastAsia="Times New Roman" w:hAnsi="Times New Roman" w:cs="Times New Roman"/>
          <w:sz w:val="24"/>
          <w:szCs w:val="24"/>
          <w:lang w:eastAsia="de-DE"/>
        </w:rPr>
      </w:pPr>
      <w:r w:rsidRPr="00A90F2E">
        <w:rPr>
          <w:rFonts w:ascii="Times New Roman" w:eastAsia="Times New Roman" w:hAnsi="Times New Roman" w:cs="Times New Roman"/>
          <w:sz w:val="24"/>
          <w:szCs w:val="24"/>
          <w:lang w:eastAsia="de-DE"/>
        </w:rPr>
        <w:t xml:space="preserve">Im Gegensatz zu klassischen oder relativistischen Systemen ist das funktional-relational gedachte Bezugssystem </w:t>
      </w:r>
      <w:r w:rsidRPr="00A90F2E">
        <w:rPr>
          <w:rFonts w:ascii="Times New Roman" w:eastAsia="Times New Roman" w:hAnsi="Times New Roman" w:cs="Times New Roman"/>
          <w:b/>
          <w:bCs/>
          <w:sz w:val="24"/>
          <w:szCs w:val="24"/>
          <w:lang w:eastAsia="de-DE"/>
        </w:rPr>
        <w:t>kontextabhängig und subjektiv gerahmt</w:t>
      </w:r>
      <w:r w:rsidRPr="00A90F2E">
        <w:rPr>
          <w:rFonts w:ascii="Times New Roman" w:eastAsia="Times New Roman" w:hAnsi="Times New Roman" w:cs="Times New Roman"/>
          <w:sz w:val="24"/>
          <w:szCs w:val="24"/>
          <w:lang w:eastAsia="de-DE"/>
        </w:rPr>
        <w:t xml:space="preserve">. Es basiert nicht auf einem festen, universellen Bezugspunkt, sondern betont die Perspektivität des Beobachters und die Funktionalität des gewählten Modells im jeweiligen Kontext. Dieses Verständnis </w:t>
      </w:r>
      <w:r w:rsidRPr="00A90F2E">
        <w:rPr>
          <w:rFonts w:ascii="Times New Roman" w:eastAsia="Times New Roman" w:hAnsi="Times New Roman" w:cs="Times New Roman"/>
          <w:sz w:val="24"/>
          <w:szCs w:val="24"/>
          <w:lang w:eastAsia="de-DE"/>
        </w:rPr>
        <w:lastRenderedPageBreak/>
        <w:t>verlangt ein radikales Umdenken im physikalischen Lernen: weg von statischen Modellen – hin zu einem dynamischen, systemisch vernetzten Verständnis physikalischer Wirklichkeit.</w:t>
      </w:r>
    </w:p>
    <w:p w14:paraId="3B4040D8" w14:textId="77777777" w:rsidR="00A90F2E" w:rsidRPr="00A90F2E" w:rsidRDefault="00A90F2E" w:rsidP="00A90F2E">
      <w:pPr>
        <w:spacing w:before="100" w:beforeAutospacing="1" w:after="100" w:afterAutospacing="1" w:line="240" w:lineRule="auto"/>
        <w:rPr>
          <w:rFonts w:ascii="Times New Roman" w:eastAsia="Times New Roman" w:hAnsi="Times New Roman" w:cs="Times New Roman"/>
          <w:sz w:val="24"/>
          <w:szCs w:val="24"/>
          <w:lang w:eastAsia="de-DE"/>
        </w:rPr>
      </w:pPr>
      <w:r w:rsidRPr="00A90F2E">
        <w:rPr>
          <w:rFonts w:ascii="Times New Roman" w:eastAsia="Times New Roman" w:hAnsi="Times New Roman" w:cs="Times New Roman"/>
          <w:sz w:val="24"/>
          <w:szCs w:val="24"/>
          <w:lang w:eastAsia="de-DE"/>
        </w:rPr>
        <w:t xml:space="preserve">Kaiser beschreibt dies als </w:t>
      </w:r>
      <w:r w:rsidRPr="00A90F2E">
        <w:rPr>
          <w:rFonts w:ascii="Times New Roman" w:eastAsia="Times New Roman" w:hAnsi="Times New Roman" w:cs="Times New Roman"/>
          <w:b/>
          <w:bCs/>
          <w:sz w:val="24"/>
          <w:szCs w:val="24"/>
          <w:lang w:eastAsia="de-DE"/>
        </w:rPr>
        <w:t>systemisches Denken</w:t>
      </w:r>
      <w:r w:rsidRPr="00A90F2E">
        <w:rPr>
          <w:rFonts w:ascii="Times New Roman" w:eastAsia="Times New Roman" w:hAnsi="Times New Roman" w:cs="Times New Roman"/>
          <w:sz w:val="24"/>
          <w:szCs w:val="24"/>
          <w:lang w:eastAsia="de-DE"/>
        </w:rPr>
        <w:t>:</w:t>
      </w:r>
    </w:p>
    <w:p w14:paraId="2B0477C9" w14:textId="77777777" w:rsidR="00A90F2E" w:rsidRPr="00A90F2E" w:rsidRDefault="00A90F2E" w:rsidP="00A90F2E">
      <w:pPr>
        <w:spacing w:beforeAutospacing="1" w:after="100" w:afterAutospacing="1" w:line="240" w:lineRule="auto"/>
        <w:rPr>
          <w:rFonts w:ascii="Times New Roman" w:eastAsia="Times New Roman" w:hAnsi="Times New Roman" w:cs="Times New Roman"/>
          <w:sz w:val="24"/>
          <w:szCs w:val="24"/>
          <w:lang w:eastAsia="de-DE"/>
        </w:rPr>
      </w:pPr>
      <w:r w:rsidRPr="00A90F2E">
        <w:rPr>
          <w:rFonts w:ascii="Times New Roman" w:eastAsia="Times New Roman" w:hAnsi="Times New Roman" w:cs="Times New Roman"/>
          <w:sz w:val="24"/>
          <w:szCs w:val="24"/>
          <w:lang w:eastAsia="de-DE"/>
        </w:rPr>
        <w:t>„Systemisches Denken in der Physik bedeutet, Phänomene nicht isoliert, sondern in ihren funktionalen Zusammenhängen zu verstehen.“ (Kaiser, 2018, S. 138) [21]</w:t>
      </w:r>
    </w:p>
    <w:p w14:paraId="65742146" w14:textId="77777777" w:rsidR="00A90F2E" w:rsidRPr="00A90F2E" w:rsidRDefault="00E3432A" w:rsidP="00A90F2E">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0483DD63">
          <v:rect id="_x0000_i1030" style="width:0;height:1.5pt" o:hralign="center" o:hrstd="t" o:hr="t" fillcolor="#a0a0a0" stroked="f"/>
        </w:pict>
      </w:r>
    </w:p>
    <w:p w14:paraId="332D70AB" w14:textId="77777777" w:rsidR="00A90F2E" w:rsidRPr="00A90F2E" w:rsidRDefault="00A90F2E" w:rsidP="00A90F2E">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A90F2E">
        <w:rPr>
          <w:rFonts w:ascii="Times New Roman" w:eastAsia="Times New Roman" w:hAnsi="Times New Roman" w:cs="Times New Roman"/>
          <w:b/>
          <w:bCs/>
          <w:sz w:val="27"/>
          <w:szCs w:val="27"/>
          <w:lang w:eastAsia="de-DE"/>
        </w:rPr>
        <w:t>Vorteile des funktional-relationalen Bezugssystems</w:t>
      </w:r>
    </w:p>
    <w:p w14:paraId="71481BB9" w14:textId="77777777" w:rsidR="00A90F2E" w:rsidRPr="00A90F2E" w:rsidRDefault="00A90F2E" w:rsidP="00A90F2E">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A90F2E">
        <w:rPr>
          <w:rFonts w:ascii="Times New Roman" w:eastAsia="Times New Roman" w:hAnsi="Times New Roman" w:cs="Times New Roman"/>
          <w:b/>
          <w:bCs/>
          <w:sz w:val="24"/>
          <w:szCs w:val="24"/>
          <w:lang w:eastAsia="de-DE"/>
        </w:rPr>
        <w:t>Aktives Lernen:</w:t>
      </w:r>
      <w:r w:rsidRPr="00A90F2E">
        <w:rPr>
          <w:rFonts w:ascii="Times New Roman" w:eastAsia="Times New Roman" w:hAnsi="Times New Roman" w:cs="Times New Roman"/>
          <w:sz w:val="24"/>
          <w:szCs w:val="24"/>
          <w:lang w:eastAsia="de-DE"/>
        </w:rPr>
        <w:t xml:space="preserve"> Förderung der eigenständigen Wissenskonstruktion</w:t>
      </w:r>
    </w:p>
    <w:p w14:paraId="765C6C9C" w14:textId="77777777" w:rsidR="00A90F2E" w:rsidRPr="00A90F2E" w:rsidRDefault="00A90F2E" w:rsidP="00A90F2E">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A90F2E">
        <w:rPr>
          <w:rFonts w:ascii="Times New Roman" w:eastAsia="Times New Roman" w:hAnsi="Times New Roman" w:cs="Times New Roman"/>
          <w:b/>
          <w:bCs/>
          <w:sz w:val="24"/>
          <w:szCs w:val="24"/>
          <w:lang w:eastAsia="de-DE"/>
        </w:rPr>
        <w:t>Perspektivität:</w:t>
      </w:r>
      <w:r w:rsidRPr="00A90F2E">
        <w:rPr>
          <w:rFonts w:ascii="Times New Roman" w:eastAsia="Times New Roman" w:hAnsi="Times New Roman" w:cs="Times New Roman"/>
          <w:sz w:val="24"/>
          <w:szCs w:val="24"/>
          <w:lang w:eastAsia="de-DE"/>
        </w:rPr>
        <w:t xml:space="preserve"> Betonung der Rolle des Beobachters</w:t>
      </w:r>
    </w:p>
    <w:p w14:paraId="52BF85CC" w14:textId="77777777" w:rsidR="00A90F2E" w:rsidRPr="00A90F2E" w:rsidRDefault="00A90F2E" w:rsidP="00A90F2E">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A90F2E">
        <w:rPr>
          <w:rFonts w:ascii="Times New Roman" w:eastAsia="Times New Roman" w:hAnsi="Times New Roman" w:cs="Times New Roman"/>
          <w:b/>
          <w:bCs/>
          <w:sz w:val="24"/>
          <w:szCs w:val="24"/>
          <w:lang w:eastAsia="de-DE"/>
        </w:rPr>
        <w:t>Kontextabhängigkeit:</w:t>
      </w:r>
      <w:r w:rsidRPr="00A90F2E">
        <w:rPr>
          <w:rFonts w:ascii="Times New Roman" w:eastAsia="Times New Roman" w:hAnsi="Times New Roman" w:cs="Times New Roman"/>
          <w:sz w:val="24"/>
          <w:szCs w:val="24"/>
          <w:lang w:eastAsia="de-DE"/>
        </w:rPr>
        <w:t xml:space="preserve"> Situative Rahmung physikalischer Beschreibung</w:t>
      </w:r>
    </w:p>
    <w:p w14:paraId="187CB6F5" w14:textId="77777777" w:rsidR="00A90F2E" w:rsidRPr="00A90F2E" w:rsidRDefault="00A90F2E" w:rsidP="00A90F2E">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A90F2E">
        <w:rPr>
          <w:rFonts w:ascii="Times New Roman" w:eastAsia="Times New Roman" w:hAnsi="Times New Roman" w:cs="Times New Roman"/>
          <w:b/>
          <w:bCs/>
          <w:sz w:val="24"/>
          <w:szCs w:val="24"/>
          <w:lang w:eastAsia="de-DE"/>
        </w:rPr>
        <w:t>Systemisches Denken:</w:t>
      </w:r>
      <w:r w:rsidRPr="00A90F2E">
        <w:rPr>
          <w:rFonts w:ascii="Times New Roman" w:eastAsia="Times New Roman" w:hAnsi="Times New Roman" w:cs="Times New Roman"/>
          <w:sz w:val="24"/>
          <w:szCs w:val="24"/>
          <w:lang w:eastAsia="de-DE"/>
        </w:rPr>
        <w:t xml:space="preserve"> Integration komplexer Wechselwirkungen und Strukturen</w:t>
      </w:r>
    </w:p>
    <w:p w14:paraId="0383924D" w14:textId="77777777" w:rsidR="00A90F2E" w:rsidRPr="00A90F2E" w:rsidRDefault="00E3432A" w:rsidP="00A90F2E">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51D0CE65">
          <v:rect id="_x0000_i1031" style="width:0;height:1.5pt" o:hralign="center" o:hrstd="t" o:hr="t" fillcolor="#a0a0a0" stroked="f"/>
        </w:pict>
      </w:r>
    </w:p>
    <w:p w14:paraId="69903769" w14:textId="77777777" w:rsidR="00A90F2E" w:rsidRPr="00A90F2E" w:rsidRDefault="00A90F2E" w:rsidP="00A90F2E">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A90F2E">
        <w:rPr>
          <w:rFonts w:ascii="Times New Roman" w:eastAsia="Times New Roman" w:hAnsi="Times New Roman" w:cs="Times New Roman"/>
          <w:b/>
          <w:bCs/>
          <w:sz w:val="27"/>
          <w:szCs w:val="27"/>
          <w:lang w:eastAsia="de-DE"/>
        </w:rPr>
        <w:t>Fazit</w:t>
      </w:r>
    </w:p>
    <w:p w14:paraId="5CAAB420" w14:textId="77777777" w:rsidR="00A90F2E" w:rsidRPr="00A90F2E" w:rsidRDefault="00A90F2E" w:rsidP="00A90F2E">
      <w:pPr>
        <w:spacing w:before="100" w:beforeAutospacing="1" w:after="100" w:afterAutospacing="1" w:line="240" w:lineRule="auto"/>
        <w:rPr>
          <w:rFonts w:ascii="Times New Roman" w:eastAsia="Times New Roman" w:hAnsi="Times New Roman" w:cs="Times New Roman"/>
          <w:sz w:val="24"/>
          <w:szCs w:val="24"/>
          <w:lang w:eastAsia="de-DE"/>
        </w:rPr>
      </w:pPr>
      <w:r w:rsidRPr="00A90F2E">
        <w:rPr>
          <w:rFonts w:ascii="Times New Roman" w:eastAsia="Times New Roman" w:hAnsi="Times New Roman" w:cs="Times New Roman"/>
          <w:sz w:val="24"/>
          <w:szCs w:val="24"/>
          <w:lang w:eastAsia="de-DE"/>
        </w:rPr>
        <w:t>Das funktional-relational gedachte Bezugssystem bietet eine zukunftsweisende Perspektive für die physikdidaktische Praxis. Es verbindet konstruktivistisches Lernen, moderne Visualisierungsmethoden und systemisches Denken zu einem integrativen Lehrmodell. Dadurch wird nicht nur das Verständnis physikalischer Bezugssysteme vertieft, sondern auch ein reflektiertes, dynamisches Weltbild gefördert – ein Ziel, das über die bloße Wissensvermittlung hinausgeht.</w:t>
      </w:r>
    </w:p>
    <w:p w14:paraId="1BCD0891" w14:textId="77777777" w:rsidR="00A90F2E" w:rsidRPr="00A90F2E" w:rsidRDefault="00E3432A" w:rsidP="00A90F2E">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528AD1B5">
          <v:rect id="_x0000_i1032" style="width:0;height:1.5pt" o:hralign="center" o:hrstd="t" o:hr="t" fillcolor="#a0a0a0" stroked="f"/>
        </w:pict>
      </w:r>
    </w:p>
    <w:p w14:paraId="23CE6D75" w14:textId="77777777" w:rsidR="00A90F2E" w:rsidRPr="00A90F2E" w:rsidRDefault="00A90F2E" w:rsidP="00A90F2E">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A90F2E">
        <w:rPr>
          <w:rFonts w:ascii="Segoe UI Emoji" w:eastAsia="Times New Roman" w:hAnsi="Segoe UI Emoji" w:cs="Segoe UI Emoji"/>
          <w:b/>
          <w:bCs/>
          <w:sz w:val="27"/>
          <w:szCs w:val="27"/>
          <w:lang w:eastAsia="de-DE"/>
        </w:rPr>
        <w:t>📚</w:t>
      </w:r>
      <w:r w:rsidRPr="00A90F2E">
        <w:rPr>
          <w:rFonts w:ascii="Times New Roman" w:eastAsia="Times New Roman" w:hAnsi="Times New Roman" w:cs="Times New Roman"/>
          <w:b/>
          <w:bCs/>
          <w:sz w:val="27"/>
          <w:szCs w:val="27"/>
          <w:lang w:eastAsia="de-DE"/>
        </w:rPr>
        <w:t xml:space="preserve"> Quellen zu Abschnitt 2.4</w:t>
      </w:r>
    </w:p>
    <w:p w14:paraId="4149DF9F" w14:textId="77777777" w:rsidR="00A90F2E" w:rsidRPr="00A90F2E" w:rsidRDefault="00A90F2E" w:rsidP="00A90F2E">
      <w:pPr>
        <w:spacing w:before="100" w:beforeAutospacing="1" w:after="100" w:afterAutospacing="1" w:line="240" w:lineRule="auto"/>
        <w:rPr>
          <w:rFonts w:ascii="Times New Roman" w:eastAsia="Times New Roman" w:hAnsi="Times New Roman" w:cs="Times New Roman"/>
          <w:sz w:val="24"/>
          <w:szCs w:val="24"/>
          <w:lang w:eastAsia="de-DE"/>
        </w:rPr>
      </w:pPr>
      <w:r w:rsidRPr="00A90F2E">
        <w:rPr>
          <w:rFonts w:ascii="Times New Roman" w:eastAsia="Times New Roman" w:hAnsi="Times New Roman" w:cs="Times New Roman"/>
          <w:sz w:val="24"/>
          <w:szCs w:val="24"/>
          <w:lang w:eastAsia="de-DE"/>
        </w:rPr>
        <w:t xml:space="preserve">[17] Bruner, J. S. (1960). </w:t>
      </w:r>
      <w:r w:rsidRPr="00A90F2E">
        <w:rPr>
          <w:rFonts w:ascii="Times New Roman" w:eastAsia="Times New Roman" w:hAnsi="Times New Roman" w:cs="Times New Roman"/>
          <w:i/>
          <w:iCs/>
          <w:sz w:val="24"/>
          <w:szCs w:val="24"/>
          <w:lang w:eastAsia="de-DE"/>
        </w:rPr>
        <w:t xml:space="preserve">The </w:t>
      </w:r>
      <w:proofErr w:type="spellStart"/>
      <w:r w:rsidRPr="00A90F2E">
        <w:rPr>
          <w:rFonts w:ascii="Times New Roman" w:eastAsia="Times New Roman" w:hAnsi="Times New Roman" w:cs="Times New Roman"/>
          <w:i/>
          <w:iCs/>
          <w:sz w:val="24"/>
          <w:szCs w:val="24"/>
          <w:lang w:eastAsia="de-DE"/>
        </w:rPr>
        <w:t>Process</w:t>
      </w:r>
      <w:proofErr w:type="spellEnd"/>
      <w:r w:rsidRPr="00A90F2E">
        <w:rPr>
          <w:rFonts w:ascii="Times New Roman" w:eastAsia="Times New Roman" w:hAnsi="Times New Roman" w:cs="Times New Roman"/>
          <w:i/>
          <w:iCs/>
          <w:sz w:val="24"/>
          <w:szCs w:val="24"/>
          <w:lang w:eastAsia="de-DE"/>
        </w:rPr>
        <w:t xml:space="preserve"> </w:t>
      </w:r>
      <w:proofErr w:type="spellStart"/>
      <w:r w:rsidRPr="00A90F2E">
        <w:rPr>
          <w:rFonts w:ascii="Times New Roman" w:eastAsia="Times New Roman" w:hAnsi="Times New Roman" w:cs="Times New Roman"/>
          <w:i/>
          <w:iCs/>
          <w:sz w:val="24"/>
          <w:szCs w:val="24"/>
          <w:lang w:eastAsia="de-DE"/>
        </w:rPr>
        <w:t>of</w:t>
      </w:r>
      <w:proofErr w:type="spellEnd"/>
      <w:r w:rsidRPr="00A90F2E">
        <w:rPr>
          <w:rFonts w:ascii="Times New Roman" w:eastAsia="Times New Roman" w:hAnsi="Times New Roman" w:cs="Times New Roman"/>
          <w:i/>
          <w:iCs/>
          <w:sz w:val="24"/>
          <w:szCs w:val="24"/>
          <w:lang w:eastAsia="de-DE"/>
        </w:rPr>
        <w:t xml:space="preserve"> Education</w:t>
      </w:r>
      <w:r w:rsidRPr="00A90F2E">
        <w:rPr>
          <w:rFonts w:ascii="Times New Roman" w:eastAsia="Times New Roman" w:hAnsi="Times New Roman" w:cs="Times New Roman"/>
          <w:sz w:val="24"/>
          <w:szCs w:val="24"/>
          <w:lang w:eastAsia="de-DE"/>
        </w:rPr>
        <w:t>. Harvard University Press.</w:t>
      </w:r>
      <w:r w:rsidRPr="00A90F2E">
        <w:rPr>
          <w:rFonts w:ascii="Times New Roman" w:eastAsia="Times New Roman" w:hAnsi="Times New Roman" w:cs="Times New Roman"/>
          <w:sz w:val="24"/>
          <w:szCs w:val="24"/>
          <w:lang w:eastAsia="de-DE"/>
        </w:rPr>
        <w:br/>
        <w:t>[18] Reinmann-</w:t>
      </w:r>
      <w:proofErr w:type="spellStart"/>
      <w:r w:rsidRPr="00A90F2E">
        <w:rPr>
          <w:rFonts w:ascii="Times New Roman" w:eastAsia="Times New Roman" w:hAnsi="Times New Roman" w:cs="Times New Roman"/>
          <w:sz w:val="24"/>
          <w:szCs w:val="24"/>
          <w:lang w:eastAsia="de-DE"/>
        </w:rPr>
        <w:t>Rothmeier</w:t>
      </w:r>
      <w:proofErr w:type="spellEnd"/>
      <w:r w:rsidRPr="00A90F2E">
        <w:rPr>
          <w:rFonts w:ascii="Times New Roman" w:eastAsia="Times New Roman" w:hAnsi="Times New Roman" w:cs="Times New Roman"/>
          <w:sz w:val="24"/>
          <w:szCs w:val="24"/>
          <w:lang w:eastAsia="de-DE"/>
        </w:rPr>
        <w:t xml:space="preserve">, G. &amp; Mandl, H. (2001). </w:t>
      </w:r>
      <w:r w:rsidRPr="00A90F2E">
        <w:rPr>
          <w:rFonts w:ascii="Times New Roman" w:eastAsia="Times New Roman" w:hAnsi="Times New Roman" w:cs="Times New Roman"/>
          <w:i/>
          <w:iCs/>
          <w:sz w:val="24"/>
          <w:szCs w:val="24"/>
          <w:lang w:eastAsia="de-DE"/>
        </w:rPr>
        <w:t>Unterricht gestalten mit kognitiv-psychologischer Grundlage</w:t>
      </w:r>
      <w:r w:rsidRPr="00A90F2E">
        <w:rPr>
          <w:rFonts w:ascii="Times New Roman" w:eastAsia="Times New Roman" w:hAnsi="Times New Roman" w:cs="Times New Roman"/>
          <w:sz w:val="24"/>
          <w:szCs w:val="24"/>
          <w:lang w:eastAsia="de-DE"/>
        </w:rPr>
        <w:t xml:space="preserve">. In: Krapp &amp; Weidenmann (Hrsg.), </w:t>
      </w:r>
      <w:r w:rsidRPr="00A90F2E">
        <w:rPr>
          <w:rFonts w:ascii="Times New Roman" w:eastAsia="Times New Roman" w:hAnsi="Times New Roman" w:cs="Times New Roman"/>
          <w:i/>
          <w:iCs/>
          <w:sz w:val="24"/>
          <w:szCs w:val="24"/>
          <w:lang w:eastAsia="de-DE"/>
        </w:rPr>
        <w:t>Pädagogische Psychologie</w:t>
      </w:r>
      <w:r w:rsidRPr="00A90F2E">
        <w:rPr>
          <w:rFonts w:ascii="Times New Roman" w:eastAsia="Times New Roman" w:hAnsi="Times New Roman" w:cs="Times New Roman"/>
          <w:sz w:val="24"/>
          <w:szCs w:val="24"/>
          <w:lang w:eastAsia="de-DE"/>
        </w:rPr>
        <w:t>.</w:t>
      </w:r>
      <w:r w:rsidRPr="00A90F2E">
        <w:rPr>
          <w:rFonts w:ascii="Times New Roman" w:eastAsia="Times New Roman" w:hAnsi="Times New Roman" w:cs="Times New Roman"/>
          <w:sz w:val="24"/>
          <w:szCs w:val="24"/>
          <w:lang w:eastAsia="de-DE"/>
        </w:rPr>
        <w:br/>
        <w:t xml:space="preserve">[19] Seel, N. M. (2012). </w:t>
      </w:r>
      <w:r w:rsidRPr="00A90F2E">
        <w:rPr>
          <w:rFonts w:ascii="Times New Roman" w:eastAsia="Times New Roman" w:hAnsi="Times New Roman" w:cs="Times New Roman"/>
          <w:i/>
          <w:iCs/>
          <w:sz w:val="24"/>
          <w:szCs w:val="24"/>
          <w:lang w:eastAsia="de-DE"/>
        </w:rPr>
        <w:t>Psychologie des Lernens</w:t>
      </w:r>
      <w:r w:rsidRPr="00A90F2E">
        <w:rPr>
          <w:rFonts w:ascii="Times New Roman" w:eastAsia="Times New Roman" w:hAnsi="Times New Roman" w:cs="Times New Roman"/>
          <w:sz w:val="24"/>
          <w:szCs w:val="24"/>
          <w:lang w:eastAsia="de-DE"/>
        </w:rPr>
        <w:t>. Springer.</w:t>
      </w:r>
      <w:r w:rsidRPr="00A90F2E">
        <w:rPr>
          <w:rFonts w:ascii="Times New Roman" w:eastAsia="Times New Roman" w:hAnsi="Times New Roman" w:cs="Times New Roman"/>
          <w:sz w:val="24"/>
          <w:szCs w:val="24"/>
          <w:lang w:eastAsia="de-DE"/>
        </w:rPr>
        <w:br/>
        <w:t xml:space="preserve">[20] </w:t>
      </w:r>
      <w:proofErr w:type="spellStart"/>
      <w:r w:rsidRPr="00A90F2E">
        <w:rPr>
          <w:rFonts w:ascii="Times New Roman" w:eastAsia="Times New Roman" w:hAnsi="Times New Roman" w:cs="Times New Roman"/>
          <w:sz w:val="24"/>
          <w:szCs w:val="24"/>
          <w:lang w:eastAsia="de-DE"/>
        </w:rPr>
        <w:t>Papert</w:t>
      </w:r>
      <w:proofErr w:type="spellEnd"/>
      <w:r w:rsidRPr="00A90F2E">
        <w:rPr>
          <w:rFonts w:ascii="Times New Roman" w:eastAsia="Times New Roman" w:hAnsi="Times New Roman" w:cs="Times New Roman"/>
          <w:sz w:val="24"/>
          <w:szCs w:val="24"/>
          <w:lang w:eastAsia="de-DE"/>
        </w:rPr>
        <w:t xml:space="preserve">, S. (1980). </w:t>
      </w:r>
      <w:r w:rsidRPr="00A90F2E">
        <w:rPr>
          <w:rFonts w:ascii="Times New Roman" w:eastAsia="Times New Roman" w:hAnsi="Times New Roman" w:cs="Times New Roman"/>
          <w:i/>
          <w:iCs/>
          <w:sz w:val="24"/>
          <w:szCs w:val="24"/>
          <w:lang w:eastAsia="de-DE"/>
        </w:rPr>
        <w:t xml:space="preserve">Mindstorms: Children, Computers, and Powerful </w:t>
      </w:r>
      <w:proofErr w:type="spellStart"/>
      <w:r w:rsidRPr="00A90F2E">
        <w:rPr>
          <w:rFonts w:ascii="Times New Roman" w:eastAsia="Times New Roman" w:hAnsi="Times New Roman" w:cs="Times New Roman"/>
          <w:i/>
          <w:iCs/>
          <w:sz w:val="24"/>
          <w:szCs w:val="24"/>
          <w:lang w:eastAsia="de-DE"/>
        </w:rPr>
        <w:t>Ideas</w:t>
      </w:r>
      <w:proofErr w:type="spellEnd"/>
      <w:r w:rsidRPr="00A90F2E">
        <w:rPr>
          <w:rFonts w:ascii="Times New Roman" w:eastAsia="Times New Roman" w:hAnsi="Times New Roman" w:cs="Times New Roman"/>
          <w:sz w:val="24"/>
          <w:szCs w:val="24"/>
          <w:lang w:eastAsia="de-DE"/>
        </w:rPr>
        <w:t>. Basic Books.</w:t>
      </w:r>
      <w:r w:rsidRPr="00A90F2E">
        <w:rPr>
          <w:rFonts w:ascii="Times New Roman" w:eastAsia="Times New Roman" w:hAnsi="Times New Roman" w:cs="Times New Roman"/>
          <w:sz w:val="24"/>
          <w:szCs w:val="24"/>
          <w:lang w:eastAsia="de-DE"/>
        </w:rPr>
        <w:br/>
        <w:t xml:space="preserve">[21] Kaiser, G. (2018). </w:t>
      </w:r>
      <w:r w:rsidRPr="00A90F2E">
        <w:rPr>
          <w:rFonts w:ascii="Times New Roman" w:eastAsia="Times New Roman" w:hAnsi="Times New Roman" w:cs="Times New Roman"/>
          <w:i/>
          <w:iCs/>
          <w:sz w:val="24"/>
          <w:szCs w:val="24"/>
          <w:lang w:eastAsia="de-DE"/>
        </w:rPr>
        <w:t>Systemisches Denken im naturwissenschaftlichen Unterricht</w:t>
      </w:r>
      <w:r w:rsidRPr="00A90F2E">
        <w:rPr>
          <w:rFonts w:ascii="Times New Roman" w:eastAsia="Times New Roman" w:hAnsi="Times New Roman" w:cs="Times New Roman"/>
          <w:sz w:val="24"/>
          <w:szCs w:val="24"/>
          <w:lang w:eastAsia="de-DE"/>
        </w:rPr>
        <w:t xml:space="preserve">. </w:t>
      </w:r>
      <w:r w:rsidRPr="00A90F2E">
        <w:rPr>
          <w:rFonts w:ascii="Times New Roman" w:eastAsia="Times New Roman" w:hAnsi="Times New Roman" w:cs="Times New Roman"/>
          <w:i/>
          <w:iCs/>
          <w:sz w:val="24"/>
          <w:szCs w:val="24"/>
          <w:lang w:eastAsia="de-DE"/>
        </w:rPr>
        <w:t>Zeitschrift für Didaktik der Naturwissenschaften</w:t>
      </w:r>
      <w:r w:rsidRPr="00A90F2E">
        <w:rPr>
          <w:rFonts w:ascii="Times New Roman" w:eastAsia="Times New Roman" w:hAnsi="Times New Roman" w:cs="Times New Roman"/>
          <w:sz w:val="24"/>
          <w:szCs w:val="24"/>
          <w:lang w:eastAsia="de-DE"/>
        </w:rPr>
        <w:t>, 24, 135–147.</w:t>
      </w:r>
    </w:p>
    <w:p w14:paraId="0AA2139F" w14:textId="77777777" w:rsidR="00A90F2E" w:rsidRDefault="00A90F2E" w:rsidP="00A90F2E">
      <w:pPr>
        <w:pStyle w:val="berschrift2"/>
      </w:pPr>
      <w:r>
        <w:rPr>
          <w:rStyle w:val="Fett"/>
          <w:b/>
          <w:bCs/>
        </w:rPr>
        <w:t>2.5 Didaktische Empfehlungen zur Vermittlung physikalischer Bezugssysteme</w:t>
      </w:r>
    </w:p>
    <w:p w14:paraId="06D78146" w14:textId="77777777" w:rsidR="00A90F2E" w:rsidRDefault="00A90F2E" w:rsidP="00A90F2E">
      <w:pPr>
        <w:pStyle w:val="StandardWeb"/>
      </w:pPr>
      <w:r>
        <w:t>Ausgehend von den zuvor identifizierten Herausforderungen und Potenzialen ergeben sich zentrale didaktische Leitlinien für die Vermittlung physikalischer Bezugssysteme. Diese Empfehlungen zielen darauf ab, kognitive Belastungen zu reduzieren, das Verstehen komplexer Strukturen zu fördern und nachhaltiges Lernen zu ermöglichen [12].</w:t>
      </w:r>
    </w:p>
    <w:p w14:paraId="14870AFC" w14:textId="77777777" w:rsidR="00A90F2E" w:rsidRDefault="00A90F2E" w:rsidP="00A90F2E">
      <w:pPr>
        <w:pStyle w:val="berschrift3"/>
      </w:pPr>
      <w:r>
        <w:rPr>
          <w:rStyle w:val="Fett"/>
          <w:b/>
          <w:bCs/>
        </w:rPr>
        <w:t>Spiralprinzip</w:t>
      </w:r>
    </w:p>
    <w:p w14:paraId="1BBD3400" w14:textId="77777777" w:rsidR="00A90F2E" w:rsidRDefault="00A90F2E" w:rsidP="00A90F2E">
      <w:pPr>
        <w:pStyle w:val="StandardWeb"/>
      </w:pPr>
      <w:r>
        <w:lastRenderedPageBreak/>
        <w:t xml:space="preserve">Das von Bruner formulierte </w:t>
      </w:r>
      <w:r>
        <w:rPr>
          <w:rStyle w:val="Fett"/>
        </w:rPr>
        <w:t>Spiralprinzip</w:t>
      </w:r>
      <w:r>
        <w:t xml:space="preserve"> besagt, dass zentrale Konzepte mehrfach, auf jeweils höherem Abstraktionsniveau, wiederkehren sollten. Dies erlaubt es den Lernenden, ihr Verständnis schrittweise zu vertiefen – etwa durch die sukzessive Entwicklung von Bewegung über das Inertialsystem hin zum relativistischen Raumzeitmodell.</w:t>
      </w:r>
    </w:p>
    <w:p w14:paraId="44809E4B" w14:textId="77777777" w:rsidR="00A90F2E" w:rsidRDefault="00A90F2E" w:rsidP="00A90F2E">
      <w:pPr>
        <w:pStyle w:val="StandardWeb"/>
      </w:pPr>
      <w:r>
        <w:t>„Ein gutes Curriculum kehrt immer wieder zu den grundlegenden Ideen zurück und erweitert deren Bedeutung sukzessive.“ (Bruner, 1960, S. 13) [17]</w:t>
      </w:r>
    </w:p>
    <w:p w14:paraId="1545893A" w14:textId="77777777" w:rsidR="00A90F2E" w:rsidRDefault="00A90F2E" w:rsidP="00A90F2E">
      <w:pPr>
        <w:pStyle w:val="berschrift3"/>
      </w:pPr>
      <w:r>
        <w:rPr>
          <w:rStyle w:val="Fett"/>
          <w:b/>
          <w:bCs/>
        </w:rPr>
        <w:t>Hybride Konzepte</w:t>
      </w:r>
    </w:p>
    <w:p w14:paraId="27AE31B7" w14:textId="77777777" w:rsidR="00A90F2E" w:rsidRDefault="00A90F2E" w:rsidP="00A90F2E">
      <w:pPr>
        <w:pStyle w:val="StandardWeb"/>
      </w:pPr>
      <w:r>
        <w:t xml:space="preserve">Die Kombination von </w:t>
      </w:r>
      <w:r>
        <w:rPr>
          <w:rStyle w:val="Fett"/>
        </w:rPr>
        <w:t>abstrakten Theorien mit alltagsnahen Anwendungen</w:t>
      </w:r>
      <w:r>
        <w:t xml:space="preserve"> – etwa das Prinzip der Zeitdilatation im Kontext satellitengestützter Navigation – erleichtert das konzeptuelle Verständnis und erhöht die Lernmotivation. Roth betont, dass die Bedeutsamkeit von Inhalten für den Lernerfolg entscheidend ist:</w:t>
      </w:r>
    </w:p>
    <w:p w14:paraId="60B6036F" w14:textId="77777777" w:rsidR="00A90F2E" w:rsidRDefault="00A90F2E" w:rsidP="00A90F2E">
      <w:pPr>
        <w:pStyle w:val="StandardWeb"/>
      </w:pPr>
      <w:r>
        <w:t>„Konzepte gewinnen für Lernende dann an Bedeutung, wenn sie in vertrauten Situationen relevant werden.“ (Roth, 2013, S. 82) [16]</w:t>
      </w:r>
    </w:p>
    <w:p w14:paraId="41AE9DE1" w14:textId="77777777" w:rsidR="00A90F2E" w:rsidRDefault="00A90F2E" w:rsidP="00A90F2E">
      <w:pPr>
        <w:pStyle w:val="berschrift3"/>
      </w:pPr>
      <w:r>
        <w:rPr>
          <w:rStyle w:val="Fett"/>
          <w:b/>
          <w:bCs/>
        </w:rPr>
        <w:t>Simulationen und Python-Skripte</w:t>
      </w:r>
    </w:p>
    <w:p w14:paraId="62EB916F" w14:textId="77777777" w:rsidR="00A90F2E" w:rsidRDefault="00A90F2E" w:rsidP="00A90F2E">
      <w:pPr>
        <w:pStyle w:val="StandardWeb"/>
      </w:pPr>
      <w:r>
        <w:t xml:space="preserve">Der Einsatz </w:t>
      </w:r>
      <w:r>
        <w:rPr>
          <w:rStyle w:val="Fett"/>
        </w:rPr>
        <w:t>digitaler Werkzeuge</w:t>
      </w:r>
      <w:r>
        <w:t xml:space="preserve"> wie GeoGebra, </w:t>
      </w:r>
      <w:proofErr w:type="spellStart"/>
      <w:r>
        <w:t>Matplotlib</w:t>
      </w:r>
      <w:proofErr w:type="spellEnd"/>
      <w:r>
        <w:t xml:space="preserve"> oder Simulationsplattformen ermöglicht es, abstrakte physikalische Prozesse visuell und interaktiv zu erfassen. Dies unterstützt nicht nur das Verständnis, sondern fördert auch aktives und exploratives Lernen [20].</w:t>
      </w:r>
    </w:p>
    <w:p w14:paraId="02374138" w14:textId="77777777" w:rsidR="00A90F2E" w:rsidRDefault="00A90F2E" w:rsidP="00A90F2E">
      <w:pPr>
        <w:pStyle w:val="StandardWeb"/>
      </w:pPr>
      <w:r>
        <w:t>„Digitale Mikrowelten ermöglichen es Kindern, komplexe Denkstrukturen aktiv zu gestalten.“ (</w:t>
      </w:r>
      <w:proofErr w:type="spellStart"/>
      <w:r>
        <w:t>Papert</w:t>
      </w:r>
      <w:proofErr w:type="spellEnd"/>
      <w:r>
        <w:t>, 1980, S. 42) [20]</w:t>
      </w:r>
    </w:p>
    <w:p w14:paraId="1CCDB86B" w14:textId="77777777" w:rsidR="00A90F2E" w:rsidRDefault="00A90F2E" w:rsidP="00A90F2E">
      <w:pPr>
        <w:pStyle w:val="berschrift3"/>
      </w:pPr>
      <w:r>
        <w:rPr>
          <w:rStyle w:val="Fett"/>
          <w:b/>
          <w:bCs/>
        </w:rPr>
        <w:t>Fehlerkultur</w:t>
      </w:r>
    </w:p>
    <w:p w14:paraId="1B28A7C2" w14:textId="77777777" w:rsidR="00A90F2E" w:rsidRDefault="00A90F2E" w:rsidP="00A90F2E">
      <w:pPr>
        <w:pStyle w:val="StandardWeb"/>
      </w:pPr>
      <w:r>
        <w:t xml:space="preserve">Ein offener, reflektierter Umgang mit </w:t>
      </w:r>
      <w:r>
        <w:rPr>
          <w:rStyle w:val="Fett"/>
        </w:rPr>
        <w:t>Fehlvorstellungen</w:t>
      </w:r>
      <w:r>
        <w:t xml:space="preserve"> hilft, metakognitive Prozesse zu initiieren. Statt Fehler zu vermeiden, sollen diese als Lerngelegenheiten genutzt werden, um Denkstrukturen sichtbar und veränderbar zu machen.</w:t>
      </w:r>
    </w:p>
    <w:p w14:paraId="01B88184" w14:textId="77777777" w:rsidR="00A90F2E" w:rsidRDefault="00A90F2E" w:rsidP="00A90F2E">
      <w:pPr>
        <w:pStyle w:val="StandardWeb"/>
      </w:pPr>
      <w:r>
        <w:t>„Feedback, das Missverständnisse thematisiert, hat einen der höchsten Effekte auf Lernerfolg.“ (Hattie, 2009, S. 173) [22]</w:t>
      </w:r>
    </w:p>
    <w:p w14:paraId="1E4D55BC" w14:textId="77777777" w:rsidR="00A90F2E" w:rsidRDefault="00A90F2E" w:rsidP="00A90F2E">
      <w:pPr>
        <w:pStyle w:val="berschrift3"/>
      </w:pPr>
      <w:r>
        <w:rPr>
          <w:rStyle w:val="Fett"/>
          <w:b/>
          <w:bCs/>
        </w:rPr>
        <w:t>Modularisierung</w:t>
      </w:r>
    </w:p>
    <w:p w14:paraId="17DECA4B" w14:textId="77777777" w:rsidR="00A90F2E" w:rsidRDefault="00A90F2E" w:rsidP="00A90F2E">
      <w:pPr>
        <w:pStyle w:val="StandardWeb"/>
      </w:pPr>
      <w:r>
        <w:t xml:space="preserve">Komplexe Inhalte sollten in </w:t>
      </w:r>
      <w:r>
        <w:rPr>
          <w:rStyle w:val="Fett"/>
        </w:rPr>
        <w:t>strukturierte Module</w:t>
      </w:r>
      <w:r>
        <w:t xml:space="preserve"> untergliedert werden. Eine didaktische Sequenz könnte etwa folgen: </w:t>
      </w:r>
      <w:r>
        <w:rPr>
          <w:rStyle w:val="Hervorhebung"/>
        </w:rPr>
        <w:t>Beobachtung → Hypothese → Modellbildung → Simulation → Reflexion</w:t>
      </w:r>
      <w:r>
        <w:t>. Diese Modularisierung erlaubt eine differenzierte Auseinandersetzung mit Teilaspekten und entlastet kognitiv.</w:t>
      </w:r>
    </w:p>
    <w:p w14:paraId="5903642E" w14:textId="77777777" w:rsidR="00A90F2E" w:rsidRDefault="00A90F2E" w:rsidP="00A90F2E">
      <w:pPr>
        <w:pStyle w:val="StandardWeb"/>
      </w:pPr>
      <w:r>
        <w:t>„Modulare Konzepte erlauben flexibles, differenziertes und lerngerechtes Unterrichten.“ (Reinmann &amp; Mandl, 2001, S. 97) [18]</w:t>
      </w:r>
    </w:p>
    <w:p w14:paraId="722716BE" w14:textId="77777777" w:rsidR="00A90F2E" w:rsidRDefault="00E3432A" w:rsidP="00A90F2E">
      <w:r>
        <w:pict w14:anchorId="45B4D9B4">
          <v:rect id="_x0000_i1033" style="width:0;height:1.5pt" o:hralign="center" o:hrstd="t" o:hr="t" fillcolor="#a0a0a0" stroked="f"/>
        </w:pict>
      </w:r>
    </w:p>
    <w:p w14:paraId="60A075A7" w14:textId="77777777" w:rsidR="00A90F2E" w:rsidRDefault="00A90F2E" w:rsidP="00A90F2E">
      <w:pPr>
        <w:pStyle w:val="berschrift3"/>
      </w:pPr>
      <w:r>
        <w:rPr>
          <w:rStyle w:val="Fett"/>
          <w:b/>
          <w:bCs/>
        </w:rPr>
        <w:t>Fazit</w:t>
      </w:r>
    </w:p>
    <w:p w14:paraId="06CE609D" w14:textId="77777777" w:rsidR="00A90F2E" w:rsidRDefault="00A90F2E" w:rsidP="00A90F2E">
      <w:pPr>
        <w:pStyle w:val="StandardWeb"/>
      </w:pPr>
      <w:r>
        <w:lastRenderedPageBreak/>
        <w:t>Die vorgestellten didaktischen Empfehlungen bieten ein integratives Konzept zur Vermittlung physikalischer Bezugssysteme. Sie kombinieren strukturierte Wiederholung, kontextuelle Verankerung, digitale Medien, Fehlerbewusstsein und modulare Lernarrangements. Damit wird ein Unterricht ermöglicht, der nicht nur Wissen vermittelt, sondern physikalisches Denken fördert – systematisch, erfahrungsnah und erkenntnistheoretisch reflektiert.</w:t>
      </w:r>
    </w:p>
    <w:p w14:paraId="365D0B74" w14:textId="77777777" w:rsidR="00A90F2E" w:rsidRDefault="00E3432A" w:rsidP="00A90F2E">
      <w:r>
        <w:pict w14:anchorId="4610B950">
          <v:rect id="_x0000_i1034" style="width:0;height:1.5pt" o:hralign="center" o:hrstd="t" o:hr="t" fillcolor="#a0a0a0" stroked="f"/>
        </w:pict>
      </w:r>
    </w:p>
    <w:p w14:paraId="2A8D1F42" w14:textId="77777777" w:rsidR="00A90F2E" w:rsidRDefault="00A90F2E" w:rsidP="00A90F2E">
      <w:pPr>
        <w:pStyle w:val="berschrift3"/>
      </w:pPr>
      <w:r>
        <w:rPr>
          <w:rStyle w:val="Fett"/>
          <w:rFonts w:ascii="Segoe UI Emoji" w:hAnsi="Segoe UI Emoji" w:cs="Segoe UI Emoji"/>
          <w:b/>
          <w:bCs/>
        </w:rPr>
        <w:t>📚</w:t>
      </w:r>
      <w:r>
        <w:rPr>
          <w:rStyle w:val="Fett"/>
          <w:b/>
          <w:bCs/>
        </w:rPr>
        <w:t xml:space="preserve"> Quellen zu Abschnitt 2.5</w:t>
      </w:r>
    </w:p>
    <w:p w14:paraId="02F4F0B6" w14:textId="77777777" w:rsidR="00A90F2E" w:rsidRDefault="00A90F2E" w:rsidP="00A90F2E">
      <w:pPr>
        <w:pStyle w:val="StandardWeb"/>
      </w:pPr>
      <w:r>
        <w:t xml:space="preserve">[12] </w:t>
      </w:r>
      <w:proofErr w:type="spellStart"/>
      <w:r>
        <w:t>Duit</w:t>
      </w:r>
      <w:proofErr w:type="spellEnd"/>
      <w:r>
        <w:t xml:space="preserve">, R. (2004). </w:t>
      </w:r>
      <w:r>
        <w:rPr>
          <w:rStyle w:val="Hervorhebung"/>
        </w:rPr>
        <w:t>Schülervorstellungen und Physikunterricht</w:t>
      </w:r>
      <w:r>
        <w:t xml:space="preserve">. In: Komorek et al. (Hrsg.), </w:t>
      </w:r>
      <w:r>
        <w:rPr>
          <w:rStyle w:val="Hervorhebung"/>
        </w:rPr>
        <w:t>Naturwissenschaftlicher Unterricht</w:t>
      </w:r>
      <w:r>
        <w:t>.</w:t>
      </w:r>
      <w:r>
        <w:br/>
        <w:t xml:space="preserve">[16] Roth, G. (2013). </w:t>
      </w:r>
      <w:r>
        <w:rPr>
          <w:rStyle w:val="Hervorhebung"/>
        </w:rPr>
        <w:t>Bildung braucht Persönlichkeit</w:t>
      </w:r>
      <w:r>
        <w:t>. Beltz.</w:t>
      </w:r>
      <w:r>
        <w:br/>
        <w:t xml:space="preserve">[17] Bruner, J. S. (1960). </w:t>
      </w:r>
      <w:r>
        <w:rPr>
          <w:rStyle w:val="Hervorhebung"/>
        </w:rPr>
        <w:t xml:space="preserve">The </w:t>
      </w:r>
      <w:proofErr w:type="spellStart"/>
      <w:r>
        <w:rPr>
          <w:rStyle w:val="Hervorhebung"/>
        </w:rPr>
        <w:t>Process</w:t>
      </w:r>
      <w:proofErr w:type="spellEnd"/>
      <w:r>
        <w:rPr>
          <w:rStyle w:val="Hervorhebung"/>
        </w:rPr>
        <w:t xml:space="preserve"> </w:t>
      </w:r>
      <w:proofErr w:type="spellStart"/>
      <w:r>
        <w:rPr>
          <w:rStyle w:val="Hervorhebung"/>
        </w:rPr>
        <w:t>of</w:t>
      </w:r>
      <w:proofErr w:type="spellEnd"/>
      <w:r>
        <w:rPr>
          <w:rStyle w:val="Hervorhebung"/>
        </w:rPr>
        <w:t xml:space="preserve"> Education</w:t>
      </w:r>
      <w:r>
        <w:t>. Harvard University Press.</w:t>
      </w:r>
      <w:r>
        <w:br/>
        <w:t>[18] Reinmann-</w:t>
      </w:r>
      <w:proofErr w:type="spellStart"/>
      <w:r>
        <w:t>Rothmeier</w:t>
      </w:r>
      <w:proofErr w:type="spellEnd"/>
      <w:r>
        <w:t xml:space="preserve">, G. &amp; Mandl, H. (2001). </w:t>
      </w:r>
      <w:r>
        <w:rPr>
          <w:rStyle w:val="Hervorhebung"/>
        </w:rPr>
        <w:t>Unterricht gestalten mit kognitiv-psychologischer Grundlage</w:t>
      </w:r>
      <w:r>
        <w:t xml:space="preserve">. In: Krapp &amp; Weidenmann (Hrsg.), </w:t>
      </w:r>
      <w:r>
        <w:rPr>
          <w:rStyle w:val="Hervorhebung"/>
        </w:rPr>
        <w:t>Pädagogische Psychologie</w:t>
      </w:r>
      <w:r>
        <w:t>.</w:t>
      </w:r>
      <w:r>
        <w:br/>
        <w:t xml:space="preserve">[20] </w:t>
      </w:r>
      <w:proofErr w:type="spellStart"/>
      <w:r>
        <w:t>Papert</w:t>
      </w:r>
      <w:proofErr w:type="spellEnd"/>
      <w:r>
        <w:t xml:space="preserve">, S. (1980). </w:t>
      </w:r>
      <w:r>
        <w:rPr>
          <w:rStyle w:val="Hervorhebung"/>
        </w:rPr>
        <w:t xml:space="preserve">Mindstorms: Children, Computers, and Powerful </w:t>
      </w:r>
      <w:proofErr w:type="spellStart"/>
      <w:r>
        <w:rPr>
          <w:rStyle w:val="Hervorhebung"/>
        </w:rPr>
        <w:t>Ideas</w:t>
      </w:r>
      <w:proofErr w:type="spellEnd"/>
      <w:r>
        <w:t>. Basic Books.</w:t>
      </w:r>
      <w:r>
        <w:br/>
        <w:t xml:space="preserve">[22] Hattie, J. (2009). </w:t>
      </w:r>
      <w:r>
        <w:rPr>
          <w:rStyle w:val="Hervorhebung"/>
        </w:rPr>
        <w:t xml:space="preserve">Visible Learning: A Synthesis </w:t>
      </w:r>
      <w:proofErr w:type="spellStart"/>
      <w:r>
        <w:rPr>
          <w:rStyle w:val="Hervorhebung"/>
        </w:rPr>
        <w:t>of</w:t>
      </w:r>
      <w:proofErr w:type="spellEnd"/>
      <w:r>
        <w:rPr>
          <w:rStyle w:val="Hervorhebung"/>
        </w:rPr>
        <w:t xml:space="preserve"> Over 800 Meta-</w:t>
      </w:r>
      <w:proofErr w:type="spellStart"/>
      <w:r>
        <w:rPr>
          <w:rStyle w:val="Hervorhebung"/>
        </w:rPr>
        <w:t>Analyses</w:t>
      </w:r>
      <w:proofErr w:type="spellEnd"/>
      <w:r>
        <w:rPr>
          <w:rStyle w:val="Hervorhebung"/>
        </w:rPr>
        <w:t xml:space="preserve"> </w:t>
      </w:r>
      <w:proofErr w:type="spellStart"/>
      <w:r>
        <w:rPr>
          <w:rStyle w:val="Hervorhebung"/>
        </w:rPr>
        <w:t>Relating</w:t>
      </w:r>
      <w:proofErr w:type="spellEnd"/>
      <w:r>
        <w:rPr>
          <w:rStyle w:val="Hervorhebung"/>
        </w:rPr>
        <w:t xml:space="preserve"> </w:t>
      </w:r>
      <w:proofErr w:type="spellStart"/>
      <w:r>
        <w:rPr>
          <w:rStyle w:val="Hervorhebung"/>
        </w:rPr>
        <w:t>to</w:t>
      </w:r>
      <w:proofErr w:type="spellEnd"/>
      <w:r>
        <w:rPr>
          <w:rStyle w:val="Hervorhebung"/>
        </w:rPr>
        <w:t xml:space="preserve"> Achievement</w:t>
      </w:r>
      <w:r>
        <w:t>. Routledge.</w:t>
      </w:r>
    </w:p>
    <w:p w14:paraId="321DAE00" w14:textId="77777777" w:rsidR="00A90F2E" w:rsidRDefault="00A90F2E" w:rsidP="00A90F2E">
      <w:pPr>
        <w:pStyle w:val="berschrift2"/>
      </w:pPr>
      <w:r>
        <w:rPr>
          <w:rStyle w:val="Fett"/>
          <w:b/>
          <w:bCs/>
        </w:rPr>
        <w:t>2.6 Fazit</w:t>
      </w:r>
    </w:p>
    <w:p w14:paraId="37A8F46B" w14:textId="77777777" w:rsidR="00A90F2E" w:rsidRDefault="00A90F2E" w:rsidP="00A90F2E">
      <w:pPr>
        <w:pStyle w:val="StandardWeb"/>
      </w:pPr>
      <w:r>
        <w:t>Die Analyse physikalischer Bezugssysteme aus historischer und didaktischer Perspektive zeigt deutlich, dass es sich dabei nicht lediglich um technische Werkzeuge zur Beschreibung von Bewegung handelt, sondern um erkenntnistheoretisch zentrale Konzepte, die unser Verständnis der physikalischen Welt grundlegend strukturieren. Von der aristotelischen Idee eines teleologisch geordneten Raums bis zur beobachterabhängigen Realität der Quantenmechanik spiegelt die Entwicklung physikalischer Bezugssysteme fundamentale Paradigmenwechsel in der Wissenschaftsgeschichte wider [3][4].</w:t>
      </w:r>
    </w:p>
    <w:p w14:paraId="67B56C1C" w14:textId="77777777" w:rsidR="00A90F2E" w:rsidRDefault="00A90F2E" w:rsidP="00A90F2E">
      <w:pPr>
        <w:pStyle w:val="StandardWeb"/>
      </w:pPr>
      <w:r>
        <w:t>Diese historische Dynamik bringt auch eine zunehmende Abstraktion und Komplexität mit sich – und damit steigende Anforderungen an die didaktische Vermittlung. Wie in Abschnitt 2.3 gezeigt wurde, reichen lineare Vermittlungsansätze oft nicht aus, um die Konzepte verständlich und lernwirksam zu erschließen. Stattdessen sind vernetzte Lernprozesse, visualisierende Hilfsmittel und kontextbezogene Anwendungen erforderlich, um den Zugang zu physikalischen Bezugssystemen zu erleichtern [12][14][15].</w:t>
      </w:r>
    </w:p>
    <w:p w14:paraId="360153B3" w14:textId="77777777" w:rsidR="00A90F2E" w:rsidRDefault="00A90F2E" w:rsidP="00A90F2E">
      <w:pPr>
        <w:pStyle w:val="StandardWeb"/>
      </w:pPr>
      <w:r>
        <w:t xml:space="preserve">Ein besonderes Potenzial zur Überwindung dieser Vermittlungsschwierigkeiten liegt im funktional-relationalen Bezugssystem, das in Abschnitt 2.4 eingeführt wurde. Es setzt auf aktives, kontextgebundenes Modellieren durch die Lernenden selbst und betont Perspektivität und Systembezug anstelle von Absolutheit und Objektivität. Damit eröffnet es einen Lernraum, </w:t>
      </w:r>
      <w:proofErr w:type="gramStart"/>
      <w:r>
        <w:t>in dem physikalisches Denken</w:t>
      </w:r>
      <w:proofErr w:type="gramEnd"/>
      <w:r>
        <w:t xml:space="preserve"> als aktiver, dynamischer und reflektierter Prozess begriffen wird [17][19][21].</w:t>
      </w:r>
    </w:p>
    <w:p w14:paraId="6BF4D896" w14:textId="77777777" w:rsidR="00A90F2E" w:rsidRDefault="00A90F2E" w:rsidP="00A90F2E">
      <w:pPr>
        <w:pStyle w:val="StandardWeb"/>
      </w:pPr>
      <w:r>
        <w:t xml:space="preserve">Die in Abschnitt 2.5 formulierten Empfehlungen – etwa das Spiralprinzip, hybride Konzepte, Visualisierungen, der produktive Umgang mit Fehlvorstellungen und modularisierte Lernarrangements – bilden ein integratives didaktisches Gerüst, um physikalische Bezugssysteme sowohl fachlich korrekt als auch lernpsychologisch wirksam zu vermitteln. Diese Konzepte eröffnen die Möglichkeit, physikalische Bezugssysteme nicht nur als </w:t>
      </w:r>
      <w:r>
        <w:lastRenderedPageBreak/>
        <w:t>mathematische Konstruktionen zu begreifen, sondern als Zugänge zu einem systemisch und perspektivisch differenzierten Weltbild.</w:t>
      </w:r>
    </w:p>
    <w:p w14:paraId="2B25D52D" w14:textId="77777777" w:rsidR="00A90F2E" w:rsidRDefault="00A90F2E" w:rsidP="00A90F2E">
      <w:pPr>
        <w:pStyle w:val="StandardWeb"/>
      </w:pPr>
      <w:r>
        <w:t>Insgesamt lässt sich feststellen: Die physikalische Idee des Bezugssystems ist mehr als eine methodische Notwendigkeit – sie ist Ausdruck einer bestimmten Sicht auf Welt und Erkenntnis. Ihre didaktische Erschließung muss dieser Komplexität gerecht werden. Nur so kann physikalisches Lernen zur Bildung im Sinne eines umfassenden Weltverstehens beitragen.</w:t>
      </w:r>
    </w:p>
    <w:p w14:paraId="3E3224C7" w14:textId="77777777" w:rsidR="00A90F2E" w:rsidRPr="00A11EFC" w:rsidRDefault="00A90F2E" w:rsidP="00A90F2E">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A11EFC">
        <w:rPr>
          <w:rFonts w:ascii="Segoe UI Emoji" w:eastAsia="Times New Roman" w:hAnsi="Segoe UI Emoji" w:cs="Segoe UI Emoji"/>
          <w:b/>
          <w:bCs/>
          <w:sz w:val="36"/>
          <w:szCs w:val="36"/>
          <w:lang w:eastAsia="de-DE"/>
        </w:rPr>
        <w:t>📚</w:t>
      </w:r>
      <w:r w:rsidRPr="00A11EFC">
        <w:rPr>
          <w:rFonts w:ascii="Times New Roman" w:eastAsia="Times New Roman" w:hAnsi="Times New Roman" w:cs="Times New Roman"/>
          <w:b/>
          <w:bCs/>
          <w:sz w:val="36"/>
          <w:szCs w:val="36"/>
          <w:lang w:eastAsia="de-DE"/>
        </w:rPr>
        <w:t xml:space="preserve"> Literaturverzeichnis Kapitel 2</w:t>
      </w:r>
    </w:p>
    <w:p w14:paraId="24B9B2A6" w14:textId="77777777" w:rsidR="00A90F2E" w:rsidRPr="00A11EFC" w:rsidRDefault="00A90F2E" w:rsidP="00A90F2E">
      <w:pPr>
        <w:spacing w:before="100" w:beforeAutospacing="1" w:after="100" w:afterAutospacing="1" w:line="240" w:lineRule="auto"/>
        <w:rPr>
          <w:rFonts w:ascii="Times New Roman" w:eastAsia="Times New Roman" w:hAnsi="Times New Roman" w:cs="Times New Roman"/>
          <w:sz w:val="24"/>
          <w:szCs w:val="24"/>
          <w:lang w:eastAsia="de-DE"/>
        </w:rPr>
      </w:pPr>
      <w:r w:rsidRPr="00A11EFC">
        <w:rPr>
          <w:rFonts w:ascii="Times New Roman" w:eastAsia="Times New Roman" w:hAnsi="Times New Roman" w:cs="Times New Roman"/>
          <w:sz w:val="24"/>
          <w:szCs w:val="24"/>
          <w:lang w:eastAsia="de-DE"/>
        </w:rPr>
        <w:t xml:space="preserve">[1] Jammer, M. (1954). </w:t>
      </w:r>
      <w:proofErr w:type="spellStart"/>
      <w:r w:rsidRPr="00A11EFC">
        <w:rPr>
          <w:rFonts w:ascii="Times New Roman" w:eastAsia="Times New Roman" w:hAnsi="Times New Roman" w:cs="Times New Roman"/>
          <w:i/>
          <w:iCs/>
          <w:sz w:val="24"/>
          <w:szCs w:val="24"/>
          <w:lang w:eastAsia="de-DE"/>
        </w:rPr>
        <w:t>Concepts</w:t>
      </w:r>
      <w:proofErr w:type="spellEnd"/>
      <w:r w:rsidRPr="00A11EFC">
        <w:rPr>
          <w:rFonts w:ascii="Times New Roman" w:eastAsia="Times New Roman" w:hAnsi="Times New Roman" w:cs="Times New Roman"/>
          <w:i/>
          <w:iCs/>
          <w:sz w:val="24"/>
          <w:szCs w:val="24"/>
          <w:lang w:eastAsia="de-DE"/>
        </w:rPr>
        <w:t xml:space="preserve"> of Space</w:t>
      </w:r>
      <w:r w:rsidRPr="00A11EFC">
        <w:rPr>
          <w:rFonts w:ascii="Times New Roman" w:eastAsia="Times New Roman" w:hAnsi="Times New Roman" w:cs="Times New Roman"/>
          <w:sz w:val="24"/>
          <w:szCs w:val="24"/>
          <w:lang w:eastAsia="de-DE"/>
        </w:rPr>
        <w:t>. Harvard University Press.</w:t>
      </w:r>
      <w:r w:rsidRPr="00A11EFC">
        <w:rPr>
          <w:rFonts w:ascii="Times New Roman" w:eastAsia="Times New Roman" w:hAnsi="Times New Roman" w:cs="Times New Roman"/>
          <w:sz w:val="24"/>
          <w:szCs w:val="24"/>
          <w:lang w:eastAsia="de-DE"/>
        </w:rPr>
        <w:br/>
        <w:t xml:space="preserve">[2] Kuhn, T. S. (1962). </w:t>
      </w:r>
      <w:r w:rsidRPr="00A11EFC">
        <w:rPr>
          <w:rFonts w:ascii="Times New Roman" w:eastAsia="Times New Roman" w:hAnsi="Times New Roman" w:cs="Times New Roman"/>
          <w:i/>
          <w:iCs/>
          <w:sz w:val="24"/>
          <w:szCs w:val="24"/>
          <w:lang w:eastAsia="de-DE"/>
        </w:rPr>
        <w:t xml:space="preserve">The </w:t>
      </w:r>
      <w:proofErr w:type="spellStart"/>
      <w:r w:rsidRPr="00A11EFC">
        <w:rPr>
          <w:rFonts w:ascii="Times New Roman" w:eastAsia="Times New Roman" w:hAnsi="Times New Roman" w:cs="Times New Roman"/>
          <w:i/>
          <w:iCs/>
          <w:sz w:val="24"/>
          <w:szCs w:val="24"/>
          <w:lang w:eastAsia="de-DE"/>
        </w:rPr>
        <w:t>Structure</w:t>
      </w:r>
      <w:proofErr w:type="spellEnd"/>
      <w:r w:rsidRPr="00A11EFC">
        <w:rPr>
          <w:rFonts w:ascii="Times New Roman" w:eastAsia="Times New Roman" w:hAnsi="Times New Roman" w:cs="Times New Roman"/>
          <w:i/>
          <w:iCs/>
          <w:sz w:val="24"/>
          <w:szCs w:val="24"/>
          <w:lang w:eastAsia="de-DE"/>
        </w:rPr>
        <w:t xml:space="preserve"> </w:t>
      </w:r>
      <w:proofErr w:type="spellStart"/>
      <w:r w:rsidRPr="00A11EFC">
        <w:rPr>
          <w:rFonts w:ascii="Times New Roman" w:eastAsia="Times New Roman" w:hAnsi="Times New Roman" w:cs="Times New Roman"/>
          <w:i/>
          <w:iCs/>
          <w:sz w:val="24"/>
          <w:szCs w:val="24"/>
          <w:lang w:eastAsia="de-DE"/>
        </w:rPr>
        <w:t>of</w:t>
      </w:r>
      <w:proofErr w:type="spellEnd"/>
      <w:r w:rsidRPr="00A11EFC">
        <w:rPr>
          <w:rFonts w:ascii="Times New Roman" w:eastAsia="Times New Roman" w:hAnsi="Times New Roman" w:cs="Times New Roman"/>
          <w:i/>
          <w:iCs/>
          <w:sz w:val="24"/>
          <w:szCs w:val="24"/>
          <w:lang w:eastAsia="de-DE"/>
        </w:rPr>
        <w:t xml:space="preserve"> Scientific </w:t>
      </w:r>
      <w:proofErr w:type="spellStart"/>
      <w:r w:rsidRPr="00A11EFC">
        <w:rPr>
          <w:rFonts w:ascii="Times New Roman" w:eastAsia="Times New Roman" w:hAnsi="Times New Roman" w:cs="Times New Roman"/>
          <w:i/>
          <w:iCs/>
          <w:sz w:val="24"/>
          <w:szCs w:val="24"/>
          <w:lang w:eastAsia="de-DE"/>
        </w:rPr>
        <w:t>Revolutions</w:t>
      </w:r>
      <w:proofErr w:type="spellEnd"/>
      <w:r w:rsidRPr="00A11EFC">
        <w:rPr>
          <w:rFonts w:ascii="Times New Roman" w:eastAsia="Times New Roman" w:hAnsi="Times New Roman" w:cs="Times New Roman"/>
          <w:sz w:val="24"/>
          <w:szCs w:val="24"/>
          <w:lang w:eastAsia="de-DE"/>
        </w:rPr>
        <w:t xml:space="preserve">. University </w:t>
      </w:r>
      <w:proofErr w:type="spellStart"/>
      <w:r w:rsidRPr="00A11EFC">
        <w:rPr>
          <w:rFonts w:ascii="Times New Roman" w:eastAsia="Times New Roman" w:hAnsi="Times New Roman" w:cs="Times New Roman"/>
          <w:sz w:val="24"/>
          <w:szCs w:val="24"/>
          <w:lang w:eastAsia="de-DE"/>
        </w:rPr>
        <w:t>of</w:t>
      </w:r>
      <w:proofErr w:type="spellEnd"/>
      <w:r w:rsidRPr="00A11EFC">
        <w:rPr>
          <w:rFonts w:ascii="Times New Roman" w:eastAsia="Times New Roman" w:hAnsi="Times New Roman" w:cs="Times New Roman"/>
          <w:sz w:val="24"/>
          <w:szCs w:val="24"/>
          <w:lang w:eastAsia="de-DE"/>
        </w:rPr>
        <w:t xml:space="preserve"> Chicago Press.</w:t>
      </w:r>
      <w:r w:rsidRPr="00A11EFC">
        <w:rPr>
          <w:rFonts w:ascii="Times New Roman" w:eastAsia="Times New Roman" w:hAnsi="Times New Roman" w:cs="Times New Roman"/>
          <w:sz w:val="24"/>
          <w:szCs w:val="24"/>
          <w:lang w:eastAsia="de-DE"/>
        </w:rPr>
        <w:br/>
        <w:t xml:space="preserve">[3] Cohen, I. B. (1985). </w:t>
      </w:r>
      <w:r w:rsidRPr="00A11EFC">
        <w:rPr>
          <w:rFonts w:ascii="Times New Roman" w:eastAsia="Times New Roman" w:hAnsi="Times New Roman" w:cs="Times New Roman"/>
          <w:i/>
          <w:iCs/>
          <w:sz w:val="24"/>
          <w:szCs w:val="24"/>
          <w:lang w:eastAsia="de-DE"/>
        </w:rPr>
        <w:t>Revolution in Science</w:t>
      </w:r>
      <w:r w:rsidRPr="00A11EFC">
        <w:rPr>
          <w:rFonts w:ascii="Times New Roman" w:eastAsia="Times New Roman" w:hAnsi="Times New Roman" w:cs="Times New Roman"/>
          <w:sz w:val="24"/>
          <w:szCs w:val="24"/>
          <w:lang w:eastAsia="de-DE"/>
        </w:rPr>
        <w:t xml:space="preserve">. </w:t>
      </w:r>
      <w:proofErr w:type="spellStart"/>
      <w:r w:rsidRPr="00A11EFC">
        <w:rPr>
          <w:rFonts w:ascii="Times New Roman" w:eastAsia="Times New Roman" w:hAnsi="Times New Roman" w:cs="Times New Roman"/>
          <w:sz w:val="24"/>
          <w:szCs w:val="24"/>
          <w:lang w:eastAsia="de-DE"/>
        </w:rPr>
        <w:t>Belknap</w:t>
      </w:r>
      <w:proofErr w:type="spellEnd"/>
      <w:r w:rsidRPr="00A11EFC">
        <w:rPr>
          <w:rFonts w:ascii="Times New Roman" w:eastAsia="Times New Roman" w:hAnsi="Times New Roman" w:cs="Times New Roman"/>
          <w:sz w:val="24"/>
          <w:szCs w:val="24"/>
          <w:lang w:eastAsia="de-DE"/>
        </w:rPr>
        <w:t xml:space="preserve"> Press.</w:t>
      </w:r>
      <w:r w:rsidRPr="00A11EFC">
        <w:rPr>
          <w:rFonts w:ascii="Times New Roman" w:eastAsia="Times New Roman" w:hAnsi="Times New Roman" w:cs="Times New Roman"/>
          <w:sz w:val="24"/>
          <w:szCs w:val="24"/>
          <w:lang w:eastAsia="de-DE"/>
        </w:rPr>
        <w:br/>
        <w:t xml:space="preserve">[4] Heisenberg, W. (1958). </w:t>
      </w:r>
      <w:r w:rsidRPr="00A11EFC">
        <w:rPr>
          <w:rFonts w:ascii="Times New Roman" w:eastAsia="Times New Roman" w:hAnsi="Times New Roman" w:cs="Times New Roman"/>
          <w:i/>
          <w:iCs/>
          <w:sz w:val="24"/>
          <w:szCs w:val="24"/>
          <w:lang w:eastAsia="de-DE"/>
        </w:rPr>
        <w:t>Physics and Philosophy</w:t>
      </w:r>
      <w:r w:rsidRPr="00A11EFC">
        <w:rPr>
          <w:rFonts w:ascii="Times New Roman" w:eastAsia="Times New Roman" w:hAnsi="Times New Roman" w:cs="Times New Roman"/>
          <w:sz w:val="24"/>
          <w:szCs w:val="24"/>
          <w:lang w:eastAsia="de-DE"/>
        </w:rPr>
        <w:t xml:space="preserve">. Harper &amp; </w:t>
      </w:r>
      <w:proofErr w:type="spellStart"/>
      <w:r w:rsidRPr="00A11EFC">
        <w:rPr>
          <w:rFonts w:ascii="Times New Roman" w:eastAsia="Times New Roman" w:hAnsi="Times New Roman" w:cs="Times New Roman"/>
          <w:sz w:val="24"/>
          <w:szCs w:val="24"/>
          <w:lang w:eastAsia="de-DE"/>
        </w:rPr>
        <w:t>Row</w:t>
      </w:r>
      <w:proofErr w:type="spellEnd"/>
      <w:r w:rsidRPr="00A11EFC">
        <w:rPr>
          <w:rFonts w:ascii="Times New Roman" w:eastAsia="Times New Roman" w:hAnsi="Times New Roman" w:cs="Times New Roman"/>
          <w:sz w:val="24"/>
          <w:szCs w:val="24"/>
          <w:lang w:eastAsia="de-DE"/>
        </w:rPr>
        <w:t>.</w:t>
      </w:r>
      <w:r w:rsidRPr="00A11EFC">
        <w:rPr>
          <w:rFonts w:ascii="Times New Roman" w:eastAsia="Times New Roman" w:hAnsi="Times New Roman" w:cs="Times New Roman"/>
          <w:sz w:val="24"/>
          <w:szCs w:val="24"/>
          <w:lang w:eastAsia="de-DE"/>
        </w:rPr>
        <w:br/>
        <w:t xml:space="preserve">[5] Piaget, J. (1972). </w:t>
      </w:r>
      <w:r w:rsidRPr="00A11EFC">
        <w:rPr>
          <w:rFonts w:ascii="Times New Roman" w:eastAsia="Times New Roman" w:hAnsi="Times New Roman" w:cs="Times New Roman"/>
          <w:i/>
          <w:iCs/>
          <w:sz w:val="24"/>
          <w:szCs w:val="24"/>
          <w:lang w:eastAsia="de-DE"/>
        </w:rPr>
        <w:t xml:space="preserve">The </w:t>
      </w:r>
      <w:proofErr w:type="spellStart"/>
      <w:r w:rsidRPr="00A11EFC">
        <w:rPr>
          <w:rFonts w:ascii="Times New Roman" w:eastAsia="Times New Roman" w:hAnsi="Times New Roman" w:cs="Times New Roman"/>
          <w:i/>
          <w:iCs/>
          <w:sz w:val="24"/>
          <w:szCs w:val="24"/>
          <w:lang w:eastAsia="de-DE"/>
        </w:rPr>
        <w:t>Principles</w:t>
      </w:r>
      <w:proofErr w:type="spellEnd"/>
      <w:r w:rsidRPr="00A11EFC">
        <w:rPr>
          <w:rFonts w:ascii="Times New Roman" w:eastAsia="Times New Roman" w:hAnsi="Times New Roman" w:cs="Times New Roman"/>
          <w:i/>
          <w:iCs/>
          <w:sz w:val="24"/>
          <w:szCs w:val="24"/>
          <w:lang w:eastAsia="de-DE"/>
        </w:rPr>
        <w:t xml:space="preserve"> </w:t>
      </w:r>
      <w:proofErr w:type="spellStart"/>
      <w:r w:rsidRPr="00A11EFC">
        <w:rPr>
          <w:rFonts w:ascii="Times New Roman" w:eastAsia="Times New Roman" w:hAnsi="Times New Roman" w:cs="Times New Roman"/>
          <w:i/>
          <w:iCs/>
          <w:sz w:val="24"/>
          <w:szCs w:val="24"/>
          <w:lang w:eastAsia="de-DE"/>
        </w:rPr>
        <w:t>of</w:t>
      </w:r>
      <w:proofErr w:type="spellEnd"/>
      <w:r w:rsidRPr="00A11EFC">
        <w:rPr>
          <w:rFonts w:ascii="Times New Roman" w:eastAsia="Times New Roman" w:hAnsi="Times New Roman" w:cs="Times New Roman"/>
          <w:i/>
          <w:iCs/>
          <w:sz w:val="24"/>
          <w:szCs w:val="24"/>
          <w:lang w:eastAsia="de-DE"/>
        </w:rPr>
        <w:t xml:space="preserve"> Genetic </w:t>
      </w:r>
      <w:proofErr w:type="spellStart"/>
      <w:r w:rsidRPr="00A11EFC">
        <w:rPr>
          <w:rFonts w:ascii="Times New Roman" w:eastAsia="Times New Roman" w:hAnsi="Times New Roman" w:cs="Times New Roman"/>
          <w:i/>
          <w:iCs/>
          <w:sz w:val="24"/>
          <w:szCs w:val="24"/>
          <w:lang w:eastAsia="de-DE"/>
        </w:rPr>
        <w:t>Epistemology</w:t>
      </w:r>
      <w:proofErr w:type="spellEnd"/>
      <w:r w:rsidRPr="00A11EFC">
        <w:rPr>
          <w:rFonts w:ascii="Times New Roman" w:eastAsia="Times New Roman" w:hAnsi="Times New Roman" w:cs="Times New Roman"/>
          <w:sz w:val="24"/>
          <w:szCs w:val="24"/>
          <w:lang w:eastAsia="de-DE"/>
        </w:rPr>
        <w:t>. Routledge.</w:t>
      </w:r>
      <w:r w:rsidRPr="00A11EFC">
        <w:rPr>
          <w:rFonts w:ascii="Times New Roman" w:eastAsia="Times New Roman" w:hAnsi="Times New Roman" w:cs="Times New Roman"/>
          <w:sz w:val="24"/>
          <w:szCs w:val="24"/>
          <w:lang w:eastAsia="de-DE"/>
        </w:rPr>
        <w:br/>
        <w:t xml:space="preserve">[6] Galilei, G. (1632). </w:t>
      </w:r>
      <w:proofErr w:type="spellStart"/>
      <w:r w:rsidRPr="00A11EFC">
        <w:rPr>
          <w:rFonts w:ascii="Times New Roman" w:eastAsia="Times New Roman" w:hAnsi="Times New Roman" w:cs="Times New Roman"/>
          <w:i/>
          <w:iCs/>
          <w:sz w:val="24"/>
          <w:szCs w:val="24"/>
          <w:lang w:eastAsia="de-DE"/>
        </w:rPr>
        <w:t>Dialogues</w:t>
      </w:r>
      <w:proofErr w:type="spellEnd"/>
      <w:r w:rsidRPr="00A11EFC">
        <w:rPr>
          <w:rFonts w:ascii="Times New Roman" w:eastAsia="Times New Roman" w:hAnsi="Times New Roman" w:cs="Times New Roman"/>
          <w:i/>
          <w:iCs/>
          <w:sz w:val="24"/>
          <w:szCs w:val="24"/>
          <w:lang w:eastAsia="de-DE"/>
        </w:rPr>
        <w:t xml:space="preserve"> </w:t>
      </w:r>
      <w:proofErr w:type="spellStart"/>
      <w:r w:rsidRPr="00A11EFC">
        <w:rPr>
          <w:rFonts w:ascii="Times New Roman" w:eastAsia="Times New Roman" w:hAnsi="Times New Roman" w:cs="Times New Roman"/>
          <w:i/>
          <w:iCs/>
          <w:sz w:val="24"/>
          <w:szCs w:val="24"/>
          <w:lang w:eastAsia="de-DE"/>
        </w:rPr>
        <w:t>Concerning</w:t>
      </w:r>
      <w:proofErr w:type="spellEnd"/>
      <w:r w:rsidRPr="00A11EFC">
        <w:rPr>
          <w:rFonts w:ascii="Times New Roman" w:eastAsia="Times New Roman" w:hAnsi="Times New Roman" w:cs="Times New Roman"/>
          <w:i/>
          <w:iCs/>
          <w:sz w:val="24"/>
          <w:szCs w:val="24"/>
          <w:lang w:eastAsia="de-DE"/>
        </w:rPr>
        <w:t xml:space="preserve"> </w:t>
      </w:r>
      <w:proofErr w:type="spellStart"/>
      <w:r w:rsidRPr="00A11EFC">
        <w:rPr>
          <w:rFonts w:ascii="Times New Roman" w:eastAsia="Times New Roman" w:hAnsi="Times New Roman" w:cs="Times New Roman"/>
          <w:i/>
          <w:iCs/>
          <w:sz w:val="24"/>
          <w:szCs w:val="24"/>
          <w:lang w:eastAsia="de-DE"/>
        </w:rPr>
        <w:t>Two</w:t>
      </w:r>
      <w:proofErr w:type="spellEnd"/>
      <w:r w:rsidRPr="00A11EFC">
        <w:rPr>
          <w:rFonts w:ascii="Times New Roman" w:eastAsia="Times New Roman" w:hAnsi="Times New Roman" w:cs="Times New Roman"/>
          <w:i/>
          <w:iCs/>
          <w:sz w:val="24"/>
          <w:szCs w:val="24"/>
          <w:lang w:eastAsia="de-DE"/>
        </w:rPr>
        <w:t xml:space="preserve"> New Sciences</w:t>
      </w:r>
      <w:r w:rsidRPr="00A11EFC">
        <w:rPr>
          <w:rFonts w:ascii="Times New Roman" w:eastAsia="Times New Roman" w:hAnsi="Times New Roman" w:cs="Times New Roman"/>
          <w:sz w:val="24"/>
          <w:szCs w:val="24"/>
          <w:lang w:eastAsia="de-DE"/>
        </w:rPr>
        <w:t xml:space="preserve">. </w:t>
      </w:r>
      <w:proofErr w:type="spellStart"/>
      <w:r w:rsidRPr="00A11EFC">
        <w:rPr>
          <w:rFonts w:ascii="Times New Roman" w:eastAsia="Times New Roman" w:hAnsi="Times New Roman" w:cs="Times New Roman"/>
          <w:sz w:val="24"/>
          <w:szCs w:val="24"/>
          <w:lang w:eastAsia="de-DE"/>
        </w:rPr>
        <w:t>Leyden</w:t>
      </w:r>
      <w:proofErr w:type="spellEnd"/>
      <w:r w:rsidRPr="00A11EFC">
        <w:rPr>
          <w:rFonts w:ascii="Times New Roman" w:eastAsia="Times New Roman" w:hAnsi="Times New Roman" w:cs="Times New Roman"/>
          <w:sz w:val="24"/>
          <w:szCs w:val="24"/>
          <w:lang w:eastAsia="de-DE"/>
        </w:rPr>
        <w:t>.</w:t>
      </w:r>
      <w:r w:rsidRPr="00A11EFC">
        <w:rPr>
          <w:rFonts w:ascii="Times New Roman" w:eastAsia="Times New Roman" w:hAnsi="Times New Roman" w:cs="Times New Roman"/>
          <w:sz w:val="24"/>
          <w:szCs w:val="24"/>
          <w:lang w:eastAsia="de-DE"/>
        </w:rPr>
        <w:br/>
        <w:t xml:space="preserve">[7] Aristoteles (ca. 350 v. Chr.). </w:t>
      </w:r>
      <w:r w:rsidRPr="00A11EFC">
        <w:rPr>
          <w:rFonts w:ascii="Times New Roman" w:eastAsia="Times New Roman" w:hAnsi="Times New Roman" w:cs="Times New Roman"/>
          <w:i/>
          <w:iCs/>
          <w:sz w:val="24"/>
          <w:szCs w:val="24"/>
          <w:lang w:eastAsia="de-DE"/>
        </w:rPr>
        <w:t>Physik</w:t>
      </w:r>
      <w:r w:rsidRPr="00A11EFC">
        <w:rPr>
          <w:rFonts w:ascii="Times New Roman" w:eastAsia="Times New Roman" w:hAnsi="Times New Roman" w:cs="Times New Roman"/>
          <w:sz w:val="24"/>
          <w:szCs w:val="24"/>
          <w:lang w:eastAsia="de-DE"/>
        </w:rPr>
        <w:t>. Buch IV.</w:t>
      </w:r>
      <w:r w:rsidRPr="00A11EFC">
        <w:rPr>
          <w:rFonts w:ascii="Times New Roman" w:eastAsia="Times New Roman" w:hAnsi="Times New Roman" w:cs="Times New Roman"/>
          <w:sz w:val="24"/>
          <w:szCs w:val="24"/>
          <w:lang w:eastAsia="de-DE"/>
        </w:rPr>
        <w:br/>
        <w:t xml:space="preserve">[8] Galilei, G. (1632). </w:t>
      </w:r>
      <w:r w:rsidRPr="00A11EFC">
        <w:rPr>
          <w:rFonts w:ascii="Times New Roman" w:eastAsia="Times New Roman" w:hAnsi="Times New Roman" w:cs="Times New Roman"/>
          <w:i/>
          <w:iCs/>
          <w:sz w:val="24"/>
          <w:szCs w:val="24"/>
          <w:lang w:eastAsia="de-DE"/>
        </w:rPr>
        <w:t>Dialog über die zwei hauptsächlichen Weltsysteme</w:t>
      </w:r>
      <w:r w:rsidRPr="00A11EFC">
        <w:rPr>
          <w:rFonts w:ascii="Times New Roman" w:eastAsia="Times New Roman" w:hAnsi="Times New Roman" w:cs="Times New Roman"/>
          <w:sz w:val="24"/>
          <w:szCs w:val="24"/>
          <w:lang w:eastAsia="de-DE"/>
        </w:rPr>
        <w:t>. Florenz.</w:t>
      </w:r>
      <w:r w:rsidRPr="00A11EFC">
        <w:rPr>
          <w:rFonts w:ascii="Times New Roman" w:eastAsia="Times New Roman" w:hAnsi="Times New Roman" w:cs="Times New Roman"/>
          <w:sz w:val="24"/>
          <w:szCs w:val="24"/>
          <w:lang w:eastAsia="de-DE"/>
        </w:rPr>
        <w:br/>
        <w:t xml:space="preserve">[9] Newton, I. (1687). </w:t>
      </w:r>
      <w:proofErr w:type="spellStart"/>
      <w:r w:rsidRPr="00A11EFC">
        <w:rPr>
          <w:rFonts w:ascii="Times New Roman" w:eastAsia="Times New Roman" w:hAnsi="Times New Roman" w:cs="Times New Roman"/>
          <w:i/>
          <w:iCs/>
          <w:sz w:val="24"/>
          <w:szCs w:val="24"/>
          <w:lang w:eastAsia="de-DE"/>
        </w:rPr>
        <w:t>Philosophiæ</w:t>
      </w:r>
      <w:proofErr w:type="spellEnd"/>
      <w:r w:rsidRPr="00A11EFC">
        <w:rPr>
          <w:rFonts w:ascii="Times New Roman" w:eastAsia="Times New Roman" w:hAnsi="Times New Roman" w:cs="Times New Roman"/>
          <w:i/>
          <w:iCs/>
          <w:sz w:val="24"/>
          <w:szCs w:val="24"/>
          <w:lang w:eastAsia="de-DE"/>
        </w:rPr>
        <w:t xml:space="preserve"> Naturalis Principia Mathematica</w:t>
      </w:r>
      <w:r w:rsidRPr="00A11EFC">
        <w:rPr>
          <w:rFonts w:ascii="Times New Roman" w:eastAsia="Times New Roman" w:hAnsi="Times New Roman" w:cs="Times New Roman"/>
          <w:sz w:val="24"/>
          <w:szCs w:val="24"/>
          <w:lang w:eastAsia="de-DE"/>
        </w:rPr>
        <w:t>. London.</w:t>
      </w:r>
      <w:r w:rsidRPr="00A11EFC">
        <w:rPr>
          <w:rFonts w:ascii="Times New Roman" w:eastAsia="Times New Roman" w:hAnsi="Times New Roman" w:cs="Times New Roman"/>
          <w:sz w:val="24"/>
          <w:szCs w:val="24"/>
          <w:lang w:eastAsia="de-DE"/>
        </w:rPr>
        <w:br/>
        <w:t xml:space="preserve">[10] Einstein, A. (1905, 1915). </w:t>
      </w:r>
      <w:r w:rsidRPr="00A11EFC">
        <w:rPr>
          <w:rFonts w:ascii="Times New Roman" w:eastAsia="Times New Roman" w:hAnsi="Times New Roman" w:cs="Times New Roman"/>
          <w:i/>
          <w:iCs/>
          <w:sz w:val="24"/>
          <w:szCs w:val="24"/>
          <w:lang w:eastAsia="de-DE"/>
        </w:rPr>
        <w:t>Zur Elektrodynamik bewegter Körper</w:t>
      </w:r>
      <w:r w:rsidRPr="00A11EFC">
        <w:rPr>
          <w:rFonts w:ascii="Times New Roman" w:eastAsia="Times New Roman" w:hAnsi="Times New Roman" w:cs="Times New Roman"/>
          <w:sz w:val="24"/>
          <w:szCs w:val="24"/>
          <w:lang w:eastAsia="de-DE"/>
        </w:rPr>
        <w:t xml:space="preserve">; </w:t>
      </w:r>
      <w:r w:rsidRPr="00A11EFC">
        <w:rPr>
          <w:rFonts w:ascii="Times New Roman" w:eastAsia="Times New Roman" w:hAnsi="Times New Roman" w:cs="Times New Roman"/>
          <w:i/>
          <w:iCs/>
          <w:sz w:val="24"/>
          <w:szCs w:val="24"/>
          <w:lang w:eastAsia="de-DE"/>
        </w:rPr>
        <w:t>Allgemeine Relativitätstheorie</w:t>
      </w:r>
      <w:r w:rsidRPr="00A11EFC">
        <w:rPr>
          <w:rFonts w:ascii="Times New Roman" w:eastAsia="Times New Roman" w:hAnsi="Times New Roman" w:cs="Times New Roman"/>
          <w:sz w:val="24"/>
          <w:szCs w:val="24"/>
          <w:lang w:eastAsia="de-DE"/>
        </w:rPr>
        <w:t>.</w:t>
      </w:r>
      <w:r w:rsidRPr="00A11EFC">
        <w:rPr>
          <w:rFonts w:ascii="Times New Roman" w:eastAsia="Times New Roman" w:hAnsi="Times New Roman" w:cs="Times New Roman"/>
          <w:sz w:val="24"/>
          <w:szCs w:val="24"/>
          <w:lang w:eastAsia="de-DE"/>
        </w:rPr>
        <w:br/>
        <w:t xml:space="preserve">[11] Heisenberg, W. (1927). </w:t>
      </w:r>
      <w:r w:rsidRPr="00A11EFC">
        <w:rPr>
          <w:rFonts w:ascii="Times New Roman" w:eastAsia="Times New Roman" w:hAnsi="Times New Roman" w:cs="Times New Roman"/>
          <w:i/>
          <w:iCs/>
          <w:sz w:val="24"/>
          <w:szCs w:val="24"/>
          <w:lang w:eastAsia="de-DE"/>
        </w:rPr>
        <w:t>Über den anschaulichen Inhalt der quantentheoretischen Kinematik und Mechanik</w:t>
      </w:r>
      <w:r w:rsidRPr="00A11EFC">
        <w:rPr>
          <w:rFonts w:ascii="Times New Roman" w:eastAsia="Times New Roman" w:hAnsi="Times New Roman" w:cs="Times New Roman"/>
          <w:sz w:val="24"/>
          <w:szCs w:val="24"/>
          <w:lang w:eastAsia="de-DE"/>
        </w:rPr>
        <w:t>.</w:t>
      </w:r>
      <w:r w:rsidRPr="00A11EFC">
        <w:rPr>
          <w:rFonts w:ascii="Times New Roman" w:eastAsia="Times New Roman" w:hAnsi="Times New Roman" w:cs="Times New Roman"/>
          <w:sz w:val="24"/>
          <w:szCs w:val="24"/>
          <w:lang w:eastAsia="de-DE"/>
        </w:rPr>
        <w:br/>
        <w:t xml:space="preserve">[12] </w:t>
      </w:r>
      <w:proofErr w:type="spellStart"/>
      <w:r w:rsidRPr="00A11EFC">
        <w:rPr>
          <w:rFonts w:ascii="Times New Roman" w:eastAsia="Times New Roman" w:hAnsi="Times New Roman" w:cs="Times New Roman"/>
          <w:sz w:val="24"/>
          <w:szCs w:val="24"/>
          <w:lang w:eastAsia="de-DE"/>
        </w:rPr>
        <w:t>Duit</w:t>
      </w:r>
      <w:proofErr w:type="spellEnd"/>
      <w:r w:rsidRPr="00A11EFC">
        <w:rPr>
          <w:rFonts w:ascii="Times New Roman" w:eastAsia="Times New Roman" w:hAnsi="Times New Roman" w:cs="Times New Roman"/>
          <w:sz w:val="24"/>
          <w:szCs w:val="24"/>
          <w:lang w:eastAsia="de-DE"/>
        </w:rPr>
        <w:t xml:space="preserve">, R. (2004). </w:t>
      </w:r>
      <w:r w:rsidRPr="00A11EFC">
        <w:rPr>
          <w:rFonts w:ascii="Times New Roman" w:eastAsia="Times New Roman" w:hAnsi="Times New Roman" w:cs="Times New Roman"/>
          <w:i/>
          <w:iCs/>
          <w:sz w:val="24"/>
          <w:szCs w:val="24"/>
          <w:lang w:eastAsia="de-DE"/>
        </w:rPr>
        <w:t>Schülervorstellungen und Physikunterricht</w:t>
      </w:r>
      <w:r w:rsidRPr="00A11EFC">
        <w:rPr>
          <w:rFonts w:ascii="Times New Roman" w:eastAsia="Times New Roman" w:hAnsi="Times New Roman" w:cs="Times New Roman"/>
          <w:sz w:val="24"/>
          <w:szCs w:val="24"/>
          <w:lang w:eastAsia="de-DE"/>
        </w:rPr>
        <w:t>. In: Komorek et al. (Hrsg.).</w:t>
      </w:r>
      <w:r w:rsidRPr="00A11EFC">
        <w:rPr>
          <w:rFonts w:ascii="Times New Roman" w:eastAsia="Times New Roman" w:hAnsi="Times New Roman" w:cs="Times New Roman"/>
          <w:sz w:val="24"/>
          <w:szCs w:val="24"/>
          <w:lang w:eastAsia="de-DE"/>
        </w:rPr>
        <w:br/>
        <w:t xml:space="preserve">[13] Kuhn, T. S. (1962). </w:t>
      </w:r>
      <w:r w:rsidRPr="00A11EFC">
        <w:rPr>
          <w:rFonts w:ascii="Times New Roman" w:eastAsia="Times New Roman" w:hAnsi="Times New Roman" w:cs="Times New Roman"/>
          <w:i/>
          <w:iCs/>
          <w:sz w:val="24"/>
          <w:szCs w:val="24"/>
          <w:lang w:eastAsia="de-DE"/>
        </w:rPr>
        <w:t xml:space="preserve">The </w:t>
      </w:r>
      <w:proofErr w:type="spellStart"/>
      <w:r w:rsidRPr="00A11EFC">
        <w:rPr>
          <w:rFonts w:ascii="Times New Roman" w:eastAsia="Times New Roman" w:hAnsi="Times New Roman" w:cs="Times New Roman"/>
          <w:i/>
          <w:iCs/>
          <w:sz w:val="24"/>
          <w:szCs w:val="24"/>
          <w:lang w:eastAsia="de-DE"/>
        </w:rPr>
        <w:t>Structure</w:t>
      </w:r>
      <w:proofErr w:type="spellEnd"/>
      <w:r w:rsidRPr="00A11EFC">
        <w:rPr>
          <w:rFonts w:ascii="Times New Roman" w:eastAsia="Times New Roman" w:hAnsi="Times New Roman" w:cs="Times New Roman"/>
          <w:i/>
          <w:iCs/>
          <w:sz w:val="24"/>
          <w:szCs w:val="24"/>
          <w:lang w:eastAsia="de-DE"/>
        </w:rPr>
        <w:t xml:space="preserve"> </w:t>
      </w:r>
      <w:proofErr w:type="spellStart"/>
      <w:r w:rsidRPr="00A11EFC">
        <w:rPr>
          <w:rFonts w:ascii="Times New Roman" w:eastAsia="Times New Roman" w:hAnsi="Times New Roman" w:cs="Times New Roman"/>
          <w:i/>
          <w:iCs/>
          <w:sz w:val="24"/>
          <w:szCs w:val="24"/>
          <w:lang w:eastAsia="de-DE"/>
        </w:rPr>
        <w:t>of</w:t>
      </w:r>
      <w:proofErr w:type="spellEnd"/>
      <w:r w:rsidRPr="00A11EFC">
        <w:rPr>
          <w:rFonts w:ascii="Times New Roman" w:eastAsia="Times New Roman" w:hAnsi="Times New Roman" w:cs="Times New Roman"/>
          <w:i/>
          <w:iCs/>
          <w:sz w:val="24"/>
          <w:szCs w:val="24"/>
          <w:lang w:eastAsia="de-DE"/>
        </w:rPr>
        <w:t xml:space="preserve"> Scientific </w:t>
      </w:r>
      <w:proofErr w:type="spellStart"/>
      <w:r w:rsidRPr="00A11EFC">
        <w:rPr>
          <w:rFonts w:ascii="Times New Roman" w:eastAsia="Times New Roman" w:hAnsi="Times New Roman" w:cs="Times New Roman"/>
          <w:i/>
          <w:iCs/>
          <w:sz w:val="24"/>
          <w:szCs w:val="24"/>
          <w:lang w:eastAsia="de-DE"/>
        </w:rPr>
        <w:t>Revolutions</w:t>
      </w:r>
      <w:proofErr w:type="spellEnd"/>
      <w:r w:rsidRPr="00A11EFC">
        <w:rPr>
          <w:rFonts w:ascii="Times New Roman" w:eastAsia="Times New Roman" w:hAnsi="Times New Roman" w:cs="Times New Roman"/>
          <w:sz w:val="24"/>
          <w:szCs w:val="24"/>
          <w:lang w:eastAsia="de-DE"/>
        </w:rPr>
        <w:t>.</w:t>
      </w:r>
      <w:r w:rsidRPr="00A11EFC">
        <w:rPr>
          <w:rFonts w:ascii="Times New Roman" w:eastAsia="Times New Roman" w:hAnsi="Times New Roman" w:cs="Times New Roman"/>
          <w:sz w:val="24"/>
          <w:szCs w:val="24"/>
          <w:lang w:eastAsia="de-DE"/>
        </w:rPr>
        <w:br/>
        <w:t xml:space="preserve">[14] </w:t>
      </w:r>
      <w:proofErr w:type="spellStart"/>
      <w:r w:rsidRPr="00A11EFC">
        <w:rPr>
          <w:rFonts w:ascii="Times New Roman" w:eastAsia="Times New Roman" w:hAnsi="Times New Roman" w:cs="Times New Roman"/>
          <w:sz w:val="24"/>
          <w:szCs w:val="24"/>
          <w:lang w:eastAsia="de-DE"/>
        </w:rPr>
        <w:t>Sweller</w:t>
      </w:r>
      <w:proofErr w:type="spellEnd"/>
      <w:r w:rsidRPr="00A11EFC">
        <w:rPr>
          <w:rFonts w:ascii="Times New Roman" w:eastAsia="Times New Roman" w:hAnsi="Times New Roman" w:cs="Times New Roman"/>
          <w:sz w:val="24"/>
          <w:szCs w:val="24"/>
          <w:lang w:eastAsia="de-DE"/>
        </w:rPr>
        <w:t xml:space="preserve">, J. (1988). </w:t>
      </w:r>
      <w:proofErr w:type="spellStart"/>
      <w:r w:rsidRPr="00A11EFC">
        <w:rPr>
          <w:rFonts w:ascii="Times New Roman" w:eastAsia="Times New Roman" w:hAnsi="Times New Roman" w:cs="Times New Roman"/>
          <w:i/>
          <w:iCs/>
          <w:sz w:val="24"/>
          <w:szCs w:val="24"/>
          <w:lang w:eastAsia="de-DE"/>
        </w:rPr>
        <w:t>Cognitive</w:t>
      </w:r>
      <w:proofErr w:type="spellEnd"/>
      <w:r w:rsidRPr="00A11EFC">
        <w:rPr>
          <w:rFonts w:ascii="Times New Roman" w:eastAsia="Times New Roman" w:hAnsi="Times New Roman" w:cs="Times New Roman"/>
          <w:i/>
          <w:iCs/>
          <w:sz w:val="24"/>
          <w:szCs w:val="24"/>
          <w:lang w:eastAsia="de-DE"/>
        </w:rPr>
        <w:t xml:space="preserve"> Load Theory</w:t>
      </w:r>
      <w:r w:rsidRPr="00A11EFC">
        <w:rPr>
          <w:rFonts w:ascii="Times New Roman" w:eastAsia="Times New Roman" w:hAnsi="Times New Roman" w:cs="Times New Roman"/>
          <w:sz w:val="24"/>
          <w:szCs w:val="24"/>
          <w:lang w:eastAsia="de-DE"/>
        </w:rPr>
        <w:t xml:space="preserve">. </w:t>
      </w:r>
      <w:proofErr w:type="spellStart"/>
      <w:r w:rsidRPr="00A11EFC">
        <w:rPr>
          <w:rFonts w:ascii="Times New Roman" w:eastAsia="Times New Roman" w:hAnsi="Times New Roman" w:cs="Times New Roman"/>
          <w:i/>
          <w:iCs/>
          <w:sz w:val="24"/>
          <w:szCs w:val="24"/>
          <w:lang w:eastAsia="de-DE"/>
        </w:rPr>
        <w:t>Cognitive</w:t>
      </w:r>
      <w:proofErr w:type="spellEnd"/>
      <w:r w:rsidRPr="00A11EFC">
        <w:rPr>
          <w:rFonts w:ascii="Times New Roman" w:eastAsia="Times New Roman" w:hAnsi="Times New Roman" w:cs="Times New Roman"/>
          <w:i/>
          <w:iCs/>
          <w:sz w:val="24"/>
          <w:szCs w:val="24"/>
          <w:lang w:eastAsia="de-DE"/>
        </w:rPr>
        <w:t xml:space="preserve"> Science</w:t>
      </w:r>
      <w:r w:rsidRPr="00A11EFC">
        <w:rPr>
          <w:rFonts w:ascii="Times New Roman" w:eastAsia="Times New Roman" w:hAnsi="Times New Roman" w:cs="Times New Roman"/>
          <w:sz w:val="24"/>
          <w:szCs w:val="24"/>
          <w:lang w:eastAsia="de-DE"/>
        </w:rPr>
        <w:t>, 12(2), 257–285.</w:t>
      </w:r>
      <w:r w:rsidRPr="00A11EFC">
        <w:rPr>
          <w:rFonts w:ascii="Times New Roman" w:eastAsia="Times New Roman" w:hAnsi="Times New Roman" w:cs="Times New Roman"/>
          <w:sz w:val="24"/>
          <w:szCs w:val="24"/>
          <w:lang w:eastAsia="de-DE"/>
        </w:rPr>
        <w:br/>
        <w:t xml:space="preserve">[15] Spitzer, M. (2012). </w:t>
      </w:r>
      <w:r w:rsidRPr="00A11EFC">
        <w:rPr>
          <w:rFonts w:ascii="Times New Roman" w:eastAsia="Times New Roman" w:hAnsi="Times New Roman" w:cs="Times New Roman"/>
          <w:i/>
          <w:iCs/>
          <w:sz w:val="24"/>
          <w:szCs w:val="24"/>
          <w:lang w:eastAsia="de-DE"/>
        </w:rPr>
        <w:t>Digitale Demenz</w:t>
      </w:r>
      <w:r w:rsidRPr="00A11EFC">
        <w:rPr>
          <w:rFonts w:ascii="Times New Roman" w:eastAsia="Times New Roman" w:hAnsi="Times New Roman" w:cs="Times New Roman"/>
          <w:sz w:val="24"/>
          <w:szCs w:val="24"/>
          <w:lang w:eastAsia="de-DE"/>
        </w:rPr>
        <w:t>. Droemer.</w:t>
      </w:r>
      <w:r w:rsidRPr="00A11EFC">
        <w:rPr>
          <w:rFonts w:ascii="Times New Roman" w:eastAsia="Times New Roman" w:hAnsi="Times New Roman" w:cs="Times New Roman"/>
          <w:sz w:val="24"/>
          <w:szCs w:val="24"/>
          <w:lang w:eastAsia="de-DE"/>
        </w:rPr>
        <w:br/>
        <w:t xml:space="preserve">[16] Roth, G. (2013). </w:t>
      </w:r>
      <w:r w:rsidRPr="00A11EFC">
        <w:rPr>
          <w:rFonts w:ascii="Times New Roman" w:eastAsia="Times New Roman" w:hAnsi="Times New Roman" w:cs="Times New Roman"/>
          <w:i/>
          <w:iCs/>
          <w:sz w:val="24"/>
          <w:szCs w:val="24"/>
          <w:lang w:eastAsia="de-DE"/>
        </w:rPr>
        <w:t>Bildung braucht Persönlichkeit</w:t>
      </w:r>
      <w:r w:rsidRPr="00A11EFC">
        <w:rPr>
          <w:rFonts w:ascii="Times New Roman" w:eastAsia="Times New Roman" w:hAnsi="Times New Roman" w:cs="Times New Roman"/>
          <w:sz w:val="24"/>
          <w:szCs w:val="24"/>
          <w:lang w:eastAsia="de-DE"/>
        </w:rPr>
        <w:t>. Beltz.</w:t>
      </w:r>
      <w:r w:rsidRPr="00A11EFC">
        <w:rPr>
          <w:rFonts w:ascii="Times New Roman" w:eastAsia="Times New Roman" w:hAnsi="Times New Roman" w:cs="Times New Roman"/>
          <w:sz w:val="24"/>
          <w:szCs w:val="24"/>
          <w:lang w:eastAsia="de-DE"/>
        </w:rPr>
        <w:br/>
        <w:t xml:space="preserve">[17] Bruner, J. S. (1960). </w:t>
      </w:r>
      <w:r w:rsidRPr="00A11EFC">
        <w:rPr>
          <w:rFonts w:ascii="Times New Roman" w:eastAsia="Times New Roman" w:hAnsi="Times New Roman" w:cs="Times New Roman"/>
          <w:i/>
          <w:iCs/>
          <w:sz w:val="24"/>
          <w:szCs w:val="24"/>
          <w:lang w:eastAsia="de-DE"/>
        </w:rPr>
        <w:t xml:space="preserve">The </w:t>
      </w:r>
      <w:proofErr w:type="spellStart"/>
      <w:r w:rsidRPr="00A11EFC">
        <w:rPr>
          <w:rFonts w:ascii="Times New Roman" w:eastAsia="Times New Roman" w:hAnsi="Times New Roman" w:cs="Times New Roman"/>
          <w:i/>
          <w:iCs/>
          <w:sz w:val="24"/>
          <w:szCs w:val="24"/>
          <w:lang w:eastAsia="de-DE"/>
        </w:rPr>
        <w:t>Process</w:t>
      </w:r>
      <w:proofErr w:type="spellEnd"/>
      <w:r w:rsidRPr="00A11EFC">
        <w:rPr>
          <w:rFonts w:ascii="Times New Roman" w:eastAsia="Times New Roman" w:hAnsi="Times New Roman" w:cs="Times New Roman"/>
          <w:i/>
          <w:iCs/>
          <w:sz w:val="24"/>
          <w:szCs w:val="24"/>
          <w:lang w:eastAsia="de-DE"/>
        </w:rPr>
        <w:t xml:space="preserve"> </w:t>
      </w:r>
      <w:proofErr w:type="spellStart"/>
      <w:r w:rsidRPr="00A11EFC">
        <w:rPr>
          <w:rFonts w:ascii="Times New Roman" w:eastAsia="Times New Roman" w:hAnsi="Times New Roman" w:cs="Times New Roman"/>
          <w:i/>
          <w:iCs/>
          <w:sz w:val="24"/>
          <w:szCs w:val="24"/>
          <w:lang w:eastAsia="de-DE"/>
        </w:rPr>
        <w:t>of</w:t>
      </w:r>
      <w:proofErr w:type="spellEnd"/>
      <w:r w:rsidRPr="00A11EFC">
        <w:rPr>
          <w:rFonts w:ascii="Times New Roman" w:eastAsia="Times New Roman" w:hAnsi="Times New Roman" w:cs="Times New Roman"/>
          <w:i/>
          <w:iCs/>
          <w:sz w:val="24"/>
          <w:szCs w:val="24"/>
          <w:lang w:eastAsia="de-DE"/>
        </w:rPr>
        <w:t xml:space="preserve"> Education</w:t>
      </w:r>
      <w:r w:rsidRPr="00A11EFC">
        <w:rPr>
          <w:rFonts w:ascii="Times New Roman" w:eastAsia="Times New Roman" w:hAnsi="Times New Roman" w:cs="Times New Roman"/>
          <w:sz w:val="24"/>
          <w:szCs w:val="24"/>
          <w:lang w:eastAsia="de-DE"/>
        </w:rPr>
        <w:t>. Harvard University Press.</w:t>
      </w:r>
      <w:r w:rsidRPr="00A11EFC">
        <w:rPr>
          <w:rFonts w:ascii="Times New Roman" w:eastAsia="Times New Roman" w:hAnsi="Times New Roman" w:cs="Times New Roman"/>
          <w:sz w:val="24"/>
          <w:szCs w:val="24"/>
          <w:lang w:eastAsia="de-DE"/>
        </w:rPr>
        <w:br/>
        <w:t>[18] Reinmann-</w:t>
      </w:r>
      <w:proofErr w:type="spellStart"/>
      <w:r w:rsidRPr="00A11EFC">
        <w:rPr>
          <w:rFonts w:ascii="Times New Roman" w:eastAsia="Times New Roman" w:hAnsi="Times New Roman" w:cs="Times New Roman"/>
          <w:sz w:val="24"/>
          <w:szCs w:val="24"/>
          <w:lang w:eastAsia="de-DE"/>
        </w:rPr>
        <w:t>Rothmeier</w:t>
      </w:r>
      <w:proofErr w:type="spellEnd"/>
      <w:r w:rsidRPr="00A11EFC">
        <w:rPr>
          <w:rFonts w:ascii="Times New Roman" w:eastAsia="Times New Roman" w:hAnsi="Times New Roman" w:cs="Times New Roman"/>
          <w:sz w:val="24"/>
          <w:szCs w:val="24"/>
          <w:lang w:eastAsia="de-DE"/>
        </w:rPr>
        <w:t xml:space="preserve">, G. &amp; Mandl, H. (2001). </w:t>
      </w:r>
      <w:r w:rsidRPr="00A11EFC">
        <w:rPr>
          <w:rFonts w:ascii="Times New Roman" w:eastAsia="Times New Roman" w:hAnsi="Times New Roman" w:cs="Times New Roman"/>
          <w:i/>
          <w:iCs/>
          <w:sz w:val="24"/>
          <w:szCs w:val="24"/>
          <w:lang w:eastAsia="de-DE"/>
        </w:rPr>
        <w:t>Unterricht gestalten mit kognitiv-psychologischer Grundlage</w:t>
      </w:r>
      <w:r w:rsidRPr="00A11EFC">
        <w:rPr>
          <w:rFonts w:ascii="Times New Roman" w:eastAsia="Times New Roman" w:hAnsi="Times New Roman" w:cs="Times New Roman"/>
          <w:sz w:val="24"/>
          <w:szCs w:val="24"/>
          <w:lang w:eastAsia="de-DE"/>
        </w:rPr>
        <w:t>.</w:t>
      </w:r>
      <w:r w:rsidRPr="00A11EFC">
        <w:rPr>
          <w:rFonts w:ascii="Times New Roman" w:eastAsia="Times New Roman" w:hAnsi="Times New Roman" w:cs="Times New Roman"/>
          <w:sz w:val="24"/>
          <w:szCs w:val="24"/>
          <w:lang w:eastAsia="de-DE"/>
        </w:rPr>
        <w:br/>
        <w:t xml:space="preserve">[19] Seel, N. M. (2012). </w:t>
      </w:r>
      <w:r w:rsidRPr="00A11EFC">
        <w:rPr>
          <w:rFonts w:ascii="Times New Roman" w:eastAsia="Times New Roman" w:hAnsi="Times New Roman" w:cs="Times New Roman"/>
          <w:i/>
          <w:iCs/>
          <w:sz w:val="24"/>
          <w:szCs w:val="24"/>
          <w:lang w:eastAsia="de-DE"/>
        </w:rPr>
        <w:t>Psychologie des Lernens</w:t>
      </w:r>
      <w:r w:rsidRPr="00A11EFC">
        <w:rPr>
          <w:rFonts w:ascii="Times New Roman" w:eastAsia="Times New Roman" w:hAnsi="Times New Roman" w:cs="Times New Roman"/>
          <w:sz w:val="24"/>
          <w:szCs w:val="24"/>
          <w:lang w:eastAsia="de-DE"/>
        </w:rPr>
        <w:t>. Springer.</w:t>
      </w:r>
      <w:r w:rsidRPr="00A11EFC">
        <w:rPr>
          <w:rFonts w:ascii="Times New Roman" w:eastAsia="Times New Roman" w:hAnsi="Times New Roman" w:cs="Times New Roman"/>
          <w:sz w:val="24"/>
          <w:szCs w:val="24"/>
          <w:lang w:eastAsia="de-DE"/>
        </w:rPr>
        <w:br/>
        <w:t xml:space="preserve">[20] </w:t>
      </w:r>
      <w:proofErr w:type="spellStart"/>
      <w:r w:rsidRPr="00A11EFC">
        <w:rPr>
          <w:rFonts w:ascii="Times New Roman" w:eastAsia="Times New Roman" w:hAnsi="Times New Roman" w:cs="Times New Roman"/>
          <w:sz w:val="24"/>
          <w:szCs w:val="24"/>
          <w:lang w:eastAsia="de-DE"/>
        </w:rPr>
        <w:t>Papert</w:t>
      </w:r>
      <w:proofErr w:type="spellEnd"/>
      <w:r w:rsidRPr="00A11EFC">
        <w:rPr>
          <w:rFonts w:ascii="Times New Roman" w:eastAsia="Times New Roman" w:hAnsi="Times New Roman" w:cs="Times New Roman"/>
          <w:sz w:val="24"/>
          <w:szCs w:val="24"/>
          <w:lang w:eastAsia="de-DE"/>
        </w:rPr>
        <w:t xml:space="preserve">, S. (1980). </w:t>
      </w:r>
      <w:r w:rsidRPr="00A11EFC">
        <w:rPr>
          <w:rFonts w:ascii="Times New Roman" w:eastAsia="Times New Roman" w:hAnsi="Times New Roman" w:cs="Times New Roman"/>
          <w:i/>
          <w:iCs/>
          <w:sz w:val="24"/>
          <w:szCs w:val="24"/>
          <w:lang w:eastAsia="de-DE"/>
        </w:rPr>
        <w:t xml:space="preserve">Mindstorms: Children, Computers, and Powerful </w:t>
      </w:r>
      <w:proofErr w:type="spellStart"/>
      <w:r w:rsidRPr="00A11EFC">
        <w:rPr>
          <w:rFonts w:ascii="Times New Roman" w:eastAsia="Times New Roman" w:hAnsi="Times New Roman" w:cs="Times New Roman"/>
          <w:i/>
          <w:iCs/>
          <w:sz w:val="24"/>
          <w:szCs w:val="24"/>
          <w:lang w:eastAsia="de-DE"/>
        </w:rPr>
        <w:t>Ideas</w:t>
      </w:r>
      <w:proofErr w:type="spellEnd"/>
      <w:r w:rsidRPr="00A11EFC">
        <w:rPr>
          <w:rFonts w:ascii="Times New Roman" w:eastAsia="Times New Roman" w:hAnsi="Times New Roman" w:cs="Times New Roman"/>
          <w:sz w:val="24"/>
          <w:szCs w:val="24"/>
          <w:lang w:eastAsia="de-DE"/>
        </w:rPr>
        <w:t>. Basic Books.</w:t>
      </w:r>
      <w:r w:rsidRPr="00A11EFC">
        <w:rPr>
          <w:rFonts w:ascii="Times New Roman" w:eastAsia="Times New Roman" w:hAnsi="Times New Roman" w:cs="Times New Roman"/>
          <w:sz w:val="24"/>
          <w:szCs w:val="24"/>
          <w:lang w:eastAsia="de-DE"/>
        </w:rPr>
        <w:br/>
        <w:t xml:space="preserve">[21] Kaiser, G. (2018). </w:t>
      </w:r>
      <w:r w:rsidRPr="00A11EFC">
        <w:rPr>
          <w:rFonts w:ascii="Times New Roman" w:eastAsia="Times New Roman" w:hAnsi="Times New Roman" w:cs="Times New Roman"/>
          <w:i/>
          <w:iCs/>
          <w:sz w:val="24"/>
          <w:szCs w:val="24"/>
          <w:lang w:eastAsia="de-DE"/>
        </w:rPr>
        <w:t>Systemisches Denken im naturwissenschaftlichen Unterricht</w:t>
      </w:r>
      <w:r w:rsidRPr="00A11EFC">
        <w:rPr>
          <w:rFonts w:ascii="Times New Roman" w:eastAsia="Times New Roman" w:hAnsi="Times New Roman" w:cs="Times New Roman"/>
          <w:sz w:val="24"/>
          <w:szCs w:val="24"/>
          <w:lang w:eastAsia="de-DE"/>
        </w:rPr>
        <w:t xml:space="preserve">. </w:t>
      </w:r>
      <w:proofErr w:type="spellStart"/>
      <w:r w:rsidRPr="00A11EFC">
        <w:rPr>
          <w:rFonts w:ascii="Times New Roman" w:eastAsia="Times New Roman" w:hAnsi="Times New Roman" w:cs="Times New Roman"/>
          <w:i/>
          <w:iCs/>
          <w:sz w:val="24"/>
          <w:szCs w:val="24"/>
          <w:lang w:eastAsia="de-DE"/>
        </w:rPr>
        <w:t>ZfDN</w:t>
      </w:r>
      <w:proofErr w:type="spellEnd"/>
      <w:r w:rsidRPr="00A11EFC">
        <w:rPr>
          <w:rFonts w:ascii="Times New Roman" w:eastAsia="Times New Roman" w:hAnsi="Times New Roman" w:cs="Times New Roman"/>
          <w:sz w:val="24"/>
          <w:szCs w:val="24"/>
          <w:lang w:eastAsia="de-DE"/>
        </w:rPr>
        <w:t>, 24, 135–147.</w:t>
      </w:r>
      <w:r w:rsidRPr="00A11EFC">
        <w:rPr>
          <w:rFonts w:ascii="Times New Roman" w:eastAsia="Times New Roman" w:hAnsi="Times New Roman" w:cs="Times New Roman"/>
          <w:sz w:val="24"/>
          <w:szCs w:val="24"/>
          <w:lang w:eastAsia="de-DE"/>
        </w:rPr>
        <w:br/>
        <w:t xml:space="preserve">[22] Hattie, J. (2009). </w:t>
      </w:r>
      <w:r w:rsidRPr="00A11EFC">
        <w:rPr>
          <w:rFonts w:ascii="Times New Roman" w:eastAsia="Times New Roman" w:hAnsi="Times New Roman" w:cs="Times New Roman"/>
          <w:i/>
          <w:iCs/>
          <w:sz w:val="24"/>
          <w:szCs w:val="24"/>
          <w:lang w:eastAsia="de-DE"/>
        </w:rPr>
        <w:t>Visible Learning</w:t>
      </w:r>
      <w:r w:rsidRPr="00A11EFC">
        <w:rPr>
          <w:rFonts w:ascii="Times New Roman" w:eastAsia="Times New Roman" w:hAnsi="Times New Roman" w:cs="Times New Roman"/>
          <w:sz w:val="24"/>
          <w:szCs w:val="24"/>
          <w:lang w:eastAsia="de-DE"/>
        </w:rPr>
        <w:t>. Routledge.</w:t>
      </w:r>
    </w:p>
    <w:p w14:paraId="477BDDC4" w14:textId="77777777" w:rsidR="0045746F" w:rsidRDefault="0045746F" w:rsidP="0045746F">
      <w:pPr>
        <w:pStyle w:val="berschrift3"/>
      </w:pPr>
      <w:r>
        <w:rPr>
          <w:rFonts w:ascii="Segoe UI Emoji" w:hAnsi="Segoe UI Emoji" w:cs="Segoe UI Emoji"/>
        </w:rPr>
        <w:t>🖼</w:t>
      </w:r>
      <w:r>
        <w:t xml:space="preserve">️ Tabelle: </w:t>
      </w:r>
      <w:r>
        <w:rPr>
          <w:rStyle w:val="Fett"/>
          <w:b/>
          <w:bCs/>
        </w:rPr>
        <w:t>Empfohlene Abbildungen zu Kapitel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2"/>
        <w:gridCol w:w="1671"/>
        <w:gridCol w:w="2829"/>
        <w:gridCol w:w="1477"/>
        <w:gridCol w:w="1753"/>
      </w:tblGrid>
      <w:tr w:rsidR="0045746F" w14:paraId="57201885" w14:textId="77777777" w:rsidTr="0045746F">
        <w:trPr>
          <w:tblHeader/>
          <w:tblCellSpacing w:w="15" w:type="dxa"/>
        </w:trPr>
        <w:tc>
          <w:tcPr>
            <w:tcW w:w="0" w:type="auto"/>
            <w:vAlign w:val="center"/>
            <w:hideMark/>
          </w:tcPr>
          <w:p w14:paraId="75F7961F" w14:textId="77777777" w:rsidR="0045746F" w:rsidRDefault="0045746F">
            <w:pPr>
              <w:jc w:val="center"/>
              <w:rPr>
                <w:b/>
                <w:bCs/>
              </w:rPr>
            </w:pPr>
            <w:r>
              <w:rPr>
                <w:rStyle w:val="Fett"/>
              </w:rPr>
              <w:t>Textstelle</w:t>
            </w:r>
          </w:p>
        </w:tc>
        <w:tc>
          <w:tcPr>
            <w:tcW w:w="0" w:type="auto"/>
            <w:vAlign w:val="center"/>
            <w:hideMark/>
          </w:tcPr>
          <w:p w14:paraId="36470F02" w14:textId="77777777" w:rsidR="0045746F" w:rsidRDefault="0045746F">
            <w:pPr>
              <w:jc w:val="center"/>
              <w:rPr>
                <w:b/>
                <w:bCs/>
              </w:rPr>
            </w:pPr>
            <w:proofErr w:type="spellStart"/>
            <w:r>
              <w:rPr>
                <w:rStyle w:val="Fett"/>
              </w:rPr>
              <w:t>Bildname</w:t>
            </w:r>
            <w:proofErr w:type="spellEnd"/>
          </w:p>
        </w:tc>
        <w:tc>
          <w:tcPr>
            <w:tcW w:w="0" w:type="auto"/>
            <w:vAlign w:val="center"/>
            <w:hideMark/>
          </w:tcPr>
          <w:p w14:paraId="5F17A15B" w14:textId="77777777" w:rsidR="0045746F" w:rsidRDefault="0045746F">
            <w:pPr>
              <w:jc w:val="center"/>
              <w:rPr>
                <w:b/>
                <w:bCs/>
              </w:rPr>
            </w:pPr>
            <w:r>
              <w:rPr>
                <w:rStyle w:val="Fett"/>
              </w:rPr>
              <w:t>Dateiname</w:t>
            </w:r>
          </w:p>
        </w:tc>
        <w:tc>
          <w:tcPr>
            <w:tcW w:w="0" w:type="auto"/>
            <w:vAlign w:val="center"/>
            <w:hideMark/>
          </w:tcPr>
          <w:p w14:paraId="289613E6" w14:textId="77777777" w:rsidR="0045746F" w:rsidRDefault="0045746F">
            <w:pPr>
              <w:jc w:val="center"/>
              <w:rPr>
                <w:b/>
                <w:bCs/>
              </w:rPr>
            </w:pPr>
            <w:r>
              <w:rPr>
                <w:rStyle w:val="Fett"/>
              </w:rPr>
              <w:t>Inhalt</w:t>
            </w:r>
          </w:p>
        </w:tc>
        <w:tc>
          <w:tcPr>
            <w:tcW w:w="0" w:type="auto"/>
            <w:vAlign w:val="center"/>
            <w:hideMark/>
          </w:tcPr>
          <w:p w14:paraId="2086315A" w14:textId="77777777" w:rsidR="0045746F" w:rsidRDefault="0045746F">
            <w:pPr>
              <w:jc w:val="center"/>
              <w:rPr>
                <w:b/>
                <w:bCs/>
              </w:rPr>
            </w:pPr>
            <w:r>
              <w:rPr>
                <w:rStyle w:val="Fett"/>
              </w:rPr>
              <w:t>Bemerkungen</w:t>
            </w:r>
          </w:p>
        </w:tc>
      </w:tr>
      <w:tr w:rsidR="0045746F" w14:paraId="401879FF" w14:textId="77777777" w:rsidTr="0045746F">
        <w:trPr>
          <w:tblCellSpacing w:w="15" w:type="dxa"/>
        </w:trPr>
        <w:tc>
          <w:tcPr>
            <w:tcW w:w="0" w:type="auto"/>
            <w:vAlign w:val="center"/>
            <w:hideMark/>
          </w:tcPr>
          <w:p w14:paraId="05598375" w14:textId="77777777" w:rsidR="0045746F" w:rsidRDefault="0045746F">
            <w:r>
              <w:t>2.2.1 Antike Weltbilder</w:t>
            </w:r>
          </w:p>
        </w:tc>
        <w:tc>
          <w:tcPr>
            <w:tcW w:w="0" w:type="auto"/>
            <w:vAlign w:val="center"/>
            <w:hideMark/>
          </w:tcPr>
          <w:p w14:paraId="5614CA83" w14:textId="77777777" w:rsidR="0045746F" w:rsidRDefault="0045746F">
            <w:r>
              <w:t>Aristotelisches Weltbild</w:t>
            </w:r>
          </w:p>
        </w:tc>
        <w:tc>
          <w:tcPr>
            <w:tcW w:w="0" w:type="auto"/>
            <w:vAlign w:val="center"/>
            <w:hideMark/>
          </w:tcPr>
          <w:p w14:paraId="76A9E777" w14:textId="77777777" w:rsidR="0045746F" w:rsidRDefault="0045746F">
            <w:r>
              <w:t>abb_2_2_1_aristoteles.png</w:t>
            </w:r>
          </w:p>
        </w:tc>
        <w:tc>
          <w:tcPr>
            <w:tcW w:w="0" w:type="auto"/>
            <w:vAlign w:val="center"/>
            <w:hideMark/>
          </w:tcPr>
          <w:p w14:paraId="6F21C54D" w14:textId="77777777" w:rsidR="0045746F" w:rsidRDefault="0045746F">
            <w:r>
              <w:t>Schematische Darstellung der vier Elemente und ihrer natürlichen Orte</w:t>
            </w:r>
          </w:p>
        </w:tc>
        <w:tc>
          <w:tcPr>
            <w:tcW w:w="0" w:type="auto"/>
            <w:vAlign w:val="center"/>
            <w:hideMark/>
          </w:tcPr>
          <w:p w14:paraId="7D9B0B96" w14:textId="77777777" w:rsidR="0045746F" w:rsidRDefault="0045746F">
            <w:r>
              <w:t>Unterstützt Verständnis teleologischer Raumordnung</w:t>
            </w:r>
          </w:p>
        </w:tc>
      </w:tr>
      <w:tr w:rsidR="0045746F" w14:paraId="174ACE28" w14:textId="77777777" w:rsidTr="0045746F">
        <w:trPr>
          <w:tblCellSpacing w:w="15" w:type="dxa"/>
        </w:trPr>
        <w:tc>
          <w:tcPr>
            <w:tcW w:w="0" w:type="auto"/>
            <w:vAlign w:val="center"/>
            <w:hideMark/>
          </w:tcPr>
          <w:p w14:paraId="060CF2E6" w14:textId="77777777" w:rsidR="0045746F" w:rsidRDefault="0045746F">
            <w:r>
              <w:lastRenderedPageBreak/>
              <w:t>2.2.2 Galilei</w:t>
            </w:r>
          </w:p>
        </w:tc>
        <w:tc>
          <w:tcPr>
            <w:tcW w:w="0" w:type="auto"/>
            <w:vAlign w:val="center"/>
            <w:hideMark/>
          </w:tcPr>
          <w:p w14:paraId="39CF0B11" w14:textId="77777777" w:rsidR="0045746F" w:rsidRDefault="0045746F">
            <w:r>
              <w:t>Galileis Schiffsbeispiel</w:t>
            </w:r>
          </w:p>
        </w:tc>
        <w:tc>
          <w:tcPr>
            <w:tcW w:w="0" w:type="auto"/>
            <w:vAlign w:val="center"/>
            <w:hideMark/>
          </w:tcPr>
          <w:p w14:paraId="56E856C7" w14:textId="77777777" w:rsidR="0045746F" w:rsidRDefault="0045746F">
            <w:r>
              <w:t>abb_2_2_2_galilei_schiff.png</w:t>
            </w:r>
          </w:p>
        </w:tc>
        <w:tc>
          <w:tcPr>
            <w:tcW w:w="0" w:type="auto"/>
            <w:vAlign w:val="center"/>
            <w:hideMark/>
          </w:tcPr>
          <w:p w14:paraId="2A55F4B3" w14:textId="77777777" w:rsidR="0045746F" w:rsidRDefault="0045746F">
            <w:r>
              <w:t>Beobachter im Schiff zur Veranschaulichung der Relativität gleichförmiger Bewegung</w:t>
            </w:r>
          </w:p>
        </w:tc>
        <w:tc>
          <w:tcPr>
            <w:tcW w:w="0" w:type="auto"/>
            <w:vAlign w:val="center"/>
            <w:hideMark/>
          </w:tcPr>
          <w:p w14:paraId="3E9939CA" w14:textId="77777777" w:rsidR="0045746F" w:rsidRDefault="0045746F">
            <w:r>
              <w:t>Ideal als Einstieg in das Inertialsystem</w:t>
            </w:r>
          </w:p>
        </w:tc>
      </w:tr>
      <w:tr w:rsidR="0045746F" w14:paraId="68E2AF30" w14:textId="77777777" w:rsidTr="0045746F">
        <w:trPr>
          <w:tblCellSpacing w:w="15" w:type="dxa"/>
        </w:trPr>
        <w:tc>
          <w:tcPr>
            <w:tcW w:w="0" w:type="auto"/>
            <w:vAlign w:val="center"/>
            <w:hideMark/>
          </w:tcPr>
          <w:p w14:paraId="2BD38ADB" w14:textId="77777777" w:rsidR="0045746F" w:rsidRDefault="0045746F">
            <w:r>
              <w:t>2.2.3 Newton</w:t>
            </w:r>
          </w:p>
        </w:tc>
        <w:tc>
          <w:tcPr>
            <w:tcW w:w="0" w:type="auto"/>
            <w:vAlign w:val="center"/>
            <w:hideMark/>
          </w:tcPr>
          <w:p w14:paraId="6D82C17B" w14:textId="77777777" w:rsidR="0045746F" w:rsidRDefault="0045746F">
            <w:r>
              <w:t>Newtons Inertialsystem</w:t>
            </w:r>
          </w:p>
        </w:tc>
        <w:tc>
          <w:tcPr>
            <w:tcW w:w="0" w:type="auto"/>
            <w:vAlign w:val="center"/>
            <w:hideMark/>
          </w:tcPr>
          <w:p w14:paraId="4C45884A" w14:textId="77777777" w:rsidR="0045746F" w:rsidRDefault="0045746F">
            <w:r>
              <w:t>abb_2_2_3_newton_luftkissenbahn.png</w:t>
            </w:r>
          </w:p>
        </w:tc>
        <w:tc>
          <w:tcPr>
            <w:tcW w:w="0" w:type="auto"/>
            <w:vAlign w:val="center"/>
            <w:hideMark/>
          </w:tcPr>
          <w:p w14:paraId="228A5B6C" w14:textId="77777777" w:rsidR="0045746F" w:rsidRDefault="0045746F">
            <w:r>
              <w:t>Körper auf Luftkissenbahn mit Kräften bzw. ohne Kräfte</w:t>
            </w:r>
          </w:p>
        </w:tc>
        <w:tc>
          <w:tcPr>
            <w:tcW w:w="0" w:type="auto"/>
            <w:vAlign w:val="center"/>
            <w:hideMark/>
          </w:tcPr>
          <w:p w14:paraId="30E1FE39" w14:textId="77777777" w:rsidR="0045746F" w:rsidRDefault="0045746F">
            <w:r>
              <w:t>Fördert Verständnis von Trägheit und linearen Bewegungen</w:t>
            </w:r>
          </w:p>
        </w:tc>
      </w:tr>
      <w:tr w:rsidR="0045746F" w14:paraId="0E49F97F" w14:textId="77777777" w:rsidTr="0045746F">
        <w:trPr>
          <w:tblCellSpacing w:w="15" w:type="dxa"/>
        </w:trPr>
        <w:tc>
          <w:tcPr>
            <w:tcW w:w="0" w:type="auto"/>
            <w:vAlign w:val="center"/>
            <w:hideMark/>
          </w:tcPr>
          <w:p w14:paraId="5B67C683" w14:textId="77777777" w:rsidR="0045746F" w:rsidRDefault="0045746F">
            <w:r>
              <w:t>2.2.4 Einstein</w:t>
            </w:r>
          </w:p>
        </w:tc>
        <w:tc>
          <w:tcPr>
            <w:tcW w:w="0" w:type="auto"/>
            <w:vAlign w:val="center"/>
            <w:hideMark/>
          </w:tcPr>
          <w:p w14:paraId="37377605" w14:textId="77777777" w:rsidR="0045746F" w:rsidRDefault="0045746F">
            <w:r>
              <w:t>Einsteins Raumzeitdiagramm</w:t>
            </w:r>
          </w:p>
        </w:tc>
        <w:tc>
          <w:tcPr>
            <w:tcW w:w="0" w:type="auto"/>
            <w:vAlign w:val="center"/>
            <w:hideMark/>
          </w:tcPr>
          <w:p w14:paraId="65B75CE7" w14:textId="77777777" w:rsidR="0045746F" w:rsidRDefault="0045746F">
            <w:r>
              <w:t>abb_2_2_4_einstein_raumzeit.png</w:t>
            </w:r>
          </w:p>
        </w:tc>
        <w:tc>
          <w:tcPr>
            <w:tcW w:w="0" w:type="auto"/>
            <w:vAlign w:val="center"/>
            <w:hideMark/>
          </w:tcPr>
          <w:p w14:paraId="467407DF" w14:textId="77777777" w:rsidR="0045746F" w:rsidRDefault="0045746F">
            <w:r>
              <w:t>Raum-Zeit-Diagramm mit Zeitdilatation und Krümmung</w:t>
            </w:r>
          </w:p>
        </w:tc>
        <w:tc>
          <w:tcPr>
            <w:tcW w:w="0" w:type="auto"/>
            <w:vAlign w:val="center"/>
            <w:hideMark/>
          </w:tcPr>
          <w:p w14:paraId="6C5EDCD0" w14:textId="77777777" w:rsidR="0045746F" w:rsidRDefault="0045746F">
            <w:r>
              <w:t>Visualisiert zentrale relativistische Effekte</w:t>
            </w:r>
          </w:p>
        </w:tc>
      </w:tr>
      <w:tr w:rsidR="0045746F" w14:paraId="58D9AA5B" w14:textId="77777777" w:rsidTr="0045746F">
        <w:trPr>
          <w:tblCellSpacing w:w="15" w:type="dxa"/>
        </w:trPr>
        <w:tc>
          <w:tcPr>
            <w:tcW w:w="0" w:type="auto"/>
            <w:vAlign w:val="center"/>
            <w:hideMark/>
          </w:tcPr>
          <w:p w14:paraId="46F54033" w14:textId="77777777" w:rsidR="0045746F" w:rsidRDefault="0045746F">
            <w:r>
              <w:t>2.2.5 Quantenmechanik</w:t>
            </w:r>
          </w:p>
        </w:tc>
        <w:tc>
          <w:tcPr>
            <w:tcW w:w="0" w:type="auto"/>
            <w:vAlign w:val="center"/>
            <w:hideMark/>
          </w:tcPr>
          <w:p w14:paraId="49ACADCF" w14:textId="77777777" w:rsidR="0045746F" w:rsidRDefault="0045746F">
            <w:r>
              <w:t>Quantenmessung und Wellenfunktionskollaps</w:t>
            </w:r>
          </w:p>
        </w:tc>
        <w:tc>
          <w:tcPr>
            <w:tcW w:w="0" w:type="auto"/>
            <w:vAlign w:val="center"/>
            <w:hideMark/>
          </w:tcPr>
          <w:p w14:paraId="0094AA68" w14:textId="77777777" w:rsidR="0045746F" w:rsidRDefault="0045746F">
            <w:r>
              <w:t>abb_2_2_5_quanten_kollaps.png</w:t>
            </w:r>
          </w:p>
        </w:tc>
        <w:tc>
          <w:tcPr>
            <w:tcW w:w="0" w:type="auto"/>
            <w:vAlign w:val="center"/>
            <w:hideMark/>
          </w:tcPr>
          <w:p w14:paraId="625A00D7" w14:textId="77777777" w:rsidR="0045746F" w:rsidRDefault="0045746F">
            <w:r>
              <w:t>Symbolische Darstellung von Superposition und Messung</w:t>
            </w:r>
          </w:p>
        </w:tc>
        <w:tc>
          <w:tcPr>
            <w:tcW w:w="0" w:type="auto"/>
            <w:vAlign w:val="center"/>
            <w:hideMark/>
          </w:tcPr>
          <w:p w14:paraId="31DF26A1" w14:textId="77777777" w:rsidR="0045746F" w:rsidRDefault="0045746F">
            <w:r>
              <w:t>Hilfreich zur Diskussion der Beobachterabhängigkeit</w:t>
            </w:r>
          </w:p>
        </w:tc>
      </w:tr>
      <w:tr w:rsidR="0045746F" w14:paraId="7F139AAA" w14:textId="77777777" w:rsidTr="0045746F">
        <w:trPr>
          <w:tblCellSpacing w:w="15" w:type="dxa"/>
        </w:trPr>
        <w:tc>
          <w:tcPr>
            <w:tcW w:w="0" w:type="auto"/>
            <w:vAlign w:val="center"/>
            <w:hideMark/>
          </w:tcPr>
          <w:p w14:paraId="316943EB" w14:textId="77777777" w:rsidR="0045746F" w:rsidRDefault="0045746F">
            <w:r>
              <w:t>2.3.1 Vernetztes Lernen</w:t>
            </w:r>
          </w:p>
        </w:tc>
        <w:tc>
          <w:tcPr>
            <w:tcW w:w="0" w:type="auto"/>
            <w:vAlign w:val="center"/>
            <w:hideMark/>
          </w:tcPr>
          <w:p w14:paraId="2E5F6690" w14:textId="77777777" w:rsidR="0045746F" w:rsidRDefault="0045746F">
            <w:r>
              <w:t>Netzwerkdiagramm</w:t>
            </w:r>
          </w:p>
        </w:tc>
        <w:tc>
          <w:tcPr>
            <w:tcW w:w="0" w:type="auto"/>
            <w:vAlign w:val="center"/>
            <w:hideMark/>
          </w:tcPr>
          <w:p w14:paraId="1CEE7423" w14:textId="77777777" w:rsidR="0045746F" w:rsidRDefault="0045746F">
            <w:r>
              <w:t>abb_2_3_1_vernetztes_lernen.png</w:t>
            </w:r>
          </w:p>
        </w:tc>
        <w:tc>
          <w:tcPr>
            <w:tcW w:w="0" w:type="auto"/>
            <w:vAlign w:val="center"/>
            <w:hideMark/>
          </w:tcPr>
          <w:p w14:paraId="02EA23AF" w14:textId="77777777" w:rsidR="0045746F" w:rsidRDefault="0045746F">
            <w:r>
              <w:t>Konzeptnetz oder Mindmap zur Lernverknüpfung</w:t>
            </w:r>
          </w:p>
        </w:tc>
        <w:tc>
          <w:tcPr>
            <w:tcW w:w="0" w:type="auto"/>
            <w:vAlign w:val="center"/>
            <w:hideMark/>
          </w:tcPr>
          <w:p w14:paraId="6B679031" w14:textId="77777777" w:rsidR="0045746F" w:rsidRDefault="0045746F">
            <w:r>
              <w:t>Zeigt alternative zur linearen Stoffvermittlung</w:t>
            </w:r>
          </w:p>
        </w:tc>
      </w:tr>
      <w:tr w:rsidR="0045746F" w14:paraId="6699B87E" w14:textId="77777777" w:rsidTr="0045746F">
        <w:trPr>
          <w:tblCellSpacing w:w="15" w:type="dxa"/>
        </w:trPr>
        <w:tc>
          <w:tcPr>
            <w:tcW w:w="0" w:type="auto"/>
            <w:vAlign w:val="center"/>
            <w:hideMark/>
          </w:tcPr>
          <w:p w14:paraId="2E216E0F" w14:textId="77777777" w:rsidR="0045746F" w:rsidRDefault="0045746F">
            <w:r>
              <w:t>2.3.2 Visualisierung</w:t>
            </w:r>
          </w:p>
        </w:tc>
        <w:tc>
          <w:tcPr>
            <w:tcW w:w="0" w:type="auto"/>
            <w:vAlign w:val="center"/>
            <w:hideMark/>
          </w:tcPr>
          <w:p w14:paraId="53880A7E" w14:textId="77777777" w:rsidR="0045746F" w:rsidRDefault="0045746F">
            <w:r>
              <w:t>Lernende mit Simulationen</w:t>
            </w:r>
          </w:p>
        </w:tc>
        <w:tc>
          <w:tcPr>
            <w:tcW w:w="0" w:type="auto"/>
            <w:vAlign w:val="center"/>
            <w:hideMark/>
          </w:tcPr>
          <w:p w14:paraId="250763D5" w14:textId="77777777" w:rsidR="0045746F" w:rsidRDefault="0045746F">
            <w:r>
              <w:t>abb_2_3_2_simulationen.png</w:t>
            </w:r>
          </w:p>
        </w:tc>
        <w:tc>
          <w:tcPr>
            <w:tcW w:w="0" w:type="auto"/>
            <w:vAlign w:val="center"/>
            <w:hideMark/>
          </w:tcPr>
          <w:p w14:paraId="278DB6FA" w14:textId="77777777" w:rsidR="0045746F" w:rsidRDefault="0045746F">
            <w:r>
              <w:t>Lernende arbeiten mit digitalen Tools (z. B. GeoGebra)</w:t>
            </w:r>
          </w:p>
        </w:tc>
        <w:tc>
          <w:tcPr>
            <w:tcW w:w="0" w:type="auto"/>
            <w:vAlign w:val="center"/>
            <w:hideMark/>
          </w:tcPr>
          <w:p w14:paraId="02B14B13" w14:textId="77777777" w:rsidR="0045746F" w:rsidRDefault="0045746F">
            <w:r>
              <w:t>Visualisierungsbasierte Didaktik konkretisiert</w:t>
            </w:r>
          </w:p>
        </w:tc>
      </w:tr>
      <w:tr w:rsidR="0045746F" w14:paraId="65F693D1" w14:textId="77777777" w:rsidTr="0045746F">
        <w:trPr>
          <w:tblCellSpacing w:w="15" w:type="dxa"/>
        </w:trPr>
        <w:tc>
          <w:tcPr>
            <w:tcW w:w="0" w:type="auto"/>
            <w:vAlign w:val="center"/>
            <w:hideMark/>
          </w:tcPr>
          <w:p w14:paraId="3247BA81" w14:textId="77777777" w:rsidR="0045746F" w:rsidRDefault="0045746F">
            <w:r>
              <w:t>2.4.1 Spiralprinzip</w:t>
            </w:r>
          </w:p>
        </w:tc>
        <w:tc>
          <w:tcPr>
            <w:tcW w:w="0" w:type="auto"/>
            <w:vAlign w:val="center"/>
            <w:hideMark/>
          </w:tcPr>
          <w:p w14:paraId="04CAB398" w14:textId="77777777" w:rsidR="0045746F" w:rsidRDefault="0045746F">
            <w:r>
              <w:t>Spiralmodell nach Bruner</w:t>
            </w:r>
          </w:p>
        </w:tc>
        <w:tc>
          <w:tcPr>
            <w:tcW w:w="0" w:type="auto"/>
            <w:vAlign w:val="center"/>
            <w:hideMark/>
          </w:tcPr>
          <w:p w14:paraId="6F5881B1" w14:textId="77777777" w:rsidR="0045746F" w:rsidRDefault="0045746F">
            <w:r>
              <w:t>abb_2_4_1_spiralprinzip.png</w:t>
            </w:r>
          </w:p>
        </w:tc>
        <w:tc>
          <w:tcPr>
            <w:tcW w:w="0" w:type="auto"/>
            <w:vAlign w:val="center"/>
            <w:hideMark/>
          </w:tcPr>
          <w:p w14:paraId="31745B56" w14:textId="77777777" w:rsidR="0045746F" w:rsidRDefault="0045746F">
            <w:r>
              <w:t>Didaktische Spirale mit wachsendem Abstraktionsniveau</w:t>
            </w:r>
          </w:p>
        </w:tc>
        <w:tc>
          <w:tcPr>
            <w:tcW w:w="0" w:type="auto"/>
            <w:vAlign w:val="center"/>
            <w:hideMark/>
          </w:tcPr>
          <w:p w14:paraId="57E0CBC8" w14:textId="77777777" w:rsidR="0045746F" w:rsidRDefault="0045746F">
            <w:r>
              <w:t>Darstellung der strukturellen Wiederholung im Curriculum</w:t>
            </w:r>
          </w:p>
        </w:tc>
      </w:tr>
      <w:tr w:rsidR="0045746F" w14:paraId="299CB270" w14:textId="77777777" w:rsidTr="0045746F">
        <w:trPr>
          <w:tblCellSpacing w:w="15" w:type="dxa"/>
        </w:trPr>
        <w:tc>
          <w:tcPr>
            <w:tcW w:w="0" w:type="auto"/>
            <w:vAlign w:val="center"/>
            <w:hideMark/>
          </w:tcPr>
          <w:p w14:paraId="3F91A2CD" w14:textId="77777777" w:rsidR="0045746F" w:rsidRDefault="0045746F">
            <w:r>
              <w:t>2.5 Empfehlungen</w:t>
            </w:r>
          </w:p>
        </w:tc>
        <w:tc>
          <w:tcPr>
            <w:tcW w:w="0" w:type="auto"/>
            <w:vAlign w:val="center"/>
            <w:hideMark/>
          </w:tcPr>
          <w:p w14:paraId="511F5F33" w14:textId="77777777" w:rsidR="0045746F" w:rsidRDefault="0045746F">
            <w:r>
              <w:t>Digitale Simulation &amp; Code</w:t>
            </w:r>
          </w:p>
        </w:tc>
        <w:tc>
          <w:tcPr>
            <w:tcW w:w="0" w:type="auto"/>
            <w:vAlign w:val="center"/>
            <w:hideMark/>
          </w:tcPr>
          <w:p w14:paraId="3B94015E" w14:textId="77777777" w:rsidR="0045746F" w:rsidRDefault="0045746F">
            <w:r>
              <w:t>abb_2_5_1_simulation_python.png</w:t>
            </w:r>
          </w:p>
        </w:tc>
        <w:tc>
          <w:tcPr>
            <w:tcW w:w="0" w:type="auto"/>
            <w:vAlign w:val="center"/>
            <w:hideMark/>
          </w:tcPr>
          <w:p w14:paraId="380544D2" w14:textId="77777777" w:rsidR="0045746F" w:rsidRDefault="0045746F">
            <w:r>
              <w:t>Beispiel für Python-Skript/Visualisierung physikalischer Prozesse</w:t>
            </w:r>
          </w:p>
        </w:tc>
        <w:tc>
          <w:tcPr>
            <w:tcW w:w="0" w:type="auto"/>
            <w:vAlign w:val="center"/>
            <w:hideMark/>
          </w:tcPr>
          <w:p w14:paraId="3D2E05AE" w14:textId="77777777" w:rsidR="0045746F" w:rsidRDefault="0045746F">
            <w:r>
              <w:t>Unterstützt Empfehlung zum Einsatz digitaler Werkzeuge</w:t>
            </w:r>
          </w:p>
        </w:tc>
      </w:tr>
      <w:tr w:rsidR="0045746F" w14:paraId="33C7E847" w14:textId="77777777" w:rsidTr="0045746F">
        <w:trPr>
          <w:tblCellSpacing w:w="15" w:type="dxa"/>
        </w:trPr>
        <w:tc>
          <w:tcPr>
            <w:tcW w:w="0" w:type="auto"/>
            <w:vAlign w:val="center"/>
            <w:hideMark/>
          </w:tcPr>
          <w:p w14:paraId="7B763E70" w14:textId="77777777" w:rsidR="0045746F" w:rsidRDefault="0045746F">
            <w:r>
              <w:lastRenderedPageBreak/>
              <w:t>2.5 Fehlerkultur</w:t>
            </w:r>
          </w:p>
        </w:tc>
        <w:tc>
          <w:tcPr>
            <w:tcW w:w="0" w:type="auto"/>
            <w:vAlign w:val="center"/>
            <w:hideMark/>
          </w:tcPr>
          <w:p w14:paraId="02464108" w14:textId="77777777" w:rsidR="0045746F" w:rsidRDefault="0045746F">
            <w:r>
              <w:t>Denkfehler &amp; Reflexion</w:t>
            </w:r>
          </w:p>
        </w:tc>
        <w:tc>
          <w:tcPr>
            <w:tcW w:w="0" w:type="auto"/>
            <w:vAlign w:val="center"/>
            <w:hideMark/>
          </w:tcPr>
          <w:p w14:paraId="5C398A93" w14:textId="77777777" w:rsidR="0045746F" w:rsidRDefault="0045746F">
            <w:r>
              <w:t>abb_2_5_2_fehlerkultur.png</w:t>
            </w:r>
          </w:p>
        </w:tc>
        <w:tc>
          <w:tcPr>
            <w:tcW w:w="0" w:type="auto"/>
            <w:vAlign w:val="center"/>
            <w:hideMark/>
          </w:tcPr>
          <w:p w14:paraId="26860BDD" w14:textId="77777777" w:rsidR="0045746F" w:rsidRDefault="0045746F">
            <w:r>
              <w:t>Visualisierung typischer Fehlkonzepte + Reflexionsprozess</w:t>
            </w:r>
          </w:p>
        </w:tc>
        <w:tc>
          <w:tcPr>
            <w:tcW w:w="0" w:type="auto"/>
            <w:vAlign w:val="center"/>
            <w:hideMark/>
          </w:tcPr>
          <w:p w14:paraId="7F81DB52" w14:textId="77777777" w:rsidR="0045746F" w:rsidRDefault="0045746F">
            <w:r>
              <w:t>Sinnvoll zur Förderung metakognitiver Strategien</w:t>
            </w:r>
          </w:p>
        </w:tc>
      </w:tr>
    </w:tbl>
    <w:p w14:paraId="6A66DFC6" w14:textId="46E50AB7" w:rsidR="0059657C" w:rsidRDefault="0059657C"/>
    <w:p w14:paraId="5BD8D62F" w14:textId="289DC2C2" w:rsidR="0045746F" w:rsidRDefault="0045746F"/>
    <w:p w14:paraId="00997B70" w14:textId="77777777" w:rsidR="0045746F" w:rsidRDefault="0045746F" w:rsidP="0045746F">
      <w:pPr>
        <w:pStyle w:val="berschrift3"/>
      </w:pPr>
      <w:r>
        <w:rPr>
          <w:rFonts w:ascii="Segoe UI Emoji" w:hAnsi="Segoe UI Emoji" w:cs="Segoe UI Emoji"/>
        </w:rPr>
        <w:t>📎</w:t>
      </w:r>
      <w:r>
        <w:t xml:space="preserve"> Tabelle: </w:t>
      </w:r>
      <w:r>
        <w:rPr>
          <w:rStyle w:val="Fett"/>
          <w:b/>
          <w:bCs/>
        </w:rPr>
        <w:t>Empfohlene Anlagen zu Kapitel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4"/>
        <w:gridCol w:w="1449"/>
        <w:gridCol w:w="3001"/>
        <w:gridCol w:w="1720"/>
        <w:gridCol w:w="1728"/>
      </w:tblGrid>
      <w:tr w:rsidR="0045746F" w14:paraId="372CA68F" w14:textId="77777777" w:rsidTr="0045746F">
        <w:trPr>
          <w:tblHeader/>
          <w:tblCellSpacing w:w="15" w:type="dxa"/>
        </w:trPr>
        <w:tc>
          <w:tcPr>
            <w:tcW w:w="0" w:type="auto"/>
            <w:vAlign w:val="center"/>
            <w:hideMark/>
          </w:tcPr>
          <w:p w14:paraId="1B2121E0" w14:textId="77777777" w:rsidR="0045746F" w:rsidRDefault="0045746F">
            <w:pPr>
              <w:jc w:val="center"/>
              <w:rPr>
                <w:b/>
                <w:bCs/>
              </w:rPr>
            </w:pPr>
            <w:r>
              <w:rPr>
                <w:rStyle w:val="Fett"/>
              </w:rPr>
              <w:t>Textstelle</w:t>
            </w:r>
          </w:p>
        </w:tc>
        <w:tc>
          <w:tcPr>
            <w:tcW w:w="0" w:type="auto"/>
            <w:vAlign w:val="center"/>
            <w:hideMark/>
          </w:tcPr>
          <w:p w14:paraId="611D4BF7" w14:textId="77777777" w:rsidR="0045746F" w:rsidRDefault="0045746F">
            <w:pPr>
              <w:jc w:val="center"/>
              <w:rPr>
                <w:b/>
                <w:bCs/>
              </w:rPr>
            </w:pPr>
            <w:r>
              <w:rPr>
                <w:rStyle w:val="Fett"/>
              </w:rPr>
              <w:t>Anlagenname</w:t>
            </w:r>
          </w:p>
        </w:tc>
        <w:tc>
          <w:tcPr>
            <w:tcW w:w="0" w:type="auto"/>
            <w:vAlign w:val="center"/>
            <w:hideMark/>
          </w:tcPr>
          <w:p w14:paraId="3BF833E9" w14:textId="77777777" w:rsidR="0045746F" w:rsidRDefault="0045746F">
            <w:pPr>
              <w:jc w:val="center"/>
              <w:rPr>
                <w:b/>
                <w:bCs/>
              </w:rPr>
            </w:pPr>
            <w:r>
              <w:rPr>
                <w:rStyle w:val="Fett"/>
              </w:rPr>
              <w:t>Dateiname</w:t>
            </w:r>
          </w:p>
        </w:tc>
        <w:tc>
          <w:tcPr>
            <w:tcW w:w="0" w:type="auto"/>
            <w:vAlign w:val="center"/>
            <w:hideMark/>
          </w:tcPr>
          <w:p w14:paraId="3BEC4677" w14:textId="77777777" w:rsidR="0045746F" w:rsidRDefault="0045746F">
            <w:pPr>
              <w:jc w:val="center"/>
              <w:rPr>
                <w:b/>
                <w:bCs/>
              </w:rPr>
            </w:pPr>
            <w:r>
              <w:rPr>
                <w:rStyle w:val="Fett"/>
              </w:rPr>
              <w:t>Inhalt</w:t>
            </w:r>
          </w:p>
        </w:tc>
        <w:tc>
          <w:tcPr>
            <w:tcW w:w="0" w:type="auto"/>
            <w:vAlign w:val="center"/>
            <w:hideMark/>
          </w:tcPr>
          <w:p w14:paraId="72580E61" w14:textId="77777777" w:rsidR="0045746F" w:rsidRDefault="0045746F">
            <w:pPr>
              <w:jc w:val="center"/>
              <w:rPr>
                <w:b/>
                <w:bCs/>
              </w:rPr>
            </w:pPr>
            <w:r>
              <w:rPr>
                <w:rStyle w:val="Fett"/>
              </w:rPr>
              <w:t>Bemerkungen</w:t>
            </w:r>
          </w:p>
        </w:tc>
      </w:tr>
      <w:tr w:rsidR="0045746F" w14:paraId="6FEF3EC4" w14:textId="77777777" w:rsidTr="0045746F">
        <w:trPr>
          <w:tblCellSpacing w:w="15" w:type="dxa"/>
        </w:trPr>
        <w:tc>
          <w:tcPr>
            <w:tcW w:w="0" w:type="auto"/>
            <w:vAlign w:val="center"/>
            <w:hideMark/>
          </w:tcPr>
          <w:p w14:paraId="46FE9796" w14:textId="77777777" w:rsidR="0045746F" w:rsidRDefault="0045746F">
            <w:r>
              <w:t>2.2.2 Galilei</w:t>
            </w:r>
          </w:p>
        </w:tc>
        <w:tc>
          <w:tcPr>
            <w:tcW w:w="0" w:type="auto"/>
            <w:vAlign w:val="center"/>
            <w:hideMark/>
          </w:tcPr>
          <w:p w14:paraId="300A34F4" w14:textId="77777777" w:rsidR="0045746F" w:rsidRDefault="0045746F">
            <w:r>
              <w:t>Arbeitsblatt: Galileis Schiffsbeispiel</w:t>
            </w:r>
          </w:p>
        </w:tc>
        <w:tc>
          <w:tcPr>
            <w:tcW w:w="0" w:type="auto"/>
            <w:vAlign w:val="center"/>
            <w:hideMark/>
          </w:tcPr>
          <w:p w14:paraId="129E37DB" w14:textId="77777777" w:rsidR="0045746F" w:rsidRDefault="0045746F">
            <w:r>
              <w:t>anlage_2_2_2_galilei_arbeitsblatt.pdf</w:t>
            </w:r>
          </w:p>
        </w:tc>
        <w:tc>
          <w:tcPr>
            <w:tcW w:w="0" w:type="auto"/>
            <w:vAlign w:val="center"/>
            <w:hideMark/>
          </w:tcPr>
          <w:p w14:paraId="5AD17D69" w14:textId="77777777" w:rsidR="0045746F" w:rsidRDefault="0045746F">
            <w:r>
              <w:t>Aufgaben zum Gedankenexperiment mit Beobachter im Schiff</w:t>
            </w:r>
          </w:p>
        </w:tc>
        <w:tc>
          <w:tcPr>
            <w:tcW w:w="0" w:type="auto"/>
            <w:vAlign w:val="center"/>
            <w:hideMark/>
          </w:tcPr>
          <w:p w14:paraId="31C50F78" w14:textId="77777777" w:rsidR="0045746F" w:rsidRDefault="0045746F">
            <w:r>
              <w:t>Fördert Eigenaktivität und Begriffsbildung zum Inertialsystem</w:t>
            </w:r>
          </w:p>
        </w:tc>
      </w:tr>
      <w:tr w:rsidR="0045746F" w14:paraId="1BE24E88" w14:textId="77777777" w:rsidTr="0045746F">
        <w:trPr>
          <w:tblCellSpacing w:w="15" w:type="dxa"/>
        </w:trPr>
        <w:tc>
          <w:tcPr>
            <w:tcW w:w="0" w:type="auto"/>
            <w:vAlign w:val="center"/>
            <w:hideMark/>
          </w:tcPr>
          <w:p w14:paraId="4847CCAE" w14:textId="77777777" w:rsidR="0045746F" w:rsidRDefault="0045746F">
            <w:r>
              <w:t>2.2.4 Einstein</w:t>
            </w:r>
          </w:p>
        </w:tc>
        <w:tc>
          <w:tcPr>
            <w:tcW w:w="0" w:type="auto"/>
            <w:vAlign w:val="center"/>
            <w:hideMark/>
          </w:tcPr>
          <w:p w14:paraId="05840336" w14:textId="77777777" w:rsidR="0045746F" w:rsidRDefault="0045746F">
            <w:r>
              <w:t>Modellanleitung: Raumzeit-Simulation</w:t>
            </w:r>
          </w:p>
        </w:tc>
        <w:tc>
          <w:tcPr>
            <w:tcW w:w="0" w:type="auto"/>
            <w:vAlign w:val="center"/>
            <w:hideMark/>
          </w:tcPr>
          <w:p w14:paraId="347BD37C" w14:textId="77777777" w:rsidR="0045746F" w:rsidRDefault="0045746F">
            <w:r>
              <w:t>anlage_2_2_4_raumzeit_modell.pdf</w:t>
            </w:r>
          </w:p>
        </w:tc>
        <w:tc>
          <w:tcPr>
            <w:tcW w:w="0" w:type="auto"/>
            <w:vAlign w:val="center"/>
            <w:hideMark/>
          </w:tcPr>
          <w:p w14:paraId="0D6CFD9D" w14:textId="77777777" w:rsidR="0045746F" w:rsidRDefault="0045746F">
            <w:r>
              <w:t>Bau-/Simulationsanleitung für Raumzeit mit gekrümmter Fläche</w:t>
            </w:r>
          </w:p>
        </w:tc>
        <w:tc>
          <w:tcPr>
            <w:tcW w:w="0" w:type="auto"/>
            <w:vAlign w:val="center"/>
            <w:hideMark/>
          </w:tcPr>
          <w:p w14:paraId="294A210A" w14:textId="77777777" w:rsidR="0045746F" w:rsidRDefault="0045746F">
            <w:r>
              <w:t>Unterstützt haptisches und visuelles Lernen relativistischer Effekte</w:t>
            </w:r>
          </w:p>
        </w:tc>
      </w:tr>
      <w:tr w:rsidR="0045746F" w14:paraId="2D7539B1" w14:textId="77777777" w:rsidTr="0045746F">
        <w:trPr>
          <w:tblCellSpacing w:w="15" w:type="dxa"/>
        </w:trPr>
        <w:tc>
          <w:tcPr>
            <w:tcW w:w="0" w:type="auto"/>
            <w:vAlign w:val="center"/>
            <w:hideMark/>
          </w:tcPr>
          <w:p w14:paraId="53EB7F56" w14:textId="77777777" w:rsidR="0045746F" w:rsidRDefault="0045746F">
            <w:r>
              <w:t>2.3.2 Visualisierung</w:t>
            </w:r>
          </w:p>
        </w:tc>
        <w:tc>
          <w:tcPr>
            <w:tcW w:w="0" w:type="auto"/>
            <w:vAlign w:val="center"/>
            <w:hideMark/>
          </w:tcPr>
          <w:p w14:paraId="0C80EE79" w14:textId="77777777" w:rsidR="0045746F" w:rsidRDefault="0045746F">
            <w:r>
              <w:t>Tool-Liste: Visualisierungen</w:t>
            </w:r>
          </w:p>
        </w:tc>
        <w:tc>
          <w:tcPr>
            <w:tcW w:w="0" w:type="auto"/>
            <w:vAlign w:val="center"/>
            <w:hideMark/>
          </w:tcPr>
          <w:p w14:paraId="49493E78" w14:textId="77777777" w:rsidR="0045746F" w:rsidRDefault="0045746F">
            <w:r>
              <w:t>anlage_2_3_2_visualisierung_tools.pdf</w:t>
            </w:r>
          </w:p>
        </w:tc>
        <w:tc>
          <w:tcPr>
            <w:tcW w:w="0" w:type="auto"/>
            <w:vAlign w:val="center"/>
            <w:hideMark/>
          </w:tcPr>
          <w:p w14:paraId="19EE695F" w14:textId="77777777" w:rsidR="0045746F" w:rsidRDefault="0045746F">
            <w:r>
              <w:t xml:space="preserve">Übersicht digitaler Werkzeuge (GeoGebra, </w:t>
            </w:r>
            <w:proofErr w:type="spellStart"/>
            <w:r>
              <w:t>Algodoo</w:t>
            </w:r>
            <w:proofErr w:type="spellEnd"/>
            <w:r>
              <w:t xml:space="preserve">, </w:t>
            </w:r>
            <w:proofErr w:type="spellStart"/>
            <w:r>
              <w:t>PhET</w:t>
            </w:r>
            <w:proofErr w:type="spellEnd"/>
            <w:r>
              <w:t>, Python etc.)</w:t>
            </w:r>
          </w:p>
        </w:tc>
        <w:tc>
          <w:tcPr>
            <w:tcW w:w="0" w:type="auto"/>
            <w:vAlign w:val="center"/>
            <w:hideMark/>
          </w:tcPr>
          <w:p w14:paraId="6A4D2AF0" w14:textId="77777777" w:rsidR="0045746F" w:rsidRDefault="0045746F">
            <w:r>
              <w:t>Erleichtert Auswahl passender Tools für abstrakte Inhalte</w:t>
            </w:r>
          </w:p>
        </w:tc>
      </w:tr>
      <w:tr w:rsidR="0045746F" w14:paraId="482DE3A1" w14:textId="77777777" w:rsidTr="0045746F">
        <w:trPr>
          <w:tblCellSpacing w:w="15" w:type="dxa"/>
        </w:trPr>
        <w:tc>
          <w:tcPr>
            <w:tcW w:w="0" w:type="auto"/>
            <w:vAlign w:val="center"/>
            <w:hideMark/>
          </w:tcPr>
          <w:p w14:paraId="0533027D" w14:textId="77777777" w:rsidR="0045746F" w:rsidRDefault="0045746F">
            <w:r>
              <w:t>2.3.3 Curriculare Machbarkeit</w:t>
            </w:r>
          </w:p>
        </w:tc>
        <w:tc>
          <w:tcPr>
            <w:tcW w:w="0" w:type="auto"/>
            <w:vAlign w:val="center"/>
            <w:hideMark/>
          </w:tcPr>
          <w:p w14:paraId="10F317F5" w14:textId="77777777" w:rsidR="0045746F" w:rsidRDefault="0045746F">
            <w:r>
              <w:t>Themen-Matrix: Anwendungen vs. Schulcurriculum</w:t>
            </w:r>
          </w:p>
        </w:tc>
        <w:tc>
          <w:tcPr>
            <w:tcW w:w="0" w:type="auto"/>
            <w:vAlign w:val="center"/>
            <w:hideMark/>
          </w:tcPr>
          <w:p w14:paraId="58EABB5D" w14:textId="77777777" w:rsidR="0045746F" w:rsidRDefault="0045746F">
            <w:r>
              <w:t>anlage_2_3_3_curriculum_matrix.xlsx</w:t>
            </w:r>
          </w:p>
        </w:tc>
        <w:tc>
          <w:tcPr>
            <w:tcW w:w="0" w:type="auto"/>
            <w:vAlign w:val="center"/>
            <w:hideMark/>
          </w:tcPr>
          <w:p w14:paraId="4022C2D1" w14:textId="77777777" w:rsidR="0045746F" w:rsidRDefault="0045746F">
            <w:r>
              <w:t>Vergleich interdisziplinärer Inhalte mit Lehrplanbezug</w:t>
            </w:r>
          </w:p>
        </w:tc>
        <w:tc>
          <w:tcPr>
            <w:tcW w:w="0" w:type="auto"/>
            <w:vAlign w:val="center"/>
            <w:hideMark/>
          </w:tcPr>
          <w:p w14:paraId="10989236" w14:textId="77777777" w:rsidR="0045746F" w:rsidRDefault="0045746F">
            <w:r>
              <w:t>Argumentationshilfe für fächerübergreifenden Unterricht</w:t>
            </w:r>
          </w:p>
        </w:tc>
      </w:tr>
      <w:tr w:rsidR="0045746F" w14:paraId="10A1F58F" w14:textId="77777777" w:rsidTr="0045746F">
        <w:trPr>
          <w:tblCellSpacing w:w="15" w:type="dxa"/>
        </w:trPr>
        <w:tc>
          <w:tcPr>
            <w:tcW w:w="0" w:type="auto"/>
            <w:vAlign w:val="center"/>
            <w:hideMark/>
          </w:tcPr>
          <w:p w14:paraId="2382724E" w14:textId="77777777" w:rsidR="0045746F" w:rsidRDefault="0045746F">
            <w:r>
              <w:t>2.4.1 Methodischer Anspruch</w:t>
            </w:r>
          </w:p>
        </w:tc>
        <w:tc>
          <w:tcPr>
            <w:tcW w:w="0" w:type="auto"/>
            <w:vAlign w:val="center"/>
            <w:hideMark/>
          </w:tcPr>
          <w:p w14:paraId="5E67D381" w14:textId="77777777" w:rsidR="0045746F" w:rsidRDefault="0045746F">
            <w:r>
              <w:t>Unterrichtsmodul: Funktionale Bezugssysteme</w:t>
            </w:r>
          </w:p>
        </w:tc>
        <w:tc>
          <w:tcPr>
            <w:tcW w:w="0" w:type="auto"/>
            <w:vAlign w:val="center"/>
            <w:hideMark/>
          </w:tcPr>
          <w:p w14:paraId="5029EC68" w14:textId="77777777" w:rsidR="0045746F" w:rsidRDefault="0045746F">
            <w:r>
              <w:t>anlage_2_4_1_modul_funktional.pdf</w:t>
            </w:r>
          </w:p>
        </w:tc>
        <w:tc>
          <w:tcPr>
            <w:tcW w:w="0" w:type="auto"/>
            <w:vAlign w:val="center"/>
            <w:hideMark/>
          </w:tcPr>
          <w:p w14:paraId="735F24E0" w14:textId="77777777" w:rsidR="0045746F" w:rsidRDefault="0045746F">
            <w:r>
              <w:t>Strukturierter Modulvorschlag mit Aufgaben, Zielen, Visualisierungen</w:t>
            </w:r>
          </w:p>
        </w:tc>
        <w:tc>
          <w:tcPr>
            <w:tcW w:w="0" w:type="auto"/>
            <w:vAlign w:val="center"/>
            <w:hideMark/>
          </w:tcPr>
          <w:p w14:paraId="24169013" w14:textId="77777777" w:rsidR="0045746F" w:rsidRDefault="0045746F">
            <w:r>
              <w:t>Kann direkt in Unterricht integriert oder angepasst werden</w:t>
            </w:r>
          </w:p>
        </w:tc>
      </w:tr>
      <w:tr w:rsidR="0045746F" w14:paraId="2451919E" w14:textId="77777777" w:rsidTr="0045746F">
        <w:trPr>
          <w:tblCellSpacing w:w="15" w:type="dxa"/>
        </w:trPr>
        <w:tc>
          <w:tcPr>
            <w:tcW w:w="0" w:type="auto"/>
            <w:vAlign w:val="center"/>
            <w:hideMark/>
          </w:tcPr>
          <w:p w14:paraId="30561B75" w14:textId="77777777" w:rsidR="0045746F" w:rsidRDefault="0045746F">
            <w:r>
              <w:t xml:space="preserve">2.5 Didaktische </w:t>
            </w:r>
            <w:r>
              <w:lastRenderedPageBreak/>
              <w:t>Empfehlungen</w:t>
            </w:r>
          </w:p>
        </w:tc>
        <w:tc>
          <w:tcPr>
            <w:tcW w:w="0" w:type="auto"/>
            <w:vAlign w:val="center"/>
            <w:hideMark/>
          </w:tcPr>
          <w:p w14:paraId="72682D4B" w14:textId="77777777" w:rsidR="0045746F" w:rsidRDefault="0045746F">
            <w:r>
              <w:lastRenderedPageBreak/>
              <w:t xml:space="preserve">Reflexionsbogen: </w:t>
            </w:r>
            <w:r>
              <w:lastRenderedPageBreak/>
              <w:t>Fehlvorstellungen erkennen</w:t>
            </w:r>
          </w:p>
        </w:tc>
        <w:tc>
          <w:tcPr>
            <w:tcW w:w="0" w:type="auto"/>
            <w:vAlign w:val="center"/>
            <w:hideMark/>
          </w:tcPr>
          <w:p w14:paraId="219E95A0" w14:textId="77777777" w:rsidR="0045746F" w:rsidRDefault="0045746F">
            <w:r>
              <w:lastRenderedPageBreak/>
              <w:t>anlage_2_5_1_reflexion_fehler.pdf</w:t>
            </w:r>
          </w:p>
        </w:tc>
        <w:tc>
          <w:tcPr>
            <w:tcW w:w="0" w:type="auto"/>
            <w:vAlign w:val="center"/>
            <w:hideMark/>
          </w:tcPr>
          <w:p w14:paraId="5BDEECDF" w14:textId="77777777" w:rsidR="0045746F" w:rsidRDefault="0045746F">
            <w:r>
              <w:t xml:space="preserve">Fragebogen zur Analyse und Korrektur </w:t>
            </w:r>
            <w:r>
              <w:lastRenderedPageBreak/>
              <w:t>typischer Fehlkonzepte</w:t>
            </w:r>
          </w:p>
        </w:tc>
        <w:tc>
          <w:tcPr>
            <w:tcW w:w="0" w:type="auto"/>
            <w:vAlign w:val="center"/>
            <w:hideMark/>
          </w:tcPr>
          <w:p w14:paraId="1232075F" w14:textId="77777777" w:rsidR="0045746F" w:rsidRDefault="0045746F">
            <w:r>
              <w:lastRenderedPageBreak/>
              <w:t xml:space="preserve">Dient der Förderung von </w:t>
            </w:r>
            <w:r>
              <w:lastRenderedPageBreak/>
              <w:t>Fehlerkultur und Metakognition</w:t>
            </w:r>
          </w:p>
        </w:tc>
      </w:tr>
      <w:tr w:rsidR="0045746F" w14:paraId="1FA1499A" w14:textId="77777777" w:rsidTr="0045746F">
        <w:trPr>
          <w:tblCellSpacing w:w="15" w:type="dxa"/>
        </w:trPr>
        <w:tc>
          <w:tcPr>
            <w:tcW w:w="0" w:type="auto"/>
            <w:vAlign w:val="center"/>
            <w:hideMark/>
          </w:tcPr>
          <w:p w14:paraId="684C2686" w14:textId="77777777" w:rsidR="0045746F" w:rsidRDefault="0045746F">
            <w:r>
              <w:lastRenderedPageBreak/>
              <w:t>2.5 Didaktische Empfehlungen</w:t>
            </w:r>
          </w:p>
        </w:tc>
        <w:tc>
          <w:tcPr>
            <w:tcW w:w="0" w:type="auto"/>
            <w:vAlign w:val="center"/>
            <w:hideMark/>
          </w:tcPr>
          <w:p w14:paraId="4C6ED180" w14:textId="77777777" w:rsidR="0045746F" w:rsidRDefault="0045746F">
            <w:r>
              <w:t>Python-Skript: Zeitdilatation</w:t>
            </w:r>
          </w:p>
        </w:tc>
        <w:tc>
          <w:tcPr>
            <w:tcW w:w="0" w:type="auto"/>
            <w:vAlign w:val="center"/>
            <w:hideMark/>
          </w:tcPr>
          <w:p w14:paraId="5267E7C7" w14:textId="77777777" w:rsidR="0045746F" w:rsidRDefault="0045746F">
            <w:r>
              <w:t>anlage_2_5_2_zeitdilatation_script.py</w:t>
            </w:r>
          </w:p>
        </w:tc>
        <w:tc>
          <w:tcPr>
            <w:tcW w:w="0" w:type="auto"/>
            <w:vAlign w:val="center"/>
            <w:hideMark/>
          </w:tcPr>
          <w:p w14:paraId="773393AF" w14:textId="77777777" w:rsidR="0045746F" w:rsidRDefault="0045746F">
            <w:r>
              <w:t>Beispielskript zur Visualisierung der Relativität von Zeit</w:t>
            </w:r>
          </w:p>
        </w:tc>
        <w:tc>
          <w:tcPr>
            <w:tcW w:w="0" w:type="auto"/>
            <w:vAlign w:val="center"/>
            <w:hideMark/>
          </w:tcPr>
          <w:p w14:paraId="10B58AFA" w14:textId="77777777" w:rsidR="0045746F" w:rsidRDefault="0045746F">
            <w:r>
              <w:t>Praktisches Beispiel für digital unterstütztes Lernen</w:t>
            </w:r>
          </w:p>
        </w:tc>
      </w:tr>
      <w:tr w:rsidR="0045746F" w14:paraId="352515FB" w14:textId="77777777" w:rsidTr="0045746F">
        <w:trPr>
          <w:tblCellSpacing w:w="15" w:type="dxa"/>
        </w:trPr>
        <w:tc>
          <w:tcPr>
            <w:tcW w:w="0" w:type="auto"/>
            <w:vAlign w:val="center"/>
            <w:hideMark/>
          </w:tcPr>
          <w:p w14:paraId="099155F1" w14:textId="77777777" w:rsidR="0045746F" w:rsidRDefault="0045746F">
            <w:r>
              <w:t>Gesamtkapitel</w:t>
            </w:r>
          </w:p>
        </w:tc>
        <w:tc>
          <w:tcPr>
            <w:tcW w:w="0" w:type="auto"/>
            <w:vAlign w:val="center"/>
            <w:hideMark/>
          </w:tcPr>
          <w:p w14:paraId="279AAC7C" w14:textId="77777777" w:rsidR="0045746F" w:rsidRDefault="0045746F">
            <w:r>
              <w:t>Literaturtabelle: Quellen Kapitel 2</w:t>
            </w:r>
          </w:p>
        </w:tc>
        <w:tc>
          <w:tcPr>
            <w:tcW w:w="0" w:type="auto"/>
            <w:vAlign w:val="center"/>
            <w:hideMark/>
          </w:tcPr>
          <w:p w14:paraId="73D7D1C8" w14:textId="77777777" w:rsidR="0045746F" w:rsidRDefault="0045746F">
            <w:r>
              <w:t>anlage_2_0_gesamt_literatur.xlsx</w:t>
            </w:r>
          </w:p>
        </w:tc>
        <w:tc>
          <w:tcPr>
            <w:tcW w:w="0" w:type="auto"/>
            <w:vAlign w:val="center"/>
            <w:hideMark/>
          </w:tcPr>
          <w:p w14:paraId="3997E376" w14:textId="77777777" w:rsidR="0045746F" w:rsidRDefault="0045746F">
            <w:r>
              <w:t>Übersicht aller zitierter Werke mit Kurztiteln, vollständigen Angaben</w:t>
            </w:r>
          </w:p>
        </w:tc>
        <w:tc>
          <w:tcPr>
            <w:tcW w:w="0" w:type="auto"/>
            <w:vAlign w:val="center"/>
            <w:hideMark/>
          </w:tcPr>
          <w:p w14:paraId="12FDFECF" w14:textId="77777777" w:rsidR="0045746F" w:rsidRDefault="0045746F">
            <w:r>
              <w:t xml:space="preserve">Erleichtert die </w:t>
            </w:r>
            <w:proofErr w:type="spellStart"/>
            <w:r>
              <w:t>Referenzierung</w:t>
            </w:r>
            <w:proofErr w:type="spellEnd"/>
            <w:r>
              <w:t>, auch für Anhang oder Literaturverzeichnis</w:t>
            </w:r>
          </w:p>
        </w:tc>
      </w:tr>
    </w:tbl>
    <w:p w14:paraId="6AC8FC4C" w14:textId="77777777" w:rsidR="0045746F" w:rsidRDefault="00E3432A" w:rsidP="0045746F">
      <w:r>
        <w:pict w14:anchorId="5639C077">
          <v:rect id="_x0000_i1035" style="width:0;height:1.5pt" o:hralign="center" o:hrstd="t" o:hr="t" fillcolor="#a0a0a0" stroked="f"/>
        </w:pict>
      </w:r>
    </w:p>
    <w:p w14:paraId="3B83DFB4" w14:textId="77777777" w:rsidR="0045746F" w:rsidRDefault="0045746F" w:rsidP="0045746F">
      <w:pPr>
        <w:pStyle w:val="StandardWeb"/>
      </w:pPr>
      <w:r>
        <w:rPr>
          <w:rStyle w:val="Fett"/>
        </w:rPr>
        <w:t>Hinweise:</w:t>
      </w:r>
    </w:p>
    <w:p w14:paraId="474565B7" w14:textId="77777777" w:rsidR="0045746F" w:rsidRDefault="0045746F"/>
    <w:sectPr w:rsidR="0045746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246701"/>
    <w:multiLevelType w:val="multilevel"/>
    <w:tmpl w:val="AFBC3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01C200A"/>
    <w:multiLevelType w:val="multilevel"/>
    <w:tmpl w:val="9EACC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F77A74"/>
    <w:multiLevelType w:val="multilevel"/>
    <w:tmpl w:val="2BD87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EFC"/>
    <w:rsid w:val="0045746F"/>
    <w:rsid w:val="0059657C"/>
    <w:rsid w:val="008871CF"/>
    <w:rsid w:val="008F7035"/>
    <w:rsid w:val="00A11EFC"/>
    <w:rsid w:val="00A90F2E"/>
    <w:rsid w:val="00E3432A"/>
    <w:rsid w:val="00E6450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F377B"/>
  <w15:chartTrackingRefBased/>
  <w15:docId w15:val="{67C95094-927C-4B02-A550-DBE3B6070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link w:val="berschrift1Zchn"/>
    <w:uiPriority w:val="9"/>
    <w:qFormat/>
    <w:rsid w:val="00A11EF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de-DE"/>
    </w:rPr>
  </w:style>
  <w:style w:type="paragraph" w:styleId="berschrift2">
    <w:name w:val="heading 2"/>
    <w:basedOn w:val="Standard"/>
    <w:link w:val="berschrift2Zchn"/>
    <w:uiPriority w:val="9"/>
    <w:qFormat/>
    <w:rsid w:val="00A11EFC"/>
    <w:pPr>
      <w:spacing w:before="100" w:beforeAutospacing="1" w:after="100" w:afterAutospacing="1" w:line="240" w:lineRule="auto"/>
      <w:outlineLvl w:val="1"/>
    </w:pPr>
    <w:rPr>
      <w:rFonts w:ascii="Times New Roman" w:eastAsia="Times New Roman" w:hAnsi="Times New Roman" w:cs="Times New Roman"/>
      <w:b/>
      <w:bCs/>
      <w:sz w:val="36"/>
      <w:szCs w:val="36"/>
      <w:lang w:eastAsia="de-DE"/>
    </w:rPr>
  </w:style>
  <w:style w:type="paragraph" w:styleId="berschrift3">
    <w:name w:val="heading 3"/>
    <w:basedOn w:val="Standard"/>
    <w:link w:val="berschrift3Zchn"/>
    <w:uiPriority w:val="9"/>
    <w:qFormat/>
    <w:rsid w:val="00A11EFC"/>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11EFC"/>
    <w:rPr>
      <w:rFonts w:ascii="Times New Roman" w:eastAsia="Times New Roman" w:hAnsi="Times New Roman" w:cs="Times New Roman"/>
      <w:b/>
      <w:bCs/>
      <w:kern w:val="36"/>
      <w:sz w:val="48"/>
      <w:szCs w:val="48"/>
      <w:lang w:eastAsia="de-DE"/>
    </w:rPr>
  </w:style>
  <w:style w:type="character" w:customStyle="1" w:styleId="berschrift2Zchn">
    <w:name w:val="Überschrift 2 Zchn"/>
    <w:basedOn w:val="Absatz-Standardschriftart"/>
    <w:link w:val="berschrift2"/>
    <w:uiPriority w:val="9"/>
    <w:rsid w:val="00A11EFC"/>
    <w:rPr>
      <w:rFonts w:ascii="Times New Roman" w:eastAsia="Times New Roman" w:hAnsi="Times New Roman" w:cs="Times New Roman"/>
      <w:b/>
      <w:bCs/>
      <w:sz w:val="36"/>
      <w:szCs w:val="36"/>
      <w:lang w:eastAsia="de-DE"/>
    </w:rPr>
  </w:style>
  <w:style w:type="character" w:customStyle="1" w:styleId="berschrift3Zchn">
    <w:name w:val="Überschrift 3 Zchn"/>
    <w:basedOn w:val="Absatz-Standardschriftart"/>
    <w:link w:val="berschrift3"/>
    <w:uiPriority w:val="9"/>
    <w:rsid w:val="00A11EFC"/>
    <w:rPr>
      <w:rFonts w:ascii="Times New Roman" w:eastAsia="Times New Roman" w:hAnsi="Times New Roman" w:cs="Times New Roman"/>
      <w:b/>
      <w:bCs/>
      <w:sz w:val="27"/>
      <w:szCs w:val="27"/>
      <w:lang w:eastAsia="de-DE"/>
    </w:rPr>
  </w:style>
  <w:style w:type="paragraph" w:styleId="StandardWeb">
    <w:name w:val="Normal (Web)"/>
    <w:basedOn w:val="Standard"/>
    <w:uiPriority w:val="99"/>
    <w:semiHidden/>
    <w:unhideWhenUsed/>
    <w:rsid w:val="00A11EFC"/>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A11EFC"/>
    <w:rPr>
      <w:b/>
      <w:bCs/>
    </w:rPr>
  </w:style>
  <w:style w:type="character" w:styleId="Hervorhebung">
    <w:name w:val="Emphasis"/>
    <w:basedOn w:val="Absatz-Standardschriftart"/>
    <w:uiPriority w:val="20"/>
    <w:qFormat/>
    <w:rsid w:val="00A11EF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0572342">
      <w:bodyDiv w:val="1"/>
      <w:marLeft w:val="0"/>
      <w:marRight w:val="0"/>
      <w:marTop w:val="0"/>
      <w:marBottom w:val="0"/>
      <w:divBdr>
        <w:top w:val="none" w:sz="0" w:space="0" w:color="auto"/>
        <w:left w:val="none" w:sz="0" w:space="0" w:color="auto"/>
        <w:bottom w:val="none" w:sz="0" w:space="0" w:color="auto"/>
        <w:right w:val="none" w:sz="0" w:space="0" w:color="auto"/>
      </w:divBdr>
    </w:div>
    <w:div w:id="370226462">
      <w:bodyDiv w:val="1"/>
      <w:marLeft w:val="0"/>
      <w:marRight w:val="0"/>
      <w:marTop w:val="0"/>
      <w:marBottom w:val="0"/>
      <w:divBdr>
        <w:top w:val="none" w:sz="0" w:space="0" w:color="auto"/>
        <w:left w:val="none" w:sz="0" w:space="0" w:color="auto"/>
        <w:bottom w:val="none" w:sz="0" w:space="0" w:color="auto"/>
        <w:right w:val="none" w:sz="0" w:space="0" w:color="auto"/>
      </w:divBdr>
      <w:divsChild>
        <w:div w:id="1164777961">
          <w:marLeft w:val="0"/>
          <w:marRight w:val="0"/>
          <w:marTop w:val="0"/>
          <w:marBottom w:val="0"/>
          <w:divBdr>
            <w:top w:val="none" w:sz="0" w:space="0" w:color="auto"/>
            <w:left w:val="none" w:sz="0" w:space="0" w:color="auto"/>
            <w:bottom w:val="none" w:sz="0" w:space="0" w:color="auto"/>
            <w:right w:val="none" w:sz="0" w:space="0" w:color="auto"/>
          </w:divBdr>
          <w:divsChild>
            <w:div w:id="678656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962473">
      <w:bodyDiv w:val="1"/>
      <w:marLeft w:val="0"/>
      <w:marRight w:val="0"/>
      <w:marTop w:val="0"/>
      <w:marBottom w:val="0"/>
      <w:divBdr>
        <w:top w:val="none" w:sz="0" w:space="0" w:color="auto"/>
        <w:left w:val="none" w:sz="0" w:space="0" w:color="auto"/>
        <w:bottom w:val="none" w:sz="0" w:space="0" w:color="auto"/>
        <w:right w:val="none" w:sz="0" w:space="0" w:color="auto"/>
      </w:divBdr>
      <w:divsChild>
        <w:div w:id="896084082">
          <w:marLeft w:val="0"/>
          <w:marRight w:val="0"/>
          <w:marTop w:val="0"/>
          <w:marBottom w:val="0"/>
          <w:divBdr>
            <w:top w:val="none" w:sz="0" w:space="0" w:color="auto"/>
            <w:left w:val="none" w:sz="0" w:space="0" w:color="auto"/>
            <w:bottom w:val="none" w:sz="0" w:space="0" w:color="auto"/>
            <w:right w:val="none" w:sz="0" w:space="0" w:color="auto"/>
          </w:divBdr>
          <w:divsChild>
            <w:div w:id="834732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499918">
      <w:bodyDiv w:val="1"/>
      <w:marLeft w:val="0"/>
      <w:marRight w:val="0"/>
      <w:marTop w:val="0"/>
      <w:marBottom w:val="0"/>
      <w:divBdr>
        <w:top w:val="none" w:sz="0" w:space="0" w:color="auto"/>
        <w:left w:val="none" w:sz="0" w:space="0" w:color="auto"/>
        <w:bottom w:val="none" w:sz="0" w:space="0" w:color="auto"/>
        <w:right w:val="none" w:sz="0" w:space="0" w:color="auto"/>
      </w:divBdr>
      <w:divsChild>
        <w:div w:id="2050103770">
          <w:blockQuote w:val="1"/>
          <w:marLeft w:val="720"/>
          <w:marRight w:val="720"/>
          <w:marTop w:val="100"/>
          <w:marBottom w:val="100"/>
          <w:divBdr>
            <w:top w:val="none" w:sz="0" w:space="0" w:color="auto"/>
            <w:left w:val="none" w:sz="0" w:space="0" w:color="auto"/>
            <w:bottom w:val="none" w:sz="0" w:space="0" w:color="auto"/>
            <w:right w:val="none" w:sz="0" w:space="0" w:color="auto"/>
          </w:divBdr>
        </w:div>
        <w:div w:id="1367678314">
          <w:blockQuote w:val="1"/>
          <w:marLeft w:val="720"/>
          <w:marRight w:val="720"/>
          <w:marTop w:val="100"/>
          <w:marBottom w:val="100"/>
          <w:divBdr>
            <w:top w:val="none" w:sz="0" w:space="0" w:color="auto"/>
            <w:left w:val="none" w:sz="0" w:space="0" w:color="auto"/>
            <w:bottom w:val="none" w:sz="0" w:space="0" w:color="auto"/>
            <w:right w:val="none" w:sz="0" w:space="0" w:color="auto"/>
          </w:divBdr>
        </w:div>
        <w:div w:id="164366078">
          <w:blockQuote w:val="1"/>
          <w:marLeft w:val="720"/>
          <w:marRight w:val="720"/>
          <w:marTop w:val="100"/>
          <w:marBottom w:val="100"/>
          <w:divBdr>
            <w:top w:val="none" w:sz="0" w:space="0" w:color="auto"/>
            <w:left w:val="none" w:sz="0" w:space="0" w:color="auto"/>
            <w:bottom w:val="none" w:sz="0" w:space="0" w:color="auto"/>
            <w:right w:val="none" w:sz="0" w:space="0" w:color="auto"/>
          </w:divBdr>
        </w:div>
        <w:div w:id="903612358">
          <w:blockQuote w:val="1"/>
          <w:marLeft w:val="720"/>
          <w:marRight w:val="720"/>
          <w:marTop w:val="100"/>
          <w:marBottom w:val="100"/>
          <w:divBdr>
            <w:top w:val="none" w:sz="0" w:space="0" w:color="auto"/>
            <w:left w:val="none" w:sz="0" w:space="0" w:color="auto"/>
            <w:bottom w:val="none" w:sz="0" w:space="0" w:color="auto"/>
            <w:right w:val="none" w:sz="0" w:space="0" w:color="auto"/>
          </w:divBdr>
        </w:div>
        <w:div w:id="11139445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6142697">
      <w:bodyDiv w:val="1"/>
      <w:marLeft w:val="0"/>
      <w:marRight w:val="0"/>
      <w:marTop w:val="0"/>
      <w:marBottom w:val="0"/>
      <w:divBdr>
        <w:top w:val="none" w:sz="0" w:space="0" w:color="auto"/>
        <w:left w:val="none" w:sz="0" w:space="0" w:color="auto"/>
        <w:bottom w:val="none" w:sz="0" w:space="0" w:color="auto"/>
        <w:right w:val="none" w:sz="0" w:space="0" w:color="auto"/>
      </w:divBdr>
      <w:divsChild>
        <w:div w:id="1943099495">
          <w:blockQuote w:val="1"/>
          <w:marLeft w:val="720"/>
          <w:marRight w:val="720"/>
          <w:marTop w:val="100"/>
          <w:marBottom w:val="100"/>
          <w:divBdr>
            <w:top w:val="none" w:sz="0" w:space="0" w:color="auto"/>
            <w:left w:val="none" w:sz="0" w:space="0" w:color="auto"/>
            <w:bottom w:val="none" w:sz="0" w:space="0" w:color="auto"/>
            <w:right w:val="none" w:sz="0" w:space="0" w:color="auto"/>
          </w:divBdr>
        </w:div>
        <w:div w:id="183903968">
          <w:blockQuote w:val="1"/>
          <w:marLeft w:val="720"/>
          <w:marRight w:val="720"/>
          <w:marTop w:val="100"/>
          <w:marBottom w:val="100"/>
          <w:divBdr>
            <w:top w:val="none" w:sz="0" w:space="0" w:color="auto"/>
            <w:left w:val="none" w:sz="0" w:space="0" w:color="auto"/>
            <w:bottom w:val="none" w:sz="0" w:space="0" w:color="auto"/>
            <w:right w:val="none" w:sz="0" w:space="0" w:color="auto"/>
          </w:divBdr>
        </w:div>
        <w:div w:id="60056752">
          <w:blockQuote w:val="1"/>
          <w:marLeft w:val="720"/>
          <w:marRight w:val="720"/>
          <w:marTop w:val="100"/>
          <w:marBottom w:val="100"/>
          <w:divBdr>
            <w:top w:val="none" w:sz="0" w:space="0" w:color="auto"/>
            <w:left w:val="none" w:sz="0" w:space="0" w:color="auto"/>
            <w:bottom w:val="none" w:sz="0" w:space="0" w:color="auto"/>
            <w:right w:val="none" w:sz="0" w:space="0" w:color="auto"/>
          </w:divBdr>
        </w:div>
        <w:div w:id="17348866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880333">
      <w:bodyDiv w:val="1"/>
      <w:marLeft w:val="0"/>
      <w:marRight w:val="0"/>
      <w:marTop w:val="0"/>
      <w:marBottom w:val="0"/>
      <w:divBdr>
        <w:top w:val="none" w:sz="0" w:space="0" w:color="auto"/>
        <w:left w:val="none" w:sz="0" w:space="0" w:color="auto"/>
        <w:bottom w:val="none" w:sz="0" w:space="0" w:color="auto"/>
        <w:right w:val="none" w:sz="0" w:space="0" w:color="auto"/>
      </w:divBdr>
      <w:divsChild>
        <w:div w:id="150802294">
          <w:blockQuote w:val="1"/>
          <w:marLeft w:val="720"/>
          <w:marRight w:val="720"/>
          <w:marTop w:val="100"/>
          <w:marBottom w:val="100"/>
          <w:divBdr>
            <w:top w:val="none" w:sz="0" w:space="0" w:color="auto"/>
            <w:left w:val="none" w:sz="0" w:space="0" w:color="auto"/>
            <w:bottom w:val="none" w:sz="0" w:space="0" w:color="auto"/>
            <w:right w:val="none" w:sz="0" w:space="0" w:color="auto"/>
          </w:divBdr>
        </w:div>
        <w:div w:id="541677589">
          <w:blockQuote w:val="1"/>
          <w:marLeft w:val="720"/>
          <w:marRight w:val="720"/>
          <w:marTop w:val="100"/>
          <w:marBottom w:val="100"/>
          <w:divBdr>
            <w:top w:val="none" w:sz="0" w:space="0" w:color="auto"/>
            <w:left w:val="none" w:sz="0" w:space="0" w:color="auto"/>
            <w:bottom w:val="none" w:sz="0" w:space="0" w:color="auto"/>
            <w:right w:val="none" w:sz="0" w:space="0" w:color="auto"/>
          </w:divBdr>
        </w:div>
        <w:div w:id="9707885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1693291">
      <w:bodyDiv w:val="1"/>
      <w:marLeft w:val="0"/>
      <w:marRight w:val="0"/>
      <w:marTop w:val="0"/>
      <w:marBottom w:val="0"/>
      <w:divBdr>
        <w:top w:val="none" w:sz="0" w:space="0" w:color="auto"/>
        <w:left w:val="none" w:sz="0" w:space="0" w:color="auto"/>
        <w:bottom w:val="none" w:sz="0" w:space="0" w:color="auto"/>
        <w:right w:val="none" w:sz="0" w:space="0" w:color="auto"/>
      </w:divBdr>
    </w:div>
    <w:div w:id="1082681334">
      <w:bodyDiv w:val="1"/>
      <w:marLeft w:val="0"/>
      <w:marRight w:val="0"/>
      <w:marTop w:val="0"/>
      <w:marBottom w:val="0"/>
      <w:divBdr>
        <w:top w:val="none" w:sz="0" w:space="0" w:color="auto"/>
        <w:left w:val="none" w:sz="0" w:space="0" w:color="auto"/>
        <w:bottom w:val="none" w:sz="0" w:space="0" w:color="auto"/>
        <w:right w:val="none" w:sz="0" w:space="0" w:color="auto"/>
      </w:divBdr>
    </w:div>
    <w:div w:id="1614360235">
      <w:bodyDiv w:val="1"/>
      <w:marLeft w:val="0"/>
      <w:marRight w:val="0"/>
      <w:marTop w:val="0"/>
      <w:marBottom w:val="0"/>
      <w:divBdr>
        <w:top w:val="none" w:sz="0" w:space="0" w:color="auto"/>
        <w:left w:val="none" w:sz="0" w:space="0" w:color="auto"/>
        <w:bottom w:val="none" w:sz="0" w:space="0" w:color="auto"/>
        <w:right w:val="none" w:sz="0" w:space="0" w:color="auto"/>
      </w:divBdr>
      <w:divsChild>
        <w:div w:id="1484543677">
          <w:blockQuote w:val="1"/>
          <w:marLeft w:val="720"/>
          <w:marRight w:val="720"/>
          <w:marTop w:val="100"/>
          <w:marBottom w:val="100"/>
          <w:divBdr>
            <w:top w:val="none" w:sz="0" w:space="0" w:color="auto"/>
            <w:left w:val="none" w:sz="0" w:space="0" w:color="auto"/>
            <w:bottom w:val="none" w:sz="0" w:space="0" w:color="auto"/>
            <w:right w:val="none" w:sz="0" w:space="0" w:color="auto"/>
          </w:divBdr>
        </w:div>
        <w:div w:id="900868970">
          <w:blockQuote w:val="1"/>
          <w:marLeft w:val="720"/>
          <w:marRight w:val="720"/>
          <w:marTop w:val="100"/>
          <w:marBottom w:val="100"/>
          <w:divBdr>
            <w:top w:val="none" w:sz="0" w:space="0" w:color="auto"/>
            <w:left w:val="none" w:sz="0" w:space="0" w:color="auto"/>
            <w:bottom w:val="none" w:sz="0" w:space="0" w:color="auto"/>
            <w:right w:val="none" w:sz="0" w:space="0" w:color="auto"/>
          </w:divBdr>
        </w:div>
        <w:div w:id="258804838">
          <w:blockQuote w:val="1"/>
          <w:marLeft w:val="720"/>
          <w:marRight w:val="720"/>
          <w:marTop w:val="100"/>
          <w:marBottom w:val="100"/>
          <w:divBdr>
            <w:top w:val="none" w:sz="0" w:space="0" w:color="auto"/>
            <w:left w:val="none" w:sz="0" w:space="0" w:color="auto"/>
            <w:bottom w:val="none" w:sz="0" w:space="0" w:color="auto"/>
            <w:right w:val="none" w:sz="0" w:space="0" w:color="auto"/>
          </w:divBdr>
        </w:div>
        <w:div w:id="802498629">
          <w:blockQuote w:val="1"/>
          <w:marLeft w:val="720"/>
          <w:marRight w:val="720"/>
          <w:marTop w:val="100"/>
          <w:marBottom w:val="100"/>
          <w:divBdr>
            <w:top w:val="none" w:sz="0" w:space="0" w:color="auto"/>
            <w:left w:val="none" w:sz="0" w:space="0" w:color="auto"/>
            <w:bottom w:val="none" w:sz="0" w:space="0" w:color="auto"/>
            <w:right w:val="none" w:sz="0" w:space="0" w:color="auto"/>
          </w:divBdr>
        </w:div>
        <w:div w:id="246442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4049</Words>
  <Characters>25509</Characters>
  <Application>Microsoft Office Word</Application>
  <DocSecurity>0</DocSecurity>
  <Lines>212</Lines>
  <Paragraphs>58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29500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5</cp:revision>
  <dcterms:created xsi:type="dcterms:W3CDTF">2025-05-27T04:44:00Z</dcterms:created>
  <dcterms:modified xsi:type="dcterms:W3CDTF">2025-05-27T05:50:00Z</dcterms:modified>
</cp:coreProperties>
</file>