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ACEEE" w14:textId="77777777" w:rsidR="000802DC" w:rsidRPr="000802DC" w:rsidRDefault="000802DC" w:rsidP="000802DC">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0802DC">
        <w:rPr>
          <w:rFonts w:ascii="Arial" w:eastAsia="Times New Roman" w:hAnsi="Arial" w:cs="Arial"/>
          <w:color w:val="3F3F46"/>
          <w:sz w:val="24"/>
          <w:szCs w:val="24"/>
          <w:lang w:eastAsia="de-DE"/>
        </w:rPr>
        <w:t>Hier ist eine ausführliche Zeitleiste zur historischen Entwicklung physikalischer Bezugssysteme, basierend auf den Angaben aus dem Dokument „2.1 Historische Entwicklung Zeitleiste_Bezugssysteme.pdf“ und den ergänzenden Inhalten aus dem Kapitel 2.1:</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4"/>
        <w:gridCol w:w="1830"/>
        <w:gridCol w:w="4067"/>
        <w:gridCol w:w="4289"/>
      </w:tblGrid>
      <w:tr w:rsidR="000802DC" w:rsidRPr="000802DC" w14:paraId="50370057" w14:textId="77777777" w:rsidTr="000802DC">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4912FD2" w14:textId="77777777" w:rsidR="000802DC" w:rsidRPr="000802DC" w:rsidRDefault="000802DC" w:rsidP="000802DC">
            <w:pPr>
              <w:spacing w:after="0" w:line="240" w:lineRule="auto"/>
              <w:rPr>
                <w:rFonts w:ascii="Times New Roman" w:eastAsia="Times New Roman" w:hAnsi="Times New Roman" w:cs="Times New Roman"/>
                <w:color w:val="71717A"/>
                <w:spacing w:val="6"/>
                <w:sz w:val="21"/>
                <w:szCs w:val="21"/>
                <w:lang w:eastAsia="de-DE"/>
              </w:rPr>
            </w:pPr>
            <w:r w:rsidRPr="000802DC">
              <w:rPr>
                <w:rFonts w:ascii="Times New Roman" w:eastAsia="Times New Roman" w:hAnsi="Times New Roman" w:cs="Times New Roman"/>
                <w:color w:val="71717A"/>
                <w:spacing w:val="6"/>
                <w:sz w:val="21"/>
                <w:szCs w:val="21"/>
                <w:lang w:eastAsia="de-DE"/>
              </w:rPr>
              <w:t>Zeitpunkt / Epoche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0E436F9" w14:textId="77777777" w:rsidR="000802DC" w:rsidRPr="000802DC" w:rsidRDefault="000802DC" w:rsidP="000802DC">
            <w:pPr>
              <w:spacing w:after="0" w:line="240" w:lineRule="auto"/>
              <w:rPr>
                <w:rFonts w:ascii="Times New Roman" w:eastAsia="Times New Roman" w:hAnsi="Times New Roman" w:cs="Times New Roman"/>
                <w:color w:val="71717A"/>
                <w:spacing w:val="6"/>
                <w:sz w:val="21"/>
                <w:szCs w:val="21"/>
                <w:lang w:eastAsia="de-DE"/>
              </w:rPr>
            </w:pPr>
            <w:r w:rsidRPr="000802DC">
              <w:rPr>
                <w:rFonts w:ascii="Times New Roman" w:eastAsia="Times New Roman" w:hAnsi="Times New Roman" w:cs="Times New Roman"/>
                <w:color w:val="71717A"/>
                <w:spacing w:val="6"/>
                <w:sz w:val="21"/>
                <w:szCs w:val="21"/>
                <w:lang w:eastAsia="de-DE"/>
              </w:rPr>
              <w:t>Person(en)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1DC453" w14:textId="77777777" w:rsidR="000802DC" w:rsidRPr="000802DC" w:rsidRDefault="000802DC" w:rsidP="000802DC">
            <w:pPr>
              <w:spacing w:after="0" w:line="240" w:lineRule="auto"/>
              <w:rPr>
                <w:rFonts w:ascii="Times New Roman" w:eastAsia="Times New Roman" w:hAnsi="Times New Roman" w:cs="Times New Roman"/>
                <w:color w:val="71717A"/>
                <w:spacing w:val="6"/>
                <w:sz w:val="21"/>
                <w:szCs w:val="21"/>
                <w:lang w:eastAsia="de-DE"/>
              </w:rPr>
            </w:pPr>
            <w:r w:rsidRPr="000802DC">
              <w:rPr>
                <w:rFonts w:ascii="Times New Roman" w:eastAsia="Times New Roman" w:hAnsi="Times New Roman" w:cs="Times New Roman"/>
                <w:color w:val="71717A"/>
                <w:spacing w:val="6"/>
                <w:sz w:val="21"/>
                <w:szCs w:val="21"/>
                <w:lang w:eastAsia="de-DE"/>
              </w:rPr>
              <w:t>Schlüsselkonzepte / Beiträge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7018423" w14:textId="77777777" w:rsidR="000802DC" w:rsidRPr="000802DC" w:rsidRDefault="000802DC" w:rsidP="000802DC">
            <w:pPr>
              <w:spacing w:after="0" w:line="240" w:lineRule="auto"/>
              <w:rPr>
                <w:rFonts w:ascii="Times New Roman" w:eastAsia="Times New Roman" w:hAnsi="Times New Roman" w:cs="Times New Roman"/>
                <w:color w:val="71717A"/>
                <w:spacing w:val="6"/>
                <w:sz w:val="21"/>
                <w:szCs w:val="21"/>
                <w:lang w:eastAsia="de-DE"/>
              </w:rPr>
            </w:pPr>
            <w:r w:rsidRPr="000802DC">
              <w:rPr>
                <w:rFonts w:ascii="Times New Roman" w:eastAsia="Times New Roman" w:hAnsi="Times New Roman" w:cs="Times New Roman"/>
                <w:color w:val="71717A"/>
                <w:spacing w:val="6"/>
                <w:sz w:val="21"/>
                <w:szCs w:val="21"/>
                <w:lang w:eastAsia="de-DE"/>
              </w:rPr>
              <w:t>Erläuterung</w:t>
            </w:r>
          </w:p>
        </w:tc>
      </w:tr>
      <w:tr w:rsidR="000802DC" w:rsidRPr="000802DC" w14:paraId="0AF242B8"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6914EA56"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ca. 350 v. Chr.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26ED230"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Aristoteles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0825952"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Teleologisches Raumverständnis: Jeder Körper strebt natürlichen Ort an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3A98F7B"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Raum als qualitativ strukturierter Bereich, kein universelles Bezugssystem, Bewegung als Zielgerichtetheit</w:t>
            </w:r>
          </w:p>
        </w:tc>
      </w:tr>
      <w:tr w:rsidR="000802DC" w:rsidRPr="000802DC" w14:paraId="04C08F15"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0AF648F1"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1543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558EC97"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Nikolaus Kopernikus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7928AE"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proofErr w:type="spellStart"/>
            <w:r w:rsidRPr="000802DC">
              <w:rPr>
                <w:rFonts w:ascii="Times New Roman" w:eastAsia="Times New Roman" w:hAnsi="Times New Roman" w:cs="Times New Roman"/>
                <w:sz w:val="21"/>
                <w:szCs w:val="21"/>
                <w:lang w:eastAsia="de-DE"/>
              </w:rPr>
              <w:t>Heliocentrisches</w:t>
            </w:r>
            <w:proofErr w:type="spellEnd"/>
            <w:r w:rsidRPr="000802DC">
              <w:rPr>
                <w:rFonts w:ascii="Times New Roman" w:eastAsia="Times New Roman" w:hAnsi="Times New Roman" w:cs="Times New Roman"/>
                <w:sz w:val="21"/>
                <w:szCs w:val="21"/>
                <w:lang w:eastAsia="de-DE"/>
              </w:rPr>
              <w:t xml:space="preserve"> Weltbild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61A9485"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Revolutionäre Verschiebung des Bezugssystems von Erde auf Sonne</w:t>
            </w:r>
          </w:p>
        </w:tc>
      </w:tr>
      <w:tr w:rsidR="000802DC" w:rsidRPr="000802DC" w14:paraId="1D4F4764"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6A3DC728"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1632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0E4204"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Galileo Galilei</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07704A"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Relativitätsprinzip der gleichförmigen Bewegung; Gedankenexperiment „Person unter Deck auf Schiff“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6BA2BE"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 xml:space="preserve">Bewegung ist relativ; </w:t>
            </w:r>
            <w:proofErr w:type="gramStart"/>
            <w:r w:rsidRPr="000802DC">
              <w:rPr>
                <w:rFonts w:ascii="Times New Roman" w:eastAsia="Times New Roman" w:hAnsi="Times New Roman" w:cs="Times New Roman"/>
                <w:sz w:val="21"/>
                <w:szCs w:val="21"/>
                <w:lang w:eastAsia="de-DE"/>
              </w:rPr>
              <w:t>keine Experiment</w:t>
            </w:r>
            <w:proofErr w:type="gramEnd"/>
            <w:r w:rsidRPr="000802DC">
              <w:rPr>
                <w:rFonts w:ascii="Times New Roman" w:eastAsia="Times New Roman" w:hAnsi="Times New Roman" w:cs="Times New Roman"/>
                <w:sz w:val="21"/>
                <w:szCs w:val="21"/>
                <w:lang w:eastAsia="de-DE"/>
              </w:rPr>
              <w:t xml:space="preserve"> kann zwischen Ruhe und gleichförmiger Fahrt unterscheiden</w:t>
            </w:r>
          </w:p>
        </w:tc>
      </w:tr>
      <w:tr w:rsidR="000802DC" w:rsidRPr="000802DC" w14:paraId="5D394E7B"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05727E2E"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1687</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45F5CB1"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Isaac Newton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973ABB3"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Absoluter Raum und Zeit, Inertialsystem, Principia Mathematica</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8EAABF"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Raum als unbeweglicher, absoluter Referenzrahmen für physikalische Bewegungen</w:t>
            </w:r>
          </w:p>
        </w:tc>
      </w:tr>
      <w:tr w:rsidR="000802DC" w:rsidRPr="000802DC" w14:paraId="39786070"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7A84B081"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Ende 19. Jh. - Anfang 20. Jh.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F742D50"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Hendrik Lorentz, Henri Poincaré</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6FB37FF"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 xml:space="preserve">Elektromagnetische Theorie, Lorentz-Transformationen, Relativität der </w:t>
            </w:r>
            <w:proofErr w:type="spellStart"/>
            <w:r w:rsidRPr="000802DC">
              <w:rPr>
                <w:rFonts w:ascii="Times New Roman" w:eastAsia="Times New Roman" w:hAnsi="Times New Roman" w:cs="Times New Roman"/>
                <w:sz w:val="21"/>
                <w:szCs w:val="21"/>
                <w:lang w:eastAsia="de-DE"/>
              </w:rPr>
              <w:t>Maxwell’schen</w:t>
            </w:r>
            <w:proofErr w:type="spellEnd"/>
            <w:r w:rsidRPr="000802DC">
              <w:rPr>
                <w:rFonts w:ascii="Times New Roman" w:eastAsia="Times New Roman" w:hAnsi="Times New Roman" w:cs="Times New Roman"/>
                <w:sz w:val="21"/>
                <w:szCs w:val="21"/>
                <w:lang w:eastAsia="de-DE"/>
              </w:rPr>
              <w:t xml:space="preserve"> Gleichungen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9FF49F"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Entwicklungen, die zur Erkenntnis der Relativität der Gleichzeitigkeit beitrugen</w:t>
            </w:r>
          </w:p>
        </w:tc>
      </w:tr>
      <w:tr w:rsidR="000802DC" w:rsidRPr="000802DC" w14:paraId="7D7617DD"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5A187902"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1905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E73723"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Albert Einstein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C3B2BC1"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Spezielle Relativitätstheorie: Relativität von Raum und Zeit, Invarianz der Lichtgeschwindigkeit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50A76A4"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Zusammenfassung von Raum und Zeit zur Raumzeit, Auflösung absoluter Zeit</w:t>
            </w:r>
          </w:p>
        </w:tc>
      </w:tr>
      <w:tr w:rsidR="000802DC" w:rsidRPr="000802DC" w14:paraId="44C12BD6"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367E7285"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1908</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BFC2E43"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Hermann Minkowski</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48780EF"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Einführung des Begriffs „Raumzeit“ als vierdimensionales Kontinuum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D69F3F7"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Formale mathematische Beschreibung, in der Raum und Zeit eine Einheit bilden</w:t>
            </w:r>
          </w:p>
        </w:tc>
      </w:tr>
      <w:tr w:rsidR="000802DC" w:rsidRPr="000802DC" w14:paraId="37016218"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41BB9A2B"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1915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162CE6"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Albert Einstein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EC5661F"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Allgemeine Relativitätstheorie: Gravitation als Raumzeitkrümmung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5EB82B1"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Bezugssysteme sind dynamische Größen, von Masse und Energie beeinflusst</w:t>
            </w:r>
          </w:p>
        </w:tc>
      </w:tr>
      <w:tr w:rsidR="000802DC" w:rsidRPr="000802DC" w14:paraId="54B69A50"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4B1D097C"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1927–1935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401C0ED"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Niels Bohr, Werner Heisenberg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5306A2"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 xml:space="preserve">Quantenmechanik: </w:t>
            </w:r>
            <w:proofErr w:type="spellStart"/>
            <w:r w:rsidRPr="000802DC">
              <w:rPr>
                <w:rFonts w:ascii="Times New Roman" w:eastAsia="Times New Roman" w:hAnsi="Times New Roman" w:cs="Times New Roman"/>
                <w:sz w:val="21"/>
                <w:szCs w:val="21"/>
                <w:lang w:eastAsia="de-DE"/>
              </w:rPr>
              <w:t>Komplementaritätsprinzip</w:t>
            </w:r>
            <w:proofErr w:type="spellEnd"/>
            <w:r w:rsidRPr="000802DC">
              <w:rPr>
                <w:rFonts w:ascii="Times New Roman" w:eastAsia="Times New Roman" w:hAnsi="Times New Roman" w:cs="Times New Roman"/>
                <w:sz w:val="21"/>
                <w:szCs w:val="21"/>
                <w:lang w:eastAsia="de-DE"/>
              </w:rPr>
              <w:t>, Beobachterabhängigkeit, Wellenfunktion-Kollaps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6325A15"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Bezugssystem wird epistemisch, der Beobachter und das Experiment beeinflussen das System</w:t>
            </w:r>
          </w:p>
        </w:tc>
      </w:tr>
      <w:tr w:rsidR="000802DC" w:rsidRPr="000802DC" w14:paraId="28F39F03" w14:textId="77777777" w:rsidTr="000802DC">
        <w:tc>
          <w:tcPr>
            <w:tcW w:w="0" w:type="auto"/>
            <w:tcBorders>
              <w:top w:val="single" w:sz="2" w:space="0" w:color="E4E4E7"/>
              <w:left w:val="single" w:sz="2" w:space="0" w:color="E4E4E7"/>
              <w:bottom w:val="single" w:sz="2" w:space="0" w:color="E4E4E7"/>
              <w:right w:val="single" w:sz="2" w:space="0" w:color="E4E4E7"/>
            </w:tcBorders>
            <w:vAlign w:val="center"/>
            <w:hideMark/>
          </w:tcPr>
          <w:p w14:paraId="7C4AE239"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Mitte 20. Jh.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D5ABE0"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Weitere Quantenphysiker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32FA44B"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Entwicklung relationaler und beobachterabhängiger Interpretation der Physik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BE84A5" w14:textId="77777777" w:rsidR="000802DC" w:rsidRPr="000802DC" w:rsidRDefault="000802DC" w:rsidP="000802DC">
            <w:pPr>
              <w:spacing w:after="0" w:line="240" w:lineRule="auto"/>
              <w:rPr>
                <w:rFonts w:ascii="Times New Roman" w:eastAsia="Times New Roman" w:hAnsi="Times New Roman" w:cs="Times New Roman"/>
                <w:sz w:val="21"/>
                <w:szCs w:val="21"/>
                <w:lang w:eastAsia="de-DE"/>
              </w:rPr>
            </w:pPr>
            <w:r w:rsidRPr="000802DC">
              <w:rPr>
                <w:rFonts w:ascii="Times New Roman" w:eastAsia="Times New Roman" w:hAnsi="Times New Roman" w:cs="Times New Roman"/>
                <w:sz w:val="21"/>
                <w:szCs w:val="21"/>
                <w:lang w:eastAsia="de-DE"/>
              </w:rPr>
              <w:t>Erweiterung des Bezugssystemverständnisses, Beobachtung als integrativer Bestandteil</w:t>
            </w:r>
          </w:p>
        </w:tc>
      </w:tr>
    </w:tbl>
    <w:p w14:paraId="2527ED50" w14:textId="77777777" w:rsidR="000802DC" w:rsidRPr="000802DC" w:rsidRDefault="000802DC" w:rsidP="000802DC">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0802DC">
        <w:rPr>
          <w:rFonts w:ascii="Arial" w:eastAsia="Times New Roman" w:hAnsi="Arial" w:cs="Arial"/>
          <w:b/>
          <w:bCs/>
          <w:color w:val="18181B"/>
          <w:sz w:val="30"/>
          <w:szCs w:val="30"/>
          <w:lang w:eastAsia="de-DE"/>
        </w:rPr>
        <w:t>Erläuternde Hinweise zur Zeitleiste:</w:t>
      </w:r>
    </w:p>
    <w:p w14:paraId="07C7EAE3" w14:textId="77777777" w:rsidR="000802DC" w:rsidRPr="000802DC" w:rsidRDefault="000802DC" w:rsidP="000802D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802DC">
        <w:rPr>
          <w:rFonts w:ascii="Arial" w:eastAsia="Times New Roman" w:hAnsi="Arial" w:cs="Arial"/>
          <w:b/>
          <w:bCs/>
          <w:color w:val="18181B"/>
          <w:sz w:val="24"/>
          <w:szCs w:val="24"/>
          <w:bdr w:val="single" w:sz="2" w:space="0" w:color="E4E4E7" w:frame="1"/>
          <w:lang w:eastAsia="de-DE"/>
        </w:rPr>
        <w:t>Antike und Mittelalter</w:t>
      </w:r>
      <w:r w:rsidRPr="000802DC">
        <w:rPr>
          <w:rFonts w:ascii="Arial" w:eastAsia="Times New Roman" w:hAnsi="Arial" w:cs="Arial"/>
          <w:color w:val="3F3F46"/>
          <w:sz w:val="24"/>
          <w:szCs w:val="24"/>
          <w:lang w:eastAsia="de-DE"/>
        </w:rPr>
        <w:t>: Raum war kein neutraler, leerer Container, sondern stark mit Zweck und Ordnung (teleologisch) verbunden. Kein universelles Koordinatensystem.</w:t>
      </w:r>
    </w:p>
    <w:p w14:paraId="1B8AAB42" w14:textId="77777777" w:rsidR="000802DC" w:rsidRPr="000802DC" w:rsidRDefault="000802DC" w:rsidP="000802D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802DC">
        <w:rPr>
          <w:rFonts w:ascii="Arial" w:eastAsia="Times New Roman" w:hAnsi="Arial" w:cs="Arial"/>
          <w:b/>
          <w:bCs/>
          <w:color w:val="18181B"/>
          <w:sz w:val="24"/>
          <w:szCs w:val="24"/>
          <w:bdr w:val="single" w:sz="2" w:space="0" w:color="E4E4E7" w:frame="1"/>
          <w:lang w:eastAsia="de-DE"/>
        </w:rPr>
        <w:t>Kopernikanische Revolution</w:t>
      </w:r>
      <w:r w:rsidRPr="000802DC">
        <w:rPr>
          <w:rFonts w:ascii="Arial" w:eastAsia="Times New Roman" w:hAnsi="Arial" w:cs="Arial"/>
          <w:color w:val="3F3F46"/>
          <w:sz w:val="24"/>
          <w:szCs w:val="24"/>
          <w:lang w:eastAsia="de-DE"/>
        </w:rPr>
        <w:t>: Der Bezugspunkt wurde vom geozentrischen Modell auf die Sonne verlagert, was Raumvorstellungen und Bezugssysteme grundlegend änderte.</w:t>
      </w:r>
    </w:p>
    <w:p w14:paraId="31D8BD92" w14:textId="77777777" w:rsidR="000802DC" w:rsidRPr="000802DC" w:rsidRDefault="000802DC" w:rsidP="000802D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proofErr w:type="spellStart"/>
      <w:r w:rsidRPr="000802DC">
        <w:rPr>
          <w:rFonts w:ascii="Arial" w:eastAsia="Times New Roman" w:hAnsi="Arial" w:cs="Arial"/>
          <w:b/>
          <w:bCs/>
          <w:color w:val="18181B"/>
          <w:sz w:val="24"/>
          <w:szCs w:val="24"/>
          <w:bdr w:val="single" w:sz="2" w:space="0" w:color="E4E4E7" w:frame="1"/>
          <w:lang w:eastAsia="de-DE"/>
        </w:rPr>
        <w:t>Galilei's</w:t>
      </w:r>
      <w:proofErr w:type="spellEnd"/>
      <w:r w:rsidRPr="000802DC">
        <w:rPr>
          <w:rFonts w:ascii="Arial" w:eastAsia="Times New Roman" w:hAnsi="Arial" w:cs="Arial"/>
          <w:b/>
          <w:bCs/>
          <w:color w:val="18181B"/>
          <w:sz w:val="24"/>
          <w:szCs w:val="24"/>
          <w:bdr w:val="single" w:sz="2" w:space="0" w:color="E4E4E7" w:frame="1"/>
          <w:lang w:eastAsia="de-DE"/>
        </w:rPr>
        <w:t xml:space="preserve"> Relativitätsprinzip</w:t>
      </w:r>
      <w:r w:rsidRPr="000802DC">
        <w:rPr>
          <w:rFonts w:ascii="Arial" w:eastAsia="Times New Roman" w:hAnsi="Arial" w:cs="Arial"/>
          <w:color w:val="3F3F46"/>
          <w:sz w:val="24"/>
          <w:szCs w:val="24"/>
          <w:lang w:eastAsia="de-DE"/>
        </w:rPr>
        <w:t>: Erste Formalisierung des Prinzips, dass gleichförmige Bewegungen relativ sind und nicht von innen messbar weichen.</w:t>
      </w:r>
    </w:p>
    <w:p w14:paraId="62ED6586" w14:textId="77777777" w:rsidR="000802DC" w:rsidRPr="000802DC" w:rsidRDefault="000802DC" w:rsidP="000802D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802DC">
        <w:rPr>
          <w:rFonts w:ascii="Arial" w:eastAsia="Times New Roman" w:hAnsi="Arial" w:cs="Arial"/>
          <w:b/>
          <w:bCs/>
          <w:color w:val="18181B"/>
          <w:sz w:val="24"/>
          <w:szCs w:val="24"/>
          <w:bdr w:val="single" w:sz="2" w:space="0" w:color="E4E4E7" w:frame="1"/>
          <w:lang w:eastAsia="de-DE"/>
        </w:rPr>
        <w:t>Newton</w:t>
      </w:r>
      <w:r w:rsidRPr="000802DC">
        <w:rPr>
          <w:rFonts w:ascii="Arial" w:eastAsia="Times New Roman" w:hAnsi="Arial" w:cs="Arial"/>
          <w:color w:val="3F3F46"/>
          <w:sz w:val="24"/>
          <w:szCs w:val="24"/>
          <w:lang w:eastAsia="de-DE"/>
        </w:rPr>
        <w:t>: Einführung des absoluten Raums und der absoluten Zeit, wodurch Bezugssysteme zum festen, unbeweglichen Hintergrund der Physik wurden.</w:t>
      </w:r>
    </w:p>
    <w:p w14:paraId="485CBD91" w14:textId="77777777" w:rsidR="000802DC" w:rsidRPr="000802DC" w:rsidRDefault="000802DC" w:rsidP="000802D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802DC">
        <w:rPr>
          <w:rFonts w:ascii="Arial" w:eastAsia="Times New Roman" w:hAnsi="Arial" w:cs="Arial"/>
          <w:b/>
          <w:bCs/>
          <w:color w:val="18181B"/>
          <w:sz w:val="24"/>
          <w:szCs w:val="24"/>
          <w:bdr w:val="single" w:sz="2" w:space="0" w:color="E4E4E7" w:frame="1"/>
          <w:lang w:eastAsia="de-DE"/>
        </w:rPr>
        <w:t>Lorentz und Poincaré</w:t>
      </w:r>
      <w:r w:rsidRPr="000802DC">
        <w:rPr>
          <w:rFonts w:ascii="Arial" w:eastAsia="Times New Roman" w:hAnsi="Arial" w:cs="Arial"/>
          <w:color w:val="3F3F46"/>
          <w:sz w:val="24"/>
          <w:szCs w:val="24"/>
          <w:lang w:eastAsia="de-DE"/>
        </w:rPr>
        <w:t>: Entwicklung von Transformationen, die den Übergang von klassischen zu relativistischen Bezugssystemen vorbereiten.</w:t>
      </w:r>
    </w:p>
    <w:p w14:paraId="28E12F21" w14:textId="77777777" w:rsidR="000802DC" w:rsidRPr="000802DC" w:rsidRDefault="000802DC" w:rsidP="000802D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802DC">
        <w:rPr>
          <w:rFonts w:ascii="Arial" w:eastAsia="Times New Roman" w:hAnsi="Arial" w:cs="Arial"/>
          <w:b/>
          <w:bCs/>
          <w:color w:val="18181B"/>
          <w:sz w:val="24"/>
          <w:szCs w:val="24"/>
          <w:bdr w:val="single" w:sz="2" w:space="0" w:color="E4E4E7" w:frame="1"/>
          <w:lang w:eastAsia="de-DE"/>
        </w:rPr>
        <w:lastRenderedPageBreak/>
        <w:t>Einstein und Minkowski</w:t>
      </w:r>
      <w:r w:rsidRPr="000802DC">
        <w:rPr>
          <w:rFonts w:ascii="Arial" w:eastAsia="Times New Roman" w:hAnsi="Arial" w:cs="Arial"/>
          <w:color w:val="3F3F46"/>
          <w:sz w:val="24"/>
          <w:szCs w:val="24"/>
          <w:lang w:eastAsia="de-DE"/>
        </w:rPr>
        <w:t>: Raum und Zeit werden zu Raumzeit verschmolzen; Bezugssysteme sind nicht mehr starr, sondern relativ und dynamisch.</w:t>
      </w:r>
    </w:p>
    <w:p w14:paraId="61D9DB74" w14:textId="77777777" w:rsidR="000802DC" w:rsidRPr="000802DC" w:rsidRDefault="000802DC" w:rsidP="000802D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802DC">
        <w:rPr>
          <w:rFonts w:ascii="Arial" w:eastAsia="Times New Roman" w:hAnsi="Arial" w:cs="Arial"/>
          <w:b/>
          <w:bCs/>
          <w:color w:val="18181B"/>
          <w:sz w:val="24"/>
          <w:szCs w:val="24"/>
          <w:bdr w:val="single" w:sz="2" w:space="0" w:color="E4E4E7" w:frame="1"/>
          <w:lang w:eastAsia="de-DE"/>
        </w:rPr>
        <w:t>Quantenmechanik</w:t>
      </w:r>
      <w:r w:rsidRPr="000802DC">
        <w:rPr>
          <w:rFonts w:ascii="Arial" w:eastAsia="Times New Roman" w:hAnsi="Arial" w:cs="Arial"/>
          <w:color w:val="3F3F46"/>
          <w:sz w:val="24"/>
          <w:szCs w:val="24"/>
          <w:lang w:eastAsia="de-DE"/>
        </w:rPr>
        <w:t>: Der Beobachter wird Teil des Systems; Bezugssysteme sind kontextabhängig und mit epistemischer Verantwortung verbunden.</w:t>
      </w:r>
    </w:p>
    <w:p w14:paraId="7DC4E281" w14:textId="77777777" w:rsidR="000802DC" w:rsidRPr="000802DC" w:rsidRDefault="000802DC" w:rsidP="000802DC">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0802DC">
        <w:rPr>
          <w:rFonts w:ascii="Arial" w:eastAsia="Times New Roman" w:hAnsi="Arial" w:cs="Arial"/>
          <w:b/>
          <w:bCs/>
          <w:color w:val="18181B"/>
          <w:sz w:val="30"/>
          <w:szCs w:val="30"/>
          <w:lang w:eastAsia="de-DE"/>
        </w:rPr>
        <w:t>Empfehlung zur Nutzung der Zeitleiste</w:t>
      </w:r>
    </w:p>
    <w:p w14:paraId="05326840" w14:textId="77777777" w:rsidR="000802DC" w:rsidRPr="000802DC" w:rsidRDefault="000802DC" w:rsidP="000802DC">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0802DC">
        <w:rPr>
          <w:rFonts w:ascii="Arial" w:eastAsia="Times New Roman" w:hAnsi="Arial" w:cs="Arial"/>
          <w:color w:val="3F3F46"/>
          <w:sz w:val="24"/>
          <w:szCs w:val="24"/>
          <w:lang w:eastAsia="de-DE"/>
        </w:rPr>
        <w:t>Diese Tabelle kann im Kapitel 2.1 als ergänzende Anlage eingefügt werden, um die historische Entwicklung der Bezugssysteme übersichtlich und systematisch darzustellen. Sie erfüllt den Zweck eines Nachschlagewerks und veranschaulicht Schlüsselkonzepte mit relevanten Personen und Daten.</w:t>
      </w:r>
    </w:p>
    <w:p w14:paraId="79D61C9D" w14:textId="77777777" w:rsidR="000802DC" w:rsidRPr="000802DC" w:rsidRDefault="000802DC" w:rsidP="000802DC">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802DC">
        <w:rPr>
          <w:rFonts w:ascii="Arial" w:eastAsia="Times New Roman" w:hAnsi="Arial" w:cs="Arial"/>
          <w:color w:val="3F3F46"/>
          <w:sz w:val="24"/>
          <w:szCs w:val="24"/>
          <w:lang w:eastAsia="de-DE"/>
        </w:rPr>
        <w:t xml:space="preserve">Bei Bedarf kann die Zeitleiste noch erweitert oder mit Zitaten aus den Primärquellen (z.B. Galilei, Newton, Einstein, Bohr, Heisenberg) versehen werden, </w:t>
      </w:r>
      <w:proofErr w:type="gramStart"/>
      <w:r w:rsidRPr="000802DC">
        <w:rPr>
          <w:rFonts w:ascii="Arial" w:eastAsia="Times New Roman" w:hAnsi="Arial" w:cs="Arial"/>
          <w:color w:val="3F3F46"/>
          <w:sz w:val="24"/>
          <w:szCs w:val="24"/>
          <w:lang w:eastAsia="de-DE"/>
        </w:rPr>
        <w:t>die exemplarisch typische Aussagen</w:t>
      </w:r>
      <w:proofErr w:type="gramEnd"/>
      <w:r w:rsidRPr="000802DC">
        <w:rPr>
          <w:rFonts w:ascii="Arial" w:eastAsia="Times New Roman" w:hAnsi="Arial" w:cs="Arial"/>
          <w:color w:val="3F3F46"/>
          <w:sz w:val="24"/>
          <w:szCs w:val="24"/>
          <w:lang w:eastAsia="de-DE"/>
        </w:rPr>
        <w:t xml:space="preserve"> und Konzepte illustrieren.</w:t>
      </w:r>
    </w:p>
    <w:p w14:paraId="2614AA2C" w14:textId="77777777" w:rsidR="000802DC" w:rsidRPr="000802DC" w:rsidRDefault="000802DC" w:rsidP="000802DC">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0802DC">
        <w:rPr>
          <w:rFonts w:ascii="Arial" w:eastAsia="Times New Roman" w:hAnsi="Arial" w:cs="Arial"/>
          <w:color w:val="3F3F46"/>
          <w:sz w:val="24"/>
          <w:szCs w:val="24"/>
          <w:lang w:eastAsia="de-DE"/>
        </w:rPr>
        <w:t>Wenn gewünscht, kann ich auch eine ausführliche tabellarische PDF-Anlage in einem formatierten Layout zum direkten Einsatz im Kapitel erstellen.</w:t>
      </w:r>
    </w:p>
    <w:p w14:paraId="044B606E"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11DD7"/>
    <w:multiLevelType w:val="multilevel"/>
    <w:tmpl w:val="096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DC"/>
    <w:rsid w:val="000802DC"/>
    <w:rsid w:val="006E2B03"/>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2ACEA"/>
  <w15:chartTrackingRefBased/>
  <w15:docId w15:val="{E95AC1C1-ED00-4EB7-A58A-D6EE9F60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0802DC"/>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0802DC"/>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0802D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802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16877">
      <w:bodyDiv w:val="1"/>
      <w:marLeft w:val="0"/>
      <w:marRight w:val="0"/>
      <w:marTop w:val="0"/>
      <w:marBottom w:val="0"/>
      <w:divBdr>
        <w:top w:val="none" w:sz="0" w:space="0" w:color="auto"/>
        <w:left w:val="none" w:sz="0" w:space="0" w:color="auto"/>
        <w:bottom w:val="none" w:sz="0" w:space="0" w:color="auto"/>
        <w:right w:val="none" w:sz="0" w:space="0" w:color="auto"/>
      </w:divBdr>
      <w:divsChild>
        <w:div w:id="823005928">
          <w:marLeft w:val="0"/>
          <w:marRight w:val="0"/>
          <w:marTop w:val="0"/>
          <w:marBottom w:val="0"/>
          <w:divBdr>
            <w:top w:val="single" w:sz="2" w:space="0" w:color="E4E4E7"/>
            <w:left w:val="single" w:sz="2" w:space="0" w:color="E4E4E7"/>
            <w:bottom w:val="single" w:sz="2" w:space="0" w:color="E4E4E7"/>
            <w:right w:val="single" w:sz="2" w:space="0" w:color="E4E4E7"/>
          </w:divBdr>
          <w:divsChild>
            <w:div w:id="1411196421">
              <w:marLeft w:val="0"/>
              <w:marRight w:val="0"/>
              <w:marTop w:val="0"/>
              <w:marBottom w:val="0"/>
              <w:divBdr>
                <w:top w:val="single" w:sz="2" w:space="0" w:color="E4E4E7"/>
                <w:left w:val="single" w:sz="2" w:space="0" w:color="E4E4E7"/>
                <w:bottom w:val="single" w:sz="2" w:space="0" w:color="E4E4E7"/>
                <w:right w:val="single" w:sz="2" w:space="0" w:color="E4E4E7"/>
              </w:divBdr>
              <w:divsChild>
                <w:div w:id="213736904">
                  <w:marLeft w:val="0"/>
                  <w:marRight w:val="0"/>
                  <w:marTop w:val="0"/>
                  <w:marBottom w:val="0"/>
                  <w:divBdr>
                    <w:top w:val="single" w:sz="2" w:space="0" w:color="E4E4E7"/>
                    <w:left w:val="single" w:sz="2" w:space="0" w:color="E4E4E7"/>
                    <w:bottom w:val="single" w:sz="2" w:space="0" w:color="E4E4E7"/>
                    <w:right w:val="single" w:sz="2" w:space="0" w:color="E4E4E7"/>
                  </w:divBdr>
                  <w:divsChild>
                    <w:div w:id="395589573">
                      <w:marLeft w:val="0"/>
                      <w:marRight w:val="0"/>
                      <w:marTop w:val="0"/>
                      <w:marBottom w:val="0"/>
                      <w:divBdr>
                        <w:top w:val="single" w:sz="2" w:space="0" w:color="E4E4E7"/>
                        <w:left w:val="single" w:sz="2" w:space="0" w:color="E4E4E7"/>
                        <w:bottom w:val="single" w:sz="2" w:space="0" w:color="E4E4E7"/>
                        <w:right w:val="single" w:sz="2" w:space="0" w:color="E4E4E7"/>
                      </w:divBdr>
                      <w:divsChild>
                        <w:div w:id="7764890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3411</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2025-05-30T22:06:00Z</dcterms:created>
  <dcterms:modified xsi:type="dcterms:W3CDTF">2025-05-30T22:07:00Z</dcterms:modified>
</cp:coreProperties>
</file>