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48121" w14:textId="727EBDAF" w:rsidR="00792564" w:rsidRPr="00792564" w:rsidRDefault="00792564" w:rsidP="00792564">
      <w:pPr>
        <w:pStyle w:val="berschrift1"/>
      </w:pPr>
      <w:r w:rsidRPr="00792564">
        <w:t xml:space="preserve">Anlage </w:t>
      </w:r>
      <w:r w:rsidRPr="00792564">
        <w:t>V</w:t>
      </w:r>
      <w:r w:rsidRPr="00792564">
        <w:t xml:space="preserve"> - Populärwissenschaftliche Erklärung von Abschnitt 3.17 </w:t>
      </w:r>
      <w:r w:rsidRPr="00792564">
        <w:t xml:space="preserve">- </w:t>
      </w:r>
      <w:r w:rsidRPr="00792564">
        <w:rPr>
          <w:rStyle w:val="Fett"/>
          <w:b/>
          <w:bCs w:val="0"/>
        </w:rPr>
        <w:t>Metatheorie intentionaler Systeme</w:t>
      </w:r>
      <w:r w:rsidRPr="00792564">
        <w:t xml:space="preserve"> </w:t>
      </w:r>
    </w:p>
    <w:p w14:paraId="69BABC15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  <w:b/>
          <w:bCs/>
        </w:rPr>
        <w:t>Ausgangspunkt: Was wurde gesetzt?</w:t>
      </w:r>
    </w:p>
    <w:p w14:paraId="3BCE5D74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</w:rPr>
        <w:t xml:space="preserve">Der Ausgangspunkt dieses Modells ist die Vorstellung, dass Intentionalität und Bewusstsein nicht als feststehende Zustände existieren, sondern als </w:t>
      </w:r>
      <w:r w:rsidRPr="00792564">
        <w:rPr>
          <w:rFonts w:ascii="Times New Roman" w:hAnsi="Times New Roman"/>
          <w:b/>
          <w:bCs/>
        </w:rPr>
        <w:t>emergente</w:t>
      </w:r>
      <w:r w:rsidRPr="00792564">
        <w:rPr>
          <w:rFonts w:ascii="Times New Roman" w:hAnsi="Times New Roman"/>
        </w:rPr>
        <w:t xml:space="preserve"> Phänomene in komplexen Systemen entstehen. Hierbei wird die </w:t>
      </w:r>
      <w:r w:rsidRPr="00792564">
        <w:rPr>
          <w:rFonts w:ascii="Times New Roman" w:hAnsi="Times New Roman"/>
          <w:b/>
          <w:bCs/>
        </w:rPr>
        <w:t>Emergenz</w:t>
      </w:r>
      <w:r w:rsidRPr="00792564">
        <w:rPr>
          <w:rFonts w:ascii="Times New Roman" w:hAnsi="Times New Roman"/>
        </w:rPr>
        <w:t xml:space="preserve"> als Schlüsselprozess angesehen – das bedeutet, dass höherwertige Eigenschaften und Strukturen nicht durch einfache Addition der Teile entstehen, sondern durch die </w:t>
      </w:r>
      <w:r w:rsidRPr="00792564">
        <w:rPr>
          <w:rFonts w:ascii="Times New Roman" w:hAnsi="Times New Roman"/>
          <w:b/>
          <w:bCs/>
        </w:rPr>
        <w:t>Interaktion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Selbstorganisation</w:t>
      </w:r>
      <w:r w:rsidRPr="00792564">
        <w:rPr>
          <w:rFonts w:ascii="Times New Roman" w:hAnsi="Times New Roman"/>
        </w:rPr>
        <w:t xml:space="preserve"> von Elementen in einem System. Ein gutes Beispiel hierfür ist das menschliche Bewusstsein: Es entsteht nicht durch das bloße Zusammensetzen von Neuronen, sondern durch deren komplexe Wechselwirkungen und die Art und Weise, wie diese Wechselwirkungen </w:t>
      </w:r>
      <w:r w:rsidRPr="00792564">
        <w:rPr>
          <w:rFonts w:ascii="Times New Roman" w:hAnsi="Times New Roman"/>
          <w:b/>
          <w:bCs/>
        </w:rPr>
        <w:t>bedeutungsvoll</w:t>
      </w:r>
      <w:r w:rsidRPr="00792564">
        <w:rPr>
          <w:rFonts w:ascii="Times New Roman" w:hAnsi="Times New Roman"/>
        </w:rPr>
        <w:t xml:space="preserve"> organisiert werden.</w:t>
      </w:r>
    </w:p>
    <w:p w14:paraId="76E3ED39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  <w:b/>
          <w:bCs/>
        </w:rPr>
        <w:t>Was kommt heraus?</w:t>
      </w:r>
    </w:p>
    <w:p w14:paraId="2110ABDB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</w:rPr>
        <w:t xml:space="preserve">Das, was aus diesem Ansatz herauskommt, ist ein neues Verständnis von </w:t>
      </w:r>
      <w:r w:rsidRPr="00792564">
        <w:rPr>
          <w:rFonts w:ascii="Times New Roman" w:hAnsi="Times New Roman"/>
          <w:b/>
          <w:bCs/>
        </w:rPr>
        <w:t>Intentionalität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Reflexion</w:t>
      </w:r>
      <w:r w:rsidRPr="00792564">
        <w:rPr>
          <w:rFonts w:ascii="Times New Roman" w:hAnsi="Times New Roman"/>
        </w:rPr>
        <w:t xml:space="preserve">. Es wird gezeigt, dass Intentionalität nicht einfach von außen „aufgeprägt“ wird, sondern dass sie durch die </w:t>
      </w:r>
      <w:r w:rsidRPr="00792564">
        <w:rPr>
          <w:rFonts w:ascii="Times New Roman" w:hAnsi="Times New Roman"/>
          <w:b/>
          <w:bCs/>
        </w:rPr>
        <w:t>selbstorganisierte Stabilisierung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Transformation</w:t>
      </w:r>
      <w:r w:rsidRPr="00792564">
        <w:rPr>
          <w:rFonts w:ascii="Times New Roman" w:hAnsi="Times New Roman"/>
        </w:rPr>
        <w:t xml:space="preserve"> innerhalb eines Systems entsteht. Diese Dynamik findet ihren Ausdruck in der Art und Weise, wie sich das System an seine Umgebung anpasst und wie es durch </w:t>
      </w:r>
      <w:r w:rsidRPr="00792564">
        <w:rPr>
          <w:rFonts w:ascii="Times New Roman" w:hAnsi="Times New Roman"/>
          <w:b/>
          <w:bCs/>
        </w:rPr>
        <w:t>Diskurs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Reflexion</w:t>
      </w:r>
      <w:r w:rsidRPr="00792564">
        <w:rPr>
          <w:rFonts w:ascii="Times New Roman" w:hAnsi="Times New Roman"/>
        </w:rPr>
        <w:t xml:space="preserve"> seine eigene Struktur und Bedeutung verändert. Ein zentrales Ergebnis dieses Modells ist, dass </w:t>
      </w:r>
      <w:r w:rsidRPr="00792564">
        <w:rPr>
          <w:rFonts w:ascii="Times New Roman" w:hAnsi="Times New Roman"/>
          <w:b/>
          <w:bCs/>
        </w:rPr>
        <w:t>höhere geistige und soziale Strukturen</w:t>
      </w:r>
      <w:r w:rsidRPr="00792564">
        <w:rPr>
          <w:rFonts w:ascii="Times New Roman" w:hAnsi="Times New Roman"/>
        </w:rPr>
        <w:t xml:space="preserve"> – sei es in der Kognition oder in der Gesellschaft – nicht von oben herab vorgegeben sind, sondern aus </w:t>
      </w:r>
      <w:r w:rsidRPr="00792564">
        <w:rPr>
          <w:rFonts w:ascii="Times New Roman" w:hAnsi="Times New Roman"/>
          <w:b/>
          <w:bCs/>
        </w:rPr>
        <w:t>interaktiven Prozessen</w:t>
      </w:r>
      <w:r w:rsidRPr="00792564">
        <w:rPr>
          <w:rFonts w:ascii="Times New Roman" w:hAnsi="Times New Roman"/>
        </w:rPr>
        <w:t xml:space="preserve"> entstehen, die von den beteiligten Elementen selbst getragen werden.</w:t>
      </w:r>
    </w:p>
    <w:p w14:paraId="179DA5B0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  <w:b/>
          <w:bCs/>
        </w:rPr>
        <w:t>Was bedeutet das in der Praxis?</w:t>
      </w:r>
    </w:p>
    <w:p w14:paraId="15E9FC19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</w:rPr>
        <w:t xml:space="preserve">In der Praxis bedeutet das, dass wir Intentionalität und das Bewusstsein als </w:t>
      </w:r>
      <w:r w:rsidRPr="00792564">
        <w:rPr>
          <w:rFonts w:ascii="Times New Roman" w:hAnsi="Times New Roman"/>
          <w:b/>
          <w:bCs/>
        </w:rPr>
        <w:t>prozessuale und dynamische Phänomene</w:t>
      </w:r>
      <w:r w:rsidRPr="00792564">
        <w:rPr>
          <w:rFonts w:ascii="Times New Roman" w:hAnsi="Times New Roman"/>
        </w:rPr>
        <w:t xml:space="preserve"> begreifen sollten. In der Bildung beispielsweise bedeutet dies, dass Lernen nicht als passiver Empfang von Wissen verstanden werden kann. Vielmehr ist Lernen ein </w:t>
      </w:r>
      <w:r w:rsidRPr="00792564">
        <w:rPr>
          <w:rFonts w:ascii="Times New Roman" w:hAnsi="Times New Roman"/>
          <w:b/>
          <w:bCs/>
        </w:rPr>
        <w:t>aktiver Prozess</w:t>
      </w:r>
      <w:r w:rsidRPr="00792564">
        <w:rPr>
          <w:rFonts w:ascii="Times New Roman" w:hAnsi="Times New Roman"/>
        </w:rPr>
        <w:t xml:space="preserve">, bei dem das Wissen nicht nur aufgenommen, sondern auch durch </w:t>
      </w:r>
      <w:r w:rsidRPr="00792564">
        <w:rPr>
          <w:rFonts w:ascii="Times New Roman" w:hAnsi="Times New Roman"/>
          <w:b/>
          <w:bCs/>
        </w:rPr>
        <w:t>Reflexion und Selbstbeobachtung</w:t>
      </w:r>
      <w:r w:rsidRPr="00792564">
        <w:rPr>
          <w:rFonts w:ascii="Times New Roman" w:hAnsi="Times New Roman"/>
        </w:rPr>
        <w:t xml:space="preserve"> im Lernenden selbst </w:t>
      </w:r>
      <w:r w:rsidRPr="00792564">
        <w:rPr>
          <w:rFonts w:ascii="Times New Roman" w:hAnsi="Times New Roman"/>
          <w:b/>
          <w:bCs/>
        </w:rPr>
        <w:t>transformiert</w:t>
      </w:r>
      <w:r w:rsidRPr="00792564">
        <w:rPr>
          <w:rFonts w:ascii="Times New Roman" w:hAnsi="Times New Roman"/>
        </w:rPr>
        <w:t xml:space="preserve"> wird. Diese Perspektive verändert unser Verständnis von </w:t>
      </w:r>
      <w:r w:rsidRPr="00792564">
        <w:rPr>
          <w:rFonts w:ascii="Times New Roman" w:hAnsi="Times New Roman"/>
          <w:b/>
          <w:bCs/>
        </w:rPr>
        <w:t>Wissenserwerb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Bildung</w:t>
      </w:r>
      <w:r w:rsidRPr="00792564">
        <w:rPr>
          <w:rFonts w:ascii="Times New Roman" w:hAnsi="Times New Roman"/>
        </w:rPr>
        <w:t xml:space="preserve"> insgesamt, indem sie den Fokus von starrer Wissensvermittlung hin zu einem stärker </w:t>
      </w:r>
      <w:r w:rsidRPr="00792564">
        <w:rPr>
          <w:rFonts w:ascii="Times New Roman" w:hAnsi="Times New Roman"/>
          <w:b/>
          <w:bCs/>
        </w:rPr>
        <w:t>prozeduralen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erfahrungsbasierten Ansatz</w:t>
      </w:r>
      <w:r w:rsidRPr="00792564">
        <w:rPr>
          <w:rFonts w:ascii="Times New Roman" w:hAnsi="Times New Roman"/>
        </w:rPr>
        <w:t xml:space="preserve"> verschiebt.</w:t>
      </w:r>
    </w:p>
    <w:p w14:paraId="4C791689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</w:rPr>
        <w:t xml:space="preserve">Für die Gesellschaft und </w:t>
      </w:r>
      <w:proofErr w:type="gramStart"/>
      <w:r w:rsidRPr="00792564">
        <w:rPr>
          <w:rFonts w:ascii="Times New Roman" w:hAnsi="Times New Roman"/>
        </w:rPr>
        <w:t>den technologischem Fortschritt</w:t>
      </w:r>
      <w:proofErr w:type="gramEnd"/>
      <w:r w:rsidRPr="00792564">
        <w:rPr>
          <w:rFonts w:ascii="Times New Roman" w:hAnsi="Times New Roman"/>
        </w:rPr>
        <w:t xml:space="preserve"> bedeutet diese Sichtweise, dass </w:t>
      </w:r>
      <w:r w:rsidRPr="00792564">
        <w:rPr>
          <w:rFonts w:ascii="Times New Roman" w:hAnsi="Times New Roman"/>
          <w:b/>
          <w:bCs/>
        </w:rPr>
        <w:t>Innovationen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Veränderungen</w:t>
      </w:r>
      <w:r w:rsidRPr="00792564">
        <w:rPr>
          <w:rFonts w:ascii="Times New Roman" w:hAnsi="Times New Roman"/>
        </w:rPr>
        <w:t xml:space="preserve"> nicht in isolierten, geplanten Schritten entstehen, sondern aus den unvorhersehbaren, aber strukturierten </w:t>
      </w:r>
      <w:r w:rsidRPr="00792564">
        <w:rPr>
          <w:rFonts w:ascii="Times New Roman" w:hAnsi="Times New Roman"/>
          <w:b/>
          <w:bCs/>
        </w:rPr>
        <w:t>Interaktionen</w:t>
      </w:r>
      <w:r w:rsidRPr="00792564">
        <w:rPr>
          <w:rFonts w:ascii="Times New Roman" w:hAnsi="Times New Roman"/>
        </w:rPr>
        <w:t xml:space="preserve"> zwischen Menschen, Technologien und sozialen Systemen. Das bedeutet, dass wir nicht nur die </w:t>
      </w:r>
      <w:r w:rsidRPr="00792564">
        <w:rPr>
          <w:rFonts w:ascii="Times New Roman" w:hAnsi="Times New Roman"/>
          <w:b/>
          <w:bCs/>
        </w:rPr>
        <w:t>Rahmenbedingungen</w:t>
      </w:r>
      <w:r w:rsidRPr="00792564">
        <w:rPr>
          <w:rFonts w:ascii="Times New Roman" w:hAnsi="Times New Roman"/>
        </w:rPr>
        <w:t xml:space="preserve"> für Veränderungen festlegen müssen, sondern auch lernen müssen, </w:t>
      </w:r>
      <w:r w:rsidRPr="00792564">
        <w:rPr>
          <w:rFonts w:ascii="Times New Roman" w:hAnsi="Times New Roman"/>
          <w:b/>
          <w:bCs/>
        </w:rPr>
        <w:t>dynamische und adaptive Prozesse</w:t>
      </w:r>
      <w:r w:rsidRPr="00792564">
        <w:rPr>
          <w:rFonts w:ascii="Times New Roman" w:hAnsi="Times New Roman"/>
        </w:rPr>
        <w:t xml:space="preserve"> zu fördern, die emergente Innovationen hervorbringen.</w:t>
      </w:r>
    </w:p>
    <w:p w14:paraId="5C625C3C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  <w:b/>
          <w:bCs/>
        </w:rPr>
        <w:t>Zusammenfassung</w:t>
      </w:r>
    </w:p>
    <w:p w14:paraId="44795B2A" w14:textId="77777777" w:rsidR="00792564" w:rsidRPr="00792564" w:rsidRDefault="00792564" w:rsidP="00792564">
      <w:pPr>
        <w:spacing w:before="100" w:beforeAutospacing="1" w:after="100" w:afterAutospacing="1"/>
        <w:rPr>
          <w:rFonts w:ascii="Times New Roman" w:hAnsi="Times New Roman"/>
        </w:rPr>
      </w:pPr>
      <w:r w:rsidRPr="00792564">
        <w:rPr>
          <w:rFonts w:ascii="Times New Roman" w:hAnsi="Times New Roman"/>
        </w:rPr>
        <w:t xml:space="preserve">Zusammenfassend lässt sich sagen, dass die Theorie der emergenten Intentionalität einen Perspektivwechsel mit sich bringt. Sie fordert uns auf, Intentionalität und Bewusstsein nicht </w:t>
      </w:r>
      <w:r w:rsidRPr="00792564">
        <w:rPr>
          <w:rFonts w:ascii="Times New Roman" w:hAnsi="Times New Roman"/>
        </w:rPr>
        <w:lastRenderedPageBreak/>
        <w:t xml:space="preserve">als statische Eigenschaften zu sehen, sondern als dynamische Prozesse, die sich aus der Wechselwirkung und Selbstorganisation komplexer Systeme herausbilden. Dieser Ansatz bietet nicht nur neue Einsichten in die </w:t>
      </w:r>
      <w:r w:rsidRPr="00792564">
        <w:rPr>
          <w:rFonts w:ascii="Times New Roman" w:hAnsi="Times New Roman"/>
          <w:b/>
          <w:bCs/>
        </w:rPr>
        <w:t>Kognitionswissenschaft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Soziologie</w:t>
      </w:r>
      <w:r w:rsidRPr="00792564">
        <w:rPr>
          <w:rFonts w:ascii="Times New Roman" w:hAnsi="Times New Roman"/>
        </w:rPr>
        <w:t xml:space="preserve">, sondern auch praktische Anwendungen in </w:t>
      </w:r>
      <w:r w:rsidRPr="00792564">
        <w:rPr>
          <w:rFonts w:ascii="Times New Roman" w:hAnsi="Times New Roman"/>
          <w:b/>
          <w:bCs/>
        </w:rPr>
        <w:t>Bildung</w:t>
      </w:r>
      <w:r w:rsidRPr="00792564">
        <w:rPr>
          <w:rFonts w:ascii="Times New Roman" w:hAnsi="Times New Roman"/>
        </w:rPr>
        <w:t xml:space="preserve">, </w:t>
      </w:r>
      <w:r w:rsidRPr="00792564">
        <w:rPr>
          <w:rFonts w:ascii="Times New Roman" w:hAnsi="Times New Roman"/>
          <w:b/>
          <w:bCs/>
        </w:rPr>
        <w:t>Technologie</w:t>
      </w:r>
      <w:r w:rsidRPr="00792564">
        <w:rPr>
          <w:rFonts w:ascii="Times New Roman" w:hAnsi="Times New Roman"/>
        </w:rPr>
        <w:t xml:space="preserve"> und </w:t>
      </w:r>
      <w:r w:rsidRPr="00792564">
        <w:rPr>
          <w:rFonts w:ascii="Times New Roman" w:hAnsi="Times New Roman"/>
          <w:b/>
          <w:bCs/>
        </w:rPr>
        <w:t>Organisationsgestaltung</w:t>
      </w:r>
      <w:r w:rsidRPr="00792564">
        <w:rPr>
          <w:rFonts w:ascii="Times New Roman" w:hAnsi="Times New Roman"/>
        </w:rPr>
        <w:t>. Der Schlüssel liegt in der Förderung von Prozessen, die es Systemen ermöglichen, sich selbst zu organisieren, zu reflektieren und zu transformieren.</w:t>
      </w:r>
    </w:p>
    <w:p w14:paraId="30F64BEA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64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92564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3E9B"/>
  <w15:chartTrackingRefBased/>
  <w15:docId w15:val="{90CFA608-BE1E-4CC9-AFA1-C9CCA6A5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478</Words>
  <Characters>3015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2025-07-02T11:11:00Z</dcterms:created>
  <dcterms:modified xsi:type="dcterms:W3CDTF">2025-07-02T11:12:00Z</dcterms:modified>
</cp:coreProperties>
</file>