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A8E8F" w14:textId="77777777" w:rsidR="00121132" w:rsidRDefault="00121132" w:rsidP="00121132">
      <w:pPr>
        <w:pStyle w:val="berschrift1"/>
      </w:pPr>
      <w:r>
        <w:t xml:space="preserve">4. Vorhersagen </w:t>
      </w:r>
      <w:proofErr w:type="gramStart"/>
      <w:r>
        <w:t>des  Funktionales</w:t>
      </w:r>
      <w:proofErr w:type="gramEnd"/>
      <w:r>
        <w:t xml:space="preserve"> Raum-Zeit-Kohärenzsystem (FRZK)</w:t>
      </w:r>
    </w:p>
    <w:p w14:paraId="79076DB7" w14:textId="77777777" w:rsidR="00DD5A28" w:rsidRDefault="00DD5A28" w:rsidP="00CE2E9F">
      <w:r>
        <w:t>Das Funktionale Raum-Zeit-Kohärenzsystem (FRZK) formuliert keine Vorhersagen im Sinne empirischer Theorien, wie sie etwa in der klassischen Naturwissenschaft üblich sind – also keine spezifischen Aussagen über zukünftige Einzelereignisse mit probabilistischer Absicherung. Stattdessen handelt es sich um modelllogische Konsequenzen, die sich aus der inneren Struktur des FRZK systematisch ableiten lassen. Solche Konsequenzen sind epistemologisch als „Vorhersagen“ zu verstehen, sofern sie sich als notwendig aus der spezifischen Konstruktion des funktionalen Bezugssystems ergeben und bestimmte formale Eigenschaften für mögliche Systeme oder Prozesse determinieren [1].</w:t>
      </w:r>
    </w:p>
    <w:p w14:paraId="2D09102D" w14:textId="77777777" w:rsidR="00DD5A28" w:rsidRDefault="00DD5A28" w:rsidP="00CE2E9F">
      <w:r>
        <w:t>Diese Form von Vorhersage gründet auf einer spezifischen Form erkenntnistheoretischer Modellierung: Das FRZK operiert nicht mit ontologischen Grundannahmen über Raum, Zeit, Objektivität oder Kausalität, sondern entwickelt diese Begriffe selbst aus der iterativen Anwendung funktionaler Operationen – beginnend mit der Unterscheidung eines Initialpunkts (I) aus dem strukturlosen Zustand (∅) [2]. In diesem Sinne beschreibt das Modell nicht nur die Welt, sondern erzeugt systemisch die konzeptuellen Bedingungen, unter denen überhaupt sinnvoll von „Welt“, „Beobachtung“, „Ordnung“ oder „Bedeutung“ gesprochen werden kann [3].</w:t>
      </w:r>
    </w:p>
    <w:p w14:paraId="4FBE4A37" w14:textId="77777777" w:rsidR="00DD5A28" w:rsidRDefault="00DD5A28" w:rsidP="00CE2E9F">
      <w:r>
        <w:t>Diese emergente Struktur orientiert sich methodisch an formalen Fixpunktverfahren, Operatorlogiken und rekursiven Konstruktionsprinzipien, wie sie etwa in der mathematischen Systemtheorie, der funktionalen Physik (z. B. Feldtheorie, Stringtheorie) und der konstruktiven Erkenntnistheorie (z. B. bei Spencer-Brown, Varela, von Foerster) etabliert sind [4][5]. Vorhersagen im Sinne des FRZK sind daher das Resultat einer strukturgenerierenden Architektur: Sie beziehen sich auf die internen Bedingungen der Modellbildung selbst und zielen auf Aussagen über die Form, Dynamik und Differenzierungslogik von Realität.</w:t>
      </w:r>
    </w:p>
    <w:p w14:paraId="5231FED7" w14:textId="0089F6AB" w:rsidR="00DD5A28" w:rsidRDefault="00DD5A28" w:rsidP="00CE2E9F">
      <w:r>
        <w:t xml:space="preserve">Im Folgenden werden jene modellinternen Konsequenzen als „Vorhersagen“ des FRZK ausgewiesen, die sich mit systematischer Strenge aus den zugrunde gelegten Operationen und Funktionsprinzipien ableiten lassen. Jeder Abschnitt behandelt dabei ein spezifisches emergentes Phänomen (z. B. Raumzeit, Kausalität, Beobachtung, Bedeutung), dessen Entstehung, Struktur und Modifizierbarkeit innerhalb des funktionalen Rahmens rekonstruiert wird. Das Ziel ist keine empirische Verifikation im klassischen Sinn, sondern die </w:t>
      </w:r>
      <w:r>
        <w:rPr>
          <w:rStyle w:val="Fett"/>
        </w:rPr>
        <w:t>Begründung struktureller Notwendigkeit</w:t>
      </w:r>
      <w:r>
        <w:t xml:space="preserve"> innerhalb eines geschlossenen, aber anschlussfähigen Modells.</w:t>
      </w:r>
    </w:p>
    <w:p w14:paraId="1D420CF5" w14:textId="77777777" w:rsidR="00CB6546" w:rsidRPr="00CB6546" w:rsidRDefault="00CB6546" w:rsidP="00CE2E9F">
      <w:pPr>
        <w:rPr>
          <w:rFonts w:ascii="Times New Roman" w:eastAsia="Times New Roman" w:hAnsi="Times New Roman"/>
          <w:szCs w:val="24"/>
          <w:lang w:eastAsia="de-DE"/>
        </w:rPr>
      </w:pPr>
      <w:r w:rsidRPr="00CB6546">
        <w:rPr>
          <w:rFonts w:ascii="Times New Roman" w:eastAsia="Times New Roman" w:hAnsi="Times New Roman"/>
          <w:szCs w:val="24"/>
          <w:lang w:eastAsia="de-DE"/>
        </w:rPr>
        <w:t>Die nachfolgenden Abschnitte strukturieren diese Vorhersagen systematisch und erläutern die jeweilige Ableitung, ihre erkenntnistheoretische Bedeutung sowie ihre interdisziplinäre Relevanz.</w:t>
      </w:r>
    </w:p>
    <w:p w14:paraId="7F903435" w14:textId="0B10C736" w:rsidR="0050473A" w:rsidRPr="00CE2E9F" w:rsidRDefault="00CB6546" w:rsidP="00CE2E9F">
      <w:pPr>
        <w:rPr>
          <w:rFonts w:ascii="Times New Roman" w:eastAsia="Times New Roman" w:hAnsi="Times New Roman"/>
          <w:szCs w:val="24"/>
          <w:lang w:eastAsia="de-DE"/>
        </w:rPr>
      </w:pPr>
      <w:r w:rsidRPr="00CB6546">
        <w:rPr>
          <w:rFonts w:ascii="Times New Roman" w:eastAsia="Times New Roman" w:hAnsi="Times New Roman"/>
          <w:b/>
          <w:bCs/>
          <w:szCs w:val="24"/>
          <w:lang w:eastAsia="de-DE"/>
        </w:rPr>
        <w:t>Die erste modelllogische Konsequenz betrifft die strukturelle Emergenz von Raum, Zeit, Objektivität und Kausalität durch funktionale Zuweisungen</w:t>
      </w:r>
      <w:r>
        <w:rPr>
          <w:rFonts w:ascii="Times New Roman" w:eastAsia="Times New Roman" w:hAnsi="Times New Roman"/>
          <w:b/>
          <w:bCs/>
          <w:szCs w:val="24"/>
          <w:lang w:eastAsia="de-DE"/>
        </w:rPr>
        <w:t>.</w:t>
      </w:r>
    </w:p>
    <w:p w14:paraId="4A2D2939" w14:textId="77777777" w:rsidR="00121132" w:rsidRDefault="00F00AA2" w:rsidP="00121132">
      <w:bookmarkStart w:id="0" w:name="_qfz912g5z21i" w:colFirst="0" w:colLast="0"/>
      <w:bookmarkEnd w:id="0"/>
      <w:r>
        <w:lastRenderedPageBreak/>
        <w:pict w14:anchorId="7117D108">
          <v:rect id="_x0000_i1025" style="width:0;height:1.5pt" o:hralign="center" o:hrstd="t" o:hr="t" fillcolor="#a0a0a0" stroked="f"/>
        </w:pict>
      </w:r>
    </w:p>
    <w:p w14:paraId="41934F2A" w14:textId="77777777" w:rsidR="00121132" w:rsidRDefault="00121132" w:rsidP="00121132">
      <w:pPr>
        <w:pStyle w:val="berschrift1"/>
      </w:pPr>
      <w:r>
        <w:t>4.1 Emergenz von Realität durch funktionale Zuweisungen</w:t>
      </w:r>
    </w:p>
    <w:p w14:paraId="6FC0B9B7" w14:textId="78D227E4" w:rsidR="00DD5A28" w:rsidRDefault="00DD5A28" w:rsidP="0062001A">
      <w:pPr>
        <w:pStyle w:val="berschrift2"/>
        <w:rPr>
          <w:rStyle w:val="Fett"/>
          <w:b/>
          <w:bCs w:val="0"/>
        </w:rPr>
      </w:pPr>
      <w:bookmarkStart w:id="1" w:name="_adwbs3eaxvvf" w:colFirst="0" w:colLast="0"/>
      <w:bookmarkEnd w:id="1"/>
      <w:r>
        <w:rPr>
          <w:rStyle w:val="Fett"/>
          <w:b/>
          <w:bCs w:val="0"/>
        </w:rPr>
        <w:t>4.1 Emergenz von Realität durch funktionale Zuweisungen</w:t>
      </w:r>
    </w:p>
    <w:p w14:paraId="52914662" w14:textId="77777777" w:rsidR="0062001A" w:rsidRDefault="00CB6546" w:rsidP="0062001A">
      <w:r>
        <w:t>Das FRZK macht die strukturelle Vorhersage, dass Begriffe wie Raum, Zeit, Objekt, Kausalität und sogar Realität selbst keine vorausgesetzten ontologischen Konstanten sind, sondern als Folge funktionaler Zuweisungen innerhalb eines iterativ aufgebauten Systems emergieren. Diese Konzepte ergeben sich im Modell nicht aus empirischer Beobachtung, sondern aus der internen Strukturlogik, durch die funktionale Differenzierungen und Beobachterperspektiven sukzessiv generiert werden.</w:t>
      </w:r>
    </w:p>
    <w:p w14:paraId="60D143FE" w14:textId="77777777" w:rsidR="00CE2E9F" w:rsidRDefault="00F00AA2" w:rsidP="00CE2E9F">
      <w:r>
        <w:pict w14:anchorId="7049F88E">
          <v:rect id="_x0000_i1026" style="width:0;height:1.5pt" o:hralign="center" o:hrstd="t" o:hr="t" fillcolor="#a0a0a0" stroked="f"/>
        </w:pict>
      </w:r>
    </w:p>
    <w:p w14:paraId="4FA1A1C2" w14:textId="3A831A35" w:rsidR="00DD5A28" w:rsidRPr="00A972C1" w:rsidRDefault="00DD5A28" w:rsidP="00A972C1">
      <w:pPr>
        <w:pStyle w:val="berschrift3"/>
      </w:pPr>
      <w:r w:rsidRPr="00A972C1">
        <w:rPr>
          <w:rStyle w:val="Fett"/>
          <w:b/>
          <w:bCs w:val="0"/>
        </w:rPr>
        <w:t>4.1.1 Ontologische Zurückhaltung als Modellprinzip</w:t>
      </w:r>
    </w:p>
    <w:p w14:paraId="06C7681F" w14:textId="7DF75243" w:rsidR="00DD5A28" w:rsidRDefault="00DD5A28" w:rsidP="00CE2E9F">
      <w:r>
        <w:t>Das FRZK verzichtet bewusst auf ontologische Vorannahmen über die Existenz von Raum, Zeit, Objekten oder Kausalität. Diese Grundgrößen der Wirklichkeitsbeschreibung werden im Modell nicht vorausgesetzt, sondern aus funktionalen Operationen systemisch generiert. Dies entspricht der erkenntnistheoretischen Forderung nach Minimalannahmen bei der Konstruktion formaler Bezugssysteme: Nur was sich aus der Struktur selbst ableiten lässt, gilt als modellintern gültig [6]. Diese ontologische Zurückhaltung steht in Tradition konstruktivistischer Systemtheorien und transzendental-funktionaler Modelle [7].</w:t>
      </w:r>
    </w:p>
    <w:p w14:paraId="141BC243" w14:textId="74DFF2BA" w:rsidR="00CB6546" w:rsidRDefault="00F00AA2" w:rsidP="00CB6546">
      <w:r>
        <w:pict w14:anchorId="07F849CD">
          <v:rect id="_x0000_i1027" style="width:0;height:1.5pt" o:hralign="center" o:hrstd="t" o:hr="t" fillcolor="#a0a0a0" stroked="f"/>
        </w:pict>
      </w:r>
    </w:p>
    <w:p w14:paraId="2AF21C2B" w14:textId="77777777" w:rsidR="00DD5A28" w:rsidRDefault="00DD5A28" w:rsidP="00A972C1">
      <w:pPr>
        <w:pStyle w:val="berschrift3"/>
      </w:pPr>
      <w:r>
        <w:rPr>
          <w:rStyle w:val="Fett"/>
          <w:bCs w:val="0"/>
        </w:rPr>
        <w:t>4.1.2 Initialpunkt und strukturloser Zustand (</w:t>
      </w:r>
      <w:r>
        <w:rPr>
          <w:rStyle w:val="Fett"/>
          <w:rFonts w:ascii="Cambria Math" w:hAnsi="Cambria Math" w:cs="Cambria Math"/>
          <w:bCs w:val="0"/>
        </w:rPr>
        <w:t>∅</w:t>
      </w:r>
      <w:r>
        <w:rPr>
          <w:rStyle w:val="Fett"/>
          <w:bCs w:val="0"/>
        </w:rPr>
        <w:t>)</w:t>
      </w:r>
    </w:p>
    <w:p w14:paraId="252F6C39" w14:textId="77777777" w:rsidR="00DD5A28" w:rsidRDefault="00DD5A28" w:rsidP="00CE2E9F">
      <w:r>
        <w:t>Der erste funktionale Schritt des FRZK besteht in der Setzung eines Initialpunkts (I), der sich von einem strukturlosen Zustand ∅ unterscheidet. Diese Differenzoperation – formal eine erste funktionale Zuweisung – begründet die Möglichkeit, Koordinaten, Felder oder Relationen überhaupt zu konstruieren [8]. Der Initialpunkt dient nicht als „Ort“, sondern als logischer Startpunkt aller weiteren funktionalen Ableitungen. Diese Idee entspricht der Formlogik von Spencer-Brown und der Konstitution durch Unterscheidung [2].</w:t>
      </w:r>
    </w:p>
    <w:p w14:paraId="31D8DFE3" w14:textId="77777777" w:rsidR="00CB6546" w:rsidRDefault="00F00AA2" w:rsidP="00CB6546">
      <w:r>
        <w:pict w14:anchorId="4E6FCB58">
          <v:rect id="_x0000_i1028" style="width:0;height:1.5pt" o:hralign="center" o:hrstd="t" o:hr="t" fillcolor="#a0a0a0" stroked="f"/>
        </w:pict>
      </w:r>
    </w:p>
    <w:p w14:paraId="27578EF1" w14:textId="77777777" w:rsidR="00DD5A28" w:rsidRDefault="00DD5A28" w:rsidP="00A972C1">
      <w:pPr>
        <w:pStyle w:val="berschrift3"/>
      </w:pPr>
      <w:r>
        <w:rPr>
          <w:rStyle w:val="Fett"/>
          <w:bCs w:val="0"/>
        </w:rPr>
        <w:t>4.1.3 Funktionale Entstehung von Raum und Zeit</w:t>
      </w:r>
    </w:p>
    <w:p w14:paraId="65136AEC" w14:textId="77777777" w:rsidR="00DD5A28" w:rsidRDefault="00DD5A28" w:rsidP="00DD5A28">
      <w:pPr>
        <w:pStyle w:val="StandardWeb"/>
      </w:pPr>
      <w:r>
        <w:t>Raum und Zeit erscheinen im FRZK nicht als absolute Gegebenheiten, sondern als Ergebnisse koordinierter Zuweisungen von Relationen, Differenzen und Übergängen. Die Raumfunktion entsteht durch wiederholte strukturierende Zuweisung relativ zum Initialpunkt, während Zeit als gerichtete Reihung funktionaler Transformationen verstanden wird [10]. Diese Sichtweise korrespondiert mit relationalen Raumzeitkonzepten der modernen Physik – etwa in der Allgemeinen Relativitätstheorie oder in dynamischen Raumzeitmodellen [5].</w:t>
      </w:r>
    </w:p>
    <w:p w14:paraId="0F7370BB" w14:textId="77777777" w:rsidR="00CB6546" w:rsidRDefault="00F00AA2" w:rsidP="00CB6546">
      <w:r>
        <w:pict w14:anchorId="6811D709">
          <v:rect id="_x0000_i1029" style="width:0;height:1.5pt" o:hralign="center" o:hrstd="t" o:hr="t" fillcolor="#a0a0a0" stroked="f"/>
        </w:pict>
      </w:r>
    </w:p>
    <w:p w14:paraId="34F9C27E" w14:textId="77777777" w:rsidR="00DD5A28" w:rsidRDefault="00DD5A28" w:rsidP="00A972C1">
      <w:pPr>
        <w:pStyle w:val="berschrift3"/>
      </w:pPr>
      <w:r>
        <w:rPr>
          <w:rStyle w:val="Fett"/>
          <w:bCs w:val="0"/>
        </w:rPr>
        <w:t xml:space="preserve">4.1.4 Konsistenz mit physikalischen </w:t>
      </w:r>
      <w:proofErr w:type="spellStart"/>
      <w:r>
        <w:rPr>
          <w:rStyle w:val="Fett"/>
          <w:bCs w:val="0"/>
        </w:rPr>
        <w:t>Emergenztheorien</w:t>
      </w:r>
      <w:proofErr w:type="spellEnd"/>
    </w:p>
    <w:p w14:paraId="6CA71EAF" w14:textId="77777777" w:rsidR="00DD5A28" w:rsidRDefault="00DD5A28" w:rsidP="00DD5A28">
      <w:pPr>
        <w:pStyle w:val="StandardWeb"/>
      </w:pPr>
      <w:r>
        <w:t>Die im FRZK postulierte Emergenzstruktur findet Anschluss an moderne physikalische Theorien, in denen Raumzeit als emergentes Phänomen aus tieferliegenden Prozessen resultiert. So beschreibt die Stringtheorie Raumzeit nicht als Grundgröße, sondern als kollektive Ordnung aus Interaktionen von Strings auf noch nicht-raumzeitlichen Skalen [12]. Auch die holografische Gravitation oder Loop-Quantengravitation stützen die These, dass Raumzeit aus informations- und feldtheoretischen Strukturen hervorgeht – was die funktionale Konstruktion im FRZK empirisch motiviert [13].</w:t>
      </w:r>
    </w:p>
    <w:p w14:paraId="6DFEA658" w14:textId="77777777" w:rsidR="00CB6546" w:rsidRDefault="00F00AA2" w:rsidP="00CB6546">
      <w:r>
        <w:pict w14:anchorId="5AB85E18">
          <v:rect id="_x0000_i1030" style="width:0;height:1.5pt" o:hralign="center" o:hrstd="t" o:hr="t" fillcolor="#a0a0a0" stroked="f"/>
        </w:pict>
      </w:r>
    </w:p>
    <w:p w14:paraId="62510147" w14:textId="77777777" w:rsidR="00DD5A28" w:rsidRPr="00A972C1" w:rsidRDefault="00DD5A28" w:rsidP="00A972C1">
      <w:pPr>
        <w:pStyle w:val="berschrift3"/>
      </w:pPr>
      <w:r w:rsidRPr="00A972C1">
        <w:rPr>
          <w:rStyle w:val="Fett"/>
          <w:b/>
          <w:bCs w:val="0"/>
        </w:rPr>
        <w:t>4.1.5 Epistemische Position der Vorhersage</w:t>
      </w:r>
    </w:p>
    <w:p w14:paraId="58AAFB99" w14:textId="5248620E" w:rsidR="00DD5A28" w:rsidRDefault="00DD5A28" w:rsidP="00DD5A28">
      <w:pPr>
        <w:pStyle w:val="StandardWeb"/>
      </w:pPr>
      <w:r>
        <w:t>Die Vorhersage, dass Raum, Zeit, Objektivität und Kausalität emergente Effekte funktionaler Zuweisung sind, ist nicht experimentell im klassischen Sinn verifizierbar. Ihre Geltung ergibt sich aus der internen Kohärenz des Modells sowie seiner Fähigkeit, anschlussfähig zu etablierten Theorien zu bleiben und dennoch neue Formen der Erklärung und Systembildung zu ermöglichen [14]. Die Aussagekraft liegt in der strukturellen Generativität: Das FRZK kann rekonstruieren, wie „Realität“ unter Bedingungen funktionaler Logik überhaupt entstehen kann – ein erkenntnistheoretischer Fortschritt gegenüber Theorien, die solche Begriffe als vorausgesetzt behandeln [15].</w:t>
      </w:r>
    </w:p>
    <w:p w14:paraId="09A90430" w14:textId="77777777" w:rsidR="00CB6546" w:rsidRDefault="00F00AA2" w:rsidP="00CB6546">
      <w:r>
        <w:pict w14:anchorId="5D405FD3">
          <v:rect id="_x0000_i1031" style="width:0;height:1.5pt" o:hralign="center" o:hrstd="t" o:hr="t" fillcolor="#a0a0a0" stroked="f"/>
        </w:pict>
      </w:r>
    </w:p>
    <w:p w14:paraId="447D6B8A" w14:textId="0537E1ED" w:rsidR="00DD5A28" w:rsidRDefault="00121132" w:rsidP="00A972C1">
      <w:pPr>
        <w:pStyle w:val="berschrift1"/>
      </w:pPr>
      <w:r>
        <w:t>4.2 Hierarchische und emergente Struktur von Gleichungstypen</w:t>
      </w:r>
      <w:bookmarkStart w:id="2" w:name="_5ourynwsicbx" w:colFirst="0" w:colLast="0"/>
      <w:bookmarkEnd w:id="2"/>
    </w:p>
    <w:p w14:paraId="761CCDF2" w14:textId="5F24B70B" w:rsidR="00DD5A28" w:rsidRDefault="00DD5A28" w:rsidP="00DD5A28">
      <w:pPr>
        <w:pStyle w:val="berschrift3"/>
        <w:rPr>
          <w:rStyle w:val="Fett"/>
          <w:b/>
          <w:bCs w:val="0"/>
        </w:rPr>
      </w:pPr>
      <w:r>
        <w:rPr>
          <w:rStyle w:val="Fett"/>
          <w:b/>
          <w:bCs w:val="0"/>
        </w:rPr>
        <w:t>4.2 Hierarchische und emergente Struktur von Gleichungstypen</w:t>
      </w:r>
    </w:p>
    <w:p w14:paraId="1E8F1643" w14:textId="27BC6FE1" w:rsidR="00A972C1" w:rsidRPr="00A972C1" w:rsidRDefault="00A972C1" w:rsidP="00A972C1">
      <w:r>
        <w:t xml:space="preserve">Das FRZK macht die modellinterne Vorhersage, dass die grundlegenden Strukturelemente eines funktionalen Systems – etwa Raum, Dynamik, Handlung oder Reflexion – nicht als gleichrangige Parameter </w:t>
      </w:r>
      <w:proofErr w:type="gramStart"/>
      <w:r>
        <w:t>nebeneinander stehen</w:t>
      </w:r>
      <w:proofErr w:type="gramEnd"/>
      <w:r>
        <w:t>, sondern sich in einer logisch notwendigen, hierarchisch geschichteten Struktur funktionaler Gleichungstypen organisieren. Diese Gleichungstypen bilden eine Abfolge von Operatoren, in der jede Ebene aus der vorangegangenen hervorgeht, funktional bedingt ist und eine zunehmende Differenzierungs- und Reflexionsfähigkeit des Systems ermöglicht. Das Modell prognostiziert somit, dass sich komplexe Phänomene wie Handlung, Bedeutung oder Selbstbeobachtung nur innerhalb eines schichtweise aufgebauten, emergenten Gleichungssystems stabil erzeugen lassen.</w:t>
      </w:r>
    </w:p>
    <w:p w14:paraId="4A15B28D" w14:textId="77777777" w:rsidR="00DD5A28" w:rsidRDefault="00DD5A28" w:rsidP="00DD5A28">
      <w:pPr>
        <w:pStyle w:val="berschrift4"/>
      </w:pPr>
      <w:r>
        <w:rPr>
          <w:rStyle w:val="Fett"/>
          <w:b w:val="0"/>
          <w:bCs w:val="0"/>
        </w:rPr>
        <w:t>4.2.1 Gleichungstypen als funktionale Ebenen</w:t>
      </w:r>
    </w:p>
    <w:p w14:paraId="3D6FABF5" w14:textId="77777777" w:rsidR="00DD5A28" w:rsidRDefault="00DD5A28" w:rsidP="00DD5A28">
      <w:pPr>
        <w:pStyle w:val="StandardWeb"/>
      </w:pPr>
      <w:r>
        <w:t>Das FRZK beschreibt Gleichungstypen nicht als formale Ausdrücke zur Modellierung gegebener Zustände, sondern als funktionale Operatoren, die selbst Realität strukturieren. Dabei folgt das Modell einer schichtweisen Systemarchitektur: Initialpunkt, Raumfunktion, Brane-Funktion, Metrik, Dynamik, Akteur-Funktion und Meta-Funktion stellen strukturell gestufte Operatoren dar, die sich wechselseitig voraussetzen und erzeugen [16]. Die Gleichungstypen bilden somit nicht nur mathematische Formulierungen ab, sondern kodieren systemische Übergänge zwischen Beobachtungs-, Interaktions- und Reflexionsebenen.</w:t>
      </w:r>
    </w:p>
    <w:p w14:paraId="00249C97" w14:textId="77777777" w:rsidR="00DD5A28" w:rsidRDefault="00DD5A28" w:rsidP="00DD5A28">
      <w:pPr>
        <w:pStyle w:val="berschrift4"/>
      </w:pPr>
      <w:r>
        <w:rPr>
          <w:rStyle w:val="Fett"/>
          <w:b w:val="0"/>
          <w:bCs w:val="0"/>
        </w:rPr>
        <w:t>4.2.2 Iterative Ableitbarkeit und funktionale Emergenz</w:t>
      </w:r>
    </w:p>
    <w:p w14:paraId="17980461" w14:textId="77777777" w:rsidR="00DD5A28" w:rsidRDefault="00DD5A28" w:rsidP="00DD5A28">
      <w:pPr>
        <w:pStyle w:val="StandardWeb"/>
      </w:pPr>
      <w:r>
        <w:t>Die Entstehung dieser Gleichungstypen erfolgt iterativ ausgehend vom strukturlosen Zustand (∅). Aus der ersten funktionalen Unterscheidung entsteht ein Initialpunkt, auf dessen Basis eine Raumfunktion als Koordinationsstruktur generiert wird. Daraus entwickelt sich eine Brane-Funktion, welche die interne Feldstruktur beschreibt. Erst darauf aufbauend kann eine Metrik definiert werden, die Entfernungen, Krümmungen und Richtungen operationalisiert. Diese Metrik ermöglicht in Kombination mit der Brane-Funktion die Formulierung von Dynamiken (z. B. Bewegung, Wechselwirkung), auf denen wiederum Handlungs- und Akteursfunktionen sowie deren reflexive Meta-Ebenen aufbauen [17].</w:t>
      </w:r>
    </w:p>
    <w:p w14:paraId="3DECC792" w14:textId="77777777" w:rsidR="00DD5A28" w:rsidRDefault="00DD5A28" w:rsidP="00DD5A28">
      <w:pPr>
        <w:pStyle w:val="StandardWeb"/>
      </w:pPr>
      <w:r>
        <w:t>Diese Abfolge entspricht einem emergenten Funktionsgefüge, in dem jede neue Schicht systematisch aus den strukturellen Freiheitsgraden der vorherigen hervorgeht – vergleichbar mit iterativen Fixpunktverfahren in der nichtlinearen Systemdynamik [18].</w:t>
      </w:r>
    </w:p>
    <w:p w14:paraId="3FB0F513" w14:textId="77777777" w:rsidR="00DD5A28" w:rsidRDefault="00DD5A28" w:rsidP="00DD5A28">
      <w:pPr>
        <w:pStyle w:val="berschrift4"/>
      </w:pPr>
      <w:r>
        <w:rPr>
          <w:rStyle w:val="Fett"/>
          <w:b w:val="0"/>
          <w:bCs w:val="0"/>
        </w:rPr>
        <w:t>4.2.3 Formale Kohärenz und interne Beweisbarkeit</w:t>
      </w:r>
    </w:p>
    <w:p w14:paraId="02B6BF6F" w14:textId="77777777" w:rsidR="00DD5A28" w:rsidRDefault="00DD5A28" w:rsidP="00DD5A28">
      <w:pPr>
        <w:pStyle w:val="StandardWeb"/>
      </w:pPr>
      <w:r>
        <w:t>Die Validität dieser Struktur ergibt sich aus der konstruktiven Kohärenz der Modellarchitektur selbst: Jeder Übergang ist als Operator auf vorherige Funktionsebenen mathematisch definierbar und systemisch notwendig. Anstatt empirischer Belege tritt hier die interne Beweisbarkeit als Geltungskriterium auf – ein Ansatz, der mit axiombasierten formalen Systemen, aber auch mit konstruktiven Logiken verwandt ist [19]. Damit weist das FRZK eine formale Selbststimmigkeit auf, die in sich geschlossene Funktionalität mit struktureller Offenheit für Erweiterung verbindet.</w:t>
      </w:r>
    </w:p>
    <w:p w14:paraId="37DABD85" w14:textId="77777777" w:rsidR="00DD5A28" w:rsidRDefault="00DD5A28" w:rsidP="00DD5A28">
      <w:pPr>
        <w:pStyle w:val="berschrift4"/>
      </w:pPr>
      <w:r>
        <w:rPr>
          <w:rStyle w:val="Fett"/>
          <w:b w:val="0"/>
          <w:bCs w:val="0"/>
        </w:rPr>
        <w:t>4.2.4 Rekursive Strukturlogik und Reflexion</w:t>
      </w:r>
    </w:p>
    <w:p w14:paraId="5DA579FF" w14:textId="77777777" w:rsidR="00DD5A28" w:rsidRDefault="00DD5A28" w:rsidP="00DD5A28">
      <w:pPr>
        <w:pStyle w:val="StandardWeb"/>
      </w:pPr>
      <w:r>
        <w:t>Ab der Ebene der Akteur-Funktion tritt eine neue Qualität ein: Systeme können nicht nur mit sich selbst, sondern über sich selbst operieren. Die Meta-Funktion stellt eine Reflexionsstruktur dar, durch die Beobachtungs- und Zuweisungsvorgänge selbst Gegenstand weiterer funktionaler Operationen werden können. Damit besitzt das FRZK eine inhärente rekursive Systemlogik, wie sie auch in selbstbeschreibenden Systemen in der theoretischen Informatik oder in Beobachtung zweiter Ordnung nach Luhmann vorkommt [20][19].</w:t>
      </w:r>
    </w:p>
    <w:p w14:paraId="304624F2" w14:textId="77777777" w:rsidR="00DD5A28" w:rsidRDefault="00DD5A28" w:rsidP="00DD5A28">
      <w:pPr>
        <w:pStyle w:val="berschrift4"/>
      </w:pPr>
      <w:r>
        <w:rPr>
          <w:rStyle w:val="Fett"/>
          <w:b w:val="0"/>
          <w:bCs w:val="0"/>
        </w:rPr>
        <w:t>4.2.5 Vergleich zu etablierten Systemtheorien</w:t>
      </w:r>
    </w:p>
    <w:p w14:paraId="1C8C14A3" w14:textId="5CEA52C6" w:rsidR="0050473A" w:rsidRDefault="00DD5A28" w:rsidP="00A972C1">
      <w:pPr>
        <w:pStyle w:val="StandardWeb"/>
      </w:pPr>
      <w:r>
        <w:t>Diese hierarchische Gliederung von Operatoren unterscheidet sich von klassischen Systemtheorien, die oft lediglich Input-Output-Strukturen oder Feedback-Schleifen modellieren. Das FRZK macht sichtbar, wie komplexe kognitive, physikalische oder gesellschaftliche Phänomene durch rekursiv geschichtete Funktionsebenen generiert und differenziert werden können. Ähnliche Strukturkonzepte finden sich etwa in der mehrstufigen Semantik nach Barwise, der kategorialen Modellierung in der Mathematik oder in der Selbstorganisation in dissipativen Systemen [22][23].</w:t>
      </w:r>
    </w:p>
    <w:p w14:paraId="054665DB" w14:textId="1A572751" w:rsidR="00121132" w:rsidRDefault="00F00AA2" w:rsidP="00121132">
      <w:r>
        <w:pict w14:anchorId="58506093">
          <v:rect id="_x0000_i1032" style="width:0;height:1.5pt" o:hralign="center" o:hrstd="t" o:hr="t" fillcolor="#a0a0a0" stroked="f"/>
        </w:pict>
      </w:r>
    </w:p>
    <w:p w14:paraId="78BE422B" w14:textId="7D6E8F7C" w:rsidR="00121132" w:rsidRDefault="00121132" w:rsidP="00121132">
      <w:pPr>
        <w:pStyle w:val="berschrift1"/>
      </w:pPr>
      <w:r>
        <w:t>4.3 Rekursivität und Selbstbezüglichkeit von Beobachtung</w:t>
      </w:r>
    </w:p>
    <w:p w14:paraId="15837405" w14:textId="689EC9C6" w:rsidR="00A972C1" w:rsidRPr="00A972C1" w:rsidRDefault="00A972C1" w:rsidP="00A972C1">
      <w:r>
        <w:t>Das FRZK prognostiziert, dass Beobachtung nicht als passiver Zugriff auf eine vorgegebene Realität zu verstehen ist, sondern als rekursive, strukturabhängige Operation, die aktiv an der Konstitution von Realität beteiligt ist. Beobachtungen entstehen innerhalb des Systems durch funktionale Operatoren, die nicht nur externe Zustände erfassen, sondern auf das System selbst zurückwirken können. Das Modell sagt daher voraus, dass jede hinreichend komplexe Beobachtungsstruktur zur Selbstbezüglichkeit tendiert und Beobachtung zweiter Ordnung – also die Beobachtung der eigenen Beobachtungen – eine systemimmanente Notwendigkeit darstellt. Diese Form der Beobachtung ist nicht optional, sondern ein strukturelles Resultat funktionaler Organisation.</w:t>
      </w:r>
    </w:p>
    <w:p w14:paraId="74441A30" w14:textId="77777777" w:rsidR="00DD5A28" w:rsidRDefault="00DD5A28" w:rsidP="00DD5A28">
      <w:pPr>
        <w:pStyle w:val="berschrift4"/>
      </w:pPr>
      <w:bookmarkStart w:id="3" w:name="_reon0l8ybxra" w:colFirst="0" w:colLast="0"/>
      <w:bookmarkEnd w:id="3"/>
      <w:r>
        <w:rPr>
          <w:rStyle w:val="Fett"/>
          <w:b w:val="0"/>
          <w:bCs w:val="0"/>
        </w:rPr>
        <w:t>4.3.1 Beobachtung als Systemfunktion</w:t>
      </w:r>
    </w:p>
    <w:p w14:paraId="73AD9D0B" w14:textId="77777777" w:rsidR="00DD5A28" w:rsidRDefault="00DD5A28" w:rsidP="00DD5A28">
      <w:pPr>
        <w:pStyle w:val="StandardWeb"/>
      </w:pPr>
      <w:r>
        <w:t>Das FRZK modelliert Beobachtung nicht als externen Zugriff eines unabhängigen Subjekts auf eine objektive Welt, sondern als systeminterne Operation, durch die Strukturen generiert und unterschieden werden. Beobachtung ist im funktionalen Rahmen eine spezielle Form funktionaler Zuweisung, bei der nicht nur Relationen gebildet, sondern auch Selektionsprozesse gesteuert und interpretativ gerahmt werden [24]. Diese Funktion ist an kein „Bewusstsein“ gebunden, sondern kann von kognitiven, sozialen oder technischen Systemen gleichermaßen realisiert werden.</w:t>
      </w:r>
    </w:p>
    <w:p w14:paraId="666EA7B4" w14:textId="77777777" w:rsidR="00DD5A28" w:rsidRDefault="00DD5A28" w:rsidP="00DD5A28">
      <w:pPr>
        <w:pStyle w:val="berschrift4"/>
      </w:pPr>
      <w:r>
        <w:rPr>
          <w:rStyle w:val="Fett"/>
          <w:b w:val="0"/>
          <w:bCs w:val="0"/>
        </w:rPr>
        <w:t>4.3.2 Rekursion und funktionale Selbstanwendung</w:t>
      </w:r>
    </w:p>
    <w:p w14:paraId="3E249635" w14:textId="77777777" w:rsidR="00DD5A28" w:rsidRDefault="00DD5A28" w:rsidP="00DD5A28">
      <w:pPr>
        <w:pStyle w:val="StandardWeb"/>
      </w:pPr>
      <w:r>
        <w:t>Beobachtung im FRZK ist rekursiv, das heißt, sie kann auf sich selbst angewendet werden. Diese Eigenschaft wird durch die Einführung sogenannter Meta-Funktionen operationalisiert, die es erlauben, Beobachtungen nicht nur zu tätigen, sondern auch zu beobachten, dass beobachtet wird. Solche Operationen sind notwendig, sobald Systeme mit mehr als einer Beobachtungsebene agieren – etwa bei der Unterscheidung von Fakt und Interpretation, erster und zweiter Ordnung oder Handlung und Metareflexion [25].</w:t>
      </w:r>
    </w:p>
    <w:p w14:paraId="1CA345B9" w14:textId="77777777" w:rsidR="00DD5A28" w:rsidRDefault="00DD5A28" w:rsidP="00DD5A28">
      <w:pPr>
        <w:pStyle w:val="StandardWeb"/>
      </w:pPr>
      <w:r>
        <w:t>Diese Rekursivität wird formal als funktionale Selbstanwendung modelliert: Ein System bezieht sich auf die Operatoren, die es selbst generiert hat, und modifiziert sie unter bestimmten Bedingungen. Vergleichbare Konzepte finden sich in der theoretischen Informatik (z. B. λ-Kalkül), der mathematischen Logik (z. B. Gödels Selbstreferenzprinzip) und der soziologischen Systemtheorie [26].</w:t>
      </w:r>
    </w:p>
    <w:p w14:paraId="3EB69536" w14:textId="77777777" w:rsidR="00DD5A28" w:rsidRDefault="00DD5A28" w:rsidP="00DD5A28">
      <w:pPr>
        <w:pStyle w:val="berschrift4"/>
      </w:pPr>
      <w:r>
        <w:rPr>
          <w:rStyle w:val="Fett"/>
          <w:b w:val="0"/>
          <w:bCs w:val="0"/>
        </w:rPr>
        <w:t>4.3.3 Beobachtung zweiter Ordnung als Modellprinzip</w:t>
      </w:r>
    </w:p>
    <w:p w14:paraId="7D870BA2" w14:textId="77777777" w:rsidR="00DD5A28" w:rsidRDefault="00DD5A28" w:rsidP="00DD5A28">
      <w:pPr>
        <w:pStyle w:val="StandardWeb"/>
      </w:pPr>
      <w:r>
        <w:t>Die Unterscheidung zwischen Beobachtung erster und zweiter Ordnung wird im FRZK nicht nur als erkenntnistheoretisches Konzept übernommen, sondern strukturell in das Modell eingebettet. Beobachtung erster Ordnung betrifft die Unterscheidung von Systemelementen (z. B. „dies ist Objekt A“), während Beobachtung zweiter Ordnung sich auf die Unterscheidung von Unterscheidungen bezieht (z. B. „diese Beobachtung wurde unter einer bestimmten Perspektive vorgenommen“) [27].</w:t>
      </w:r>
    </w:p>
    <w:p w14:paraId="40D64FF2" w14:textId="77777777" w:rsidR="00DD5A28" w:rsidRDefault="00DD5A28" w:rsidP="00DD5A28">
      <w:pPr>
        <w:pStyle w:val="StandardWeb"/>
      </w:pPr>
      <w:r>
        <w:t>Diese Unterscheidung erlaubt es, kontextabhängige, perspektivische und reflexive Modelloperationen zu beschreiben – eine Eigenschaft, die für alle Systeme mit mehrschichtiger Semantik oder adaptiver Steuerung unverzichtbar ist. Das FRZK bietet hier ein formalisiertes Rahmenmodell, das diese Tiefenstruktur funktional konsistent beschreibt.</w:t>
      </w:r>
    </w:p>
    <w:p w14:paraId="78C5C7C2" w14:textId="77777777" w:rsidR="00DD5A28" w:rsidRDefault="00DD5A28" w:rsidP="00DD5A28">
      <w:pPr>
        <w:pStyle w:val="berschrift4"/>
      </w:pPr>
      <w:r>
        <w:rPr>
          <w:rStyle w:val="Fett"/>
          <w:b w:val="0"/>
          <w:bCs w:val="0"/>
        </w:rPr>
        <w:t>4.3.4 Beobachtereffekte und strukturabhängige Erkenntnis</w:t>
      </w:r>
    </w:p>
    <w:p w14:paraId="568D5D4E" w14:textId="77777777" w:rsidR="00DD5A28" w:rsidRDefault="00DD5A28" w:rsidP="00DD5A28">
      <w:pPr>
        <w:pStyle w:val="StandardWeb"/>
      </w:pPr>
      <w:r>
        <w:t>Im Sinne der Quantenphysik tritt mit dem sogenannten Beobachtereffekt ein Prinzip in Erscheinung, das auch im FRZK grundlegend ist: Jede Beobachtung verändert das Beobachtete – oder genauer: das Beobachtete ist nur in Relation zur Beobachtungsoperation bestimmbar [28]. Das FRZK generalisiert dieses Prinzip und wendet es auf alle funktionalen Beobachtungssysteme an. Erkenntnis ist nicht unabhängig von ihrer Struktur möglich, sondern durch diese strukturell begrenzt und geformt. Diese Form der Einschränkung ist keine Schwäche, sondern ein systemimmanenter Konstruktionsmechanismus.</w:t>
      </w:r>
    </w:p>
    <w:p w14:paraId="08414EAF" w14:textId="77777777" w:rsidR="00DD5A28" w:rsidRDefault="00DD5A28" w:rsidP="00DD5A28">
      <w:pPr>
        <w:pStyle w:val="berschrift4"/>
      </w:pPr>
      <w:r>
        <w:rPr>
          <w:rStyle w:val="Fett"/>
          <w:b w:val="0"/>
          <w:bCs w:val="0"/>
        </w:rPr>
        <w:t>4.3.5 Beobachtung als dynamische Steuergröße</w:t>
      </w:r>
    </w:p>
    <w:p w14:paraId="64510FCD" w14:textId="10187862" w:rsidR="0050473A" w:rsidRDefault="00DD5A28" w:rsidP="00A972C1">
      <w:pPr>
        <w:pStyle w:val="StandardWeb"/>
      </w:pPr>
      <w:r>
        <w:t xml:space="preserve">Beobachtung ist im FRZK nicht nur erkenntnistheoretisch relevant, sondern auch operativ: Sie steuert die Auswahl von Zuweisungen, aktiviert bestimmte semantische Felder und ist an der Bewertung und Transformation symbolischer Ordnungen beteiligt. Insofern ist Beobachtung eine </w:t>
      </w:r>
      <w:r>
        <w:rPr>
          <w:rStyle w:val="Fett"/>
        </w:rPr>
        <w:t>dynamische Steuergröße</w:t>
      </w:r>
      <w:r>
        <w:t>, die den Funktionsverlauf des Gesamtsystems mitbestimmt. Ihre Rekursivität erlaubt es, auch auf Veränderungen im eigenen Funktionsmodus zu reagieren – ein zentrales Merkmal für adaptive, lernfähige oder selbstreferenzielle Systeme.</w:t>
      </w:r>
    </w:p>
    <w:p w14:paraId="241C3826" w14:textId="77777777" w:rsidR="00121132" w:rsidRDefault="00F00AA2" w:rsidP="00121132">
      <w:r>
        <w:pict w14:anchorId="1E95C4C4">
          <v:rect id="_x0000_i1033" style="width:0;height:1.5pt" o:hralign="center" o:hrstd="t" o:hr="t" fillcolor="#a0a0a0" stroked="f"/>
        </w:pict>
      </w:r>
    </w:p>
    <w:p w14:paraId="69A2D0AF" w14:textId="77777777" w:rsidR="00121132" w:rsidRDefault="00121132" w:rsidP="00121132">
      <w:pPr>
        <w:pStyle w:val="berschrift1"/>
      </w:pPr>
      <w:r>
        <w:t>4.4 Funktionale Abhängigkeit von Kausalität und Energie</w:t>
      </w:r>
    </w:p>
    <w:p w14:paraId="42D3254C" w14:textId="52431638" w:rsidR="00A972C1" w:rsidRDefault="00A972C1" w:rsidP="00A972C1">
      <w:pPr>
        <w:rPr>
          <w:rStyle w:val="Fett"/>
          <w:b w:val="0"/>
          <w:bCs w:val="0"/>
        </w:rPr>
      </w:pPr>
      <w:bookmarkStart w:id="4" w:name="_xi48z0q7hv9" w:colFirst="0" w:colLast="0"/>
      <w:bookmarkEnd w:id="4"/>
      <w:r>
        <w:t>Das FRZK formuliert die strukturelle Vorhersage, dass Kausalität und Energie nicht als grundlegende ontologische Prinzipien vorausgesetzt werden müssen, sondern als abgeleitete Funktionen innerhalb einer dynamischen Feldstruktur erscheinen. Kausalzusammenhänge entstehen demnach nicht aus extern gesetzten Ursache-Wirkungs-Relationen, sondern aus systeminternen Veränderungen von Feldkonfigurationen, die sich über metrische und topologische Operatoren beschreiben lassen. Energie wiederum wird nicht als eigenständige Größe eingeführt, sondern ergibt sich aus der Veränderungsrate strukturierter Felder im Zeitverlauf. Das Modell macht damit die Prognose, dass sowohl Kausalität als auch Energie im funktionalen Rahmen emergente Effekte koordinierter Operatorverhältnisse sind – feldabhängig, kontextuell und formal rekonstruierbar.</w:t>
      </w:r>
    </w:p>
    <w:p w14:paraId="6BA4AF25" w14:textId="15CF0A84" w:rsidR="00DD5A28" w:rsidRDefault="00DD5A28" w:rsidP="00DD5A28">
      <w:pPr>
        <w:pStyle w:val="berschrift4"/>
      </w:pPr>
      <w:r>
        <w:rPr>
          <w:rStyle w:val="Fett"/>
          <w:b w:val="0"/>
          <w:bCs w:val="0"/>
        </w:rPr>
        <w:t>4.4.1 Kausalität als strukturabhängige Funktion</w:t>
      </w:r>
    </w:p>
    <w:p w14:paraId="27E00DA3" w14:textId="77777777" w:rsidR="00DD5A28" w:rsidRDefault="00DD5A28" w:rsidP="00DD5A28">
      <w:pPr>
        <w:pStyle w:val="StandardWeb"/>
      </w:pPr>
      <w:r>
        <w:t>Im FRZK wird Kausalität nicht als gegebene Ordnung zwischen Ursachen und Wirkungen verstanden, sondern als emergente Struktur, die aus feldabhängigen Raumkonfigurationen resultiert. Kausalrelationen erscheinen als Folgen spezifischer Feldzustände, deren Veränderungsrichtungen systemisch interpretierbar sind. Damit ist Kausalität nicht vorausgesetzt, sondern funktional ableitbar – als Differenzstruktur zwischen Feldwerten über Zeitfolgen [29].</w:t>
      </w:r>
    </w:p>
    <w:p w14:paraId="5977EEF8" w14:textId="77777777" w:rsidR="00DD5A28" w:rsidRDefault="00DD5A28" w:rsidP="00DD5A28">
      <w:pPr>
        <w:pStyle w:val="berschrift4"/>
      </w:pPr>
      <w:r>
        <w:rPr>
          <w:rStyle w:val="Fett"/>
          <w:b w:val="0"/>
          <w:bCs w:val="0"/>
        </w:rPr>
        <w:t>4.4.2 Dynamik als Resultat metrischer und topologischer Operatoren</w:t>
      </w:r>
    </w:p>
    <w:p w14:paraId="6917883E" w14:textId="77777777" w:rsidR="00DD5A28" w:rsidRDefault="00DD5A28" w:rsidP="00DD5A28">
      <w:pPr>
        <w:pStyle w:val="StandardWeb"/>
      </w:pPr>
      <w:r>
        <w:t>Die Modellarchitektur des FRZK generiert Dynamik als Kombination von Metrik und Brane-Funktion. Letztere kodiert die materielle und strukturelle Verteilung im Raum, während die Metrik deren geometrische Relationen bestimmt. Erst durch die Ableitung aus diesen beiden Operatoren entstehen dynamische Gleichungen, die zeitabhängige Veränderung von Zuständen beschreiben – vergleichbar dem Lagrange- oder Hamilton-Formalismus in der klassischen Mechanik [30]. Diese Gleichungen treten jedoch nicht als externe Formeln auf, sondern als Konsequenzen funktionaler Operatorverknüpfung.</w:t>
      </w:r>
    </w:p>
    <w:p w14:paraId="46D29ECB" w14:textId="77777777" w:rsidR="00DD5A28" w:rsidRDefault="00DD5A28" w:rsidP="00DD5A28">
      <w:pPr>
        <w:pStyle w:val="berschrift4"/>
      </w:pPr>
      <w:r>
        <w:rPr>
          <w:rStyle w:val="Fett"/>
          <w:b w:val="0"/>
          <w:bCs w:val="0"/>
        </w:rPr>
        <w:t>4.4.3 Energie und Impuls als abgeleitete Systemgrößen</w:t>
      </w:r>
    </w:p>
    <w:p w14:paraId="1922BDA5" w14:textId="77777777" w:rsidR="00DD5A28" w:rsidRDefault="00DD5A28" w:rsidP="00DD5A28">
      <w:pPr>
        <w:pStyle w:val="StandardWeb"/>
      </w:pPr>
      <w:r>
        <w:t>Im funktionalen Bezugssystem werden Energie und Impuls nicht als ontologisch festgelegte Erhaltungsgrößen eingeführt, sondern als abgeleitete Systemgrößen, die aus der spezifischen Veränderung des Raum-Zeit-Feldes entstehen. So wird Energie im FRZK als Maß für die Rate der strukturellen Feldmodifikation und Impuls als gerichtete Strukturverschiebung im metrisch organisierten Raum interpretiert [31]. Diese Begriffe ergeben sich aus der Analyse systemischer Bewegungsrelationen innerhalb eines dynamischen Feldhintergrunds.</w:t>
      </w:r>
    </w:p>
    <w:p w14:paraId="64D22BFF" w14:textId="77777777" w:rsidR="00DD5A28" w:rsidRDefault="00DD5A28" w:rsidP="00DD5A28">
      <w:pPr>
        <w:pStyle w:val="berschrift4"/>
      </w:pPr>
      <w:r>
        <w:rPr>
          <w:rStyle w:val="Fett"/>
          <w:b w:val="0"/>
          <w:bCs w:val="0"/>
        </w:rPr>
        <w:t>4.4.4 Vergleich mit Feld- und Quantentheorien</w:t>
      </w:r>
    </w:p>
    <w:p w14:paraId="6DEEB34B" w14:textId="77777777" w:rsidR="00DD5A28" w:rsidRDefault="00DD5A28" w:rsidP="00DD5A28">
      <w:pPr>
        <w:pStyle w:val="StandardWeb"/>
      </w:pPr>
      <w:r>
        <w:t>Diese Sichtweise steht in enger Beziehung zu modernen physikalischen Theorien: In der Feldtheorie werden Teilchen als lokale Anregungen eines zugrunde liegenden Feldes interpretiert – also nicht als Substanzen, sondern als strukturelle Muster [32]. In der Quantenfeldtheorie verschärft sich dieser Gedanke, da alle beobachtbaren Größen aus Operatoren über Zustandsfunktionen konstruiert werden. Das FRZK schließt daran an, indem es zeigt, dass selbst Kausalität und Energie nicht substanzbasiert, sondern funktional rekonstruierbar sind [33].</w:t>
      </w:r>
    </w:p>
    <w:p w14:paraId="79614665" w14:textId="77777777" w:rsidR="00DD5A28" w:rsidRDefault="00DD5A28" w:rsidP="00DD5A28">
      <w:pPr>
        <w:pStyle w:val="berschrift4"/>
      </w:pPr>
      <w:r>
        <w:rPr>
          <w:rStyle w:val="Fett"/>
          <w:b w:val="0"/>
          <w:bCs w:val="0"/>
        </w:rPr>
        <w:t>4.4.5 Kausalstruktur als modellinterner Effekt</w:t>
      </w:r>
    </w:p>
    <w:p w14:paraId="199E4A5A" w14:textId="4AF856A2" w:rsidR="00DD5A28" w:rsidRPr="00CC0275" w:rsidRDefault="00DD5A28" w:rsidP="00723F92">
      <w:pPr>
        <w:pStyle w:val="StandardWeb"/>
      </w:pPr>
      <w:r>
        <w:t>Die Vorhersage des FRZK besteht darin, dass Kausalstruktur nicht global gegeben, sondern innerhalb des Modells erzeugt wird. Es handelt sich um einen systeminternen Effekt: Erst durch funktionale Zuweisungen im Raum-Zeit-Feld – insbesondere über die Differenzierung von Vorher/Nachher und die Konstanz strukturierter Übergänge – entstehen stabile Kausalpfade. Diese sind nicht universal, sondern situations- und feldabhängig, was insbesondere für nichtlineare, adaptive oder interaktive Systeme von Bedeutung ist [34].</w:t>
      </w:r>
    </w:p>
    <w:p w14:paraId="72E86C47" w14:textId="77777777" w:rsidR="00121132" w:rsidRDefault="00F00AA2" w:rsidP="00121132">
      <w:r>
        <w:pict w14:anchorId="72AA531D">
          <v:rect id="_x0000_i1034" style="width:0;height:1.5pt" o:hralign="center" o:hrstd="t" o:hr="t" fillcolor="#a0a0a0" stroked="f"/>
        </w:pict>
      </w:r>
    </w:p>
    <w:p w14:paraId="598EDF65" w14:textId="77777777" w:rsidR="00121132" w:rsidRDefault="00121132" w:rsidP="00121132">
      <w:pPr>
        <w:pStyle w:val="berschrift1"/>
      </w:pPr>
      <w:r>
        <w:t>4.5 Dynamische und anpassungsfähige Bedeutungsfelder</w:t>
      </w:r>
    </w:p>
    <w:p w14:paraId="1FE41484" w14:textId="03C798A7" w:rsidR="00A972C1" w:rsidRDefault="00723F92" w:rsidP="00A972C1">
      <w:pPr>
        <w:rPr>
          <w:rStyle w:val="Fett"/>
          <w:b w:val="0"/>
          <w:bCs w:val="0"/>
        </w:rPr>
      </w:pPr>
      <w:bookmarkStart w:id="5" w:name="_9d2zvyka6uj6" w:colFirst="0" w:colLast="0"/>
      <w:bookmarkEnd w:id="5"/>
      <w:r>
        <w:t>Das FRZK prognostiziert, dass Bedeutung nicht als statisches, ortsunabhängiges Attribut von Zeichen verstanden werden kann, sondern als dynamisches Feld, das durch funktionale Zuweisungen innerhalb eines operativ geschlossenen Systems erzeugt und verändert wird. Bedeutungen entstehen aus relationalen Differenzierungen, stabilisieren sich temporär durch Attraktoren in semantischen Feldern und sind kontinuierlich modifizierbar durch Kontext, Diskurs und Metaprozesse. Die Vorhersage besteht darin, dass solche Bedeutungsfelder nicht extern hinzugefügt, sondern systemintern konstruiert werden und strukturellen Regeln folgen, die ihre Entstehung, Stabilisierung und Transformation formal beschreibbar machen. Bedeutung wird im FRZK damit zur modellierbaren, dynamischen Systemgröße.</w:t>
      </w:r>
    </w:p>
    <w:p w14:paraId="0657B5E6" w14:textId="72B8355D" w:rsidR="00DD5A28" w:rsidRDefault="00DD5A28" w:rsidP="00DD5A28">
      <w:pPr>
        <w:pStyle w:val="berschrift4"/>
      </w:pPr>
      <w:r>
        <w:rPr>
          <w:rStyle w:val="Fett"/>
          <w:b w:val="0"/>
          <w:bCs w:val="0"/>
        </w:rPr>
        <w:t>4.5.1 Bedeutung als Systemleistung</w:t>
      </w:r>
    </w:p>
    <w:p w14:paraId="6DE9F6AB" w14:textId="77777777" w:rsidR="00DD5A28" w:rsidRDefault="00DD5A28" w:rsidP="00DD5A28">
      <w:pPr>
        <w:pStyle w:val="StandardWeb"/>
      </w:pPr>
      <w:r>
        <w:t>Das FRZK betrachtet Bedeutung nicht als gegebene oder fixierte Eigenschaft sprachlicher Zeichen, sondern als emergente Systemleistung, die durch funktionale Zuweisung innerhalb eines semantischen Raums erzeugt wird. Bedeutungen entstehen aus relationalen Differenzen, die innerhalb eines dynamischen Feldes koordiniert und stabilisiert werden. Sie sind das Resultat strukturierter Verknüpfungen zwischen Operatoren, Kontexten und systeminternen Funktionszuständen [35].</w:t>
      </w:r>
    </w:p>
    <w:p w14:paraId="43A8EE37" w14:textId="77777777" w:rsidR="00DD5A28" w:rsidRDefault="00DD5A28" w:rsidP="00DD5A28">
      <w:pPr>
        <w:pStyle w:val="berschrift4"/>
      </w:pPr>
      <w:r>
        <w:rPr>
          <w:rStyle w:val="Fett"/>
          <w:b w:val="0"/>
          <w:bCs w:val="0"/>
        </w:rPr>
        <w:t>4.5.2 Semantische Felder als dynamische Strukturen</w:t>
      </w:r>
    </w:p>
    <w:p w14:paraId="42C783A1" w14:textId="77777777" w:rsidR="00DD5A28" w:rsidRDefault="00DD5A28" w:rsidP="00DD5A28">
      <w:pPr>
        <w:pStyle w:val="StandardWeb"/>
      </w:pPr>
      <w:r>
        <w:t>Bedeutungsfelder werden im FRZK als semantische Attraktorlandschaften modelliert. Diese Felder bestehen aus lokalisierten Bedeutungszentren („Attraktoren“) und fließenden Übergängen, deren Struktur durch systeminterne Interaktionen bestimmt wird. Die Dynamik ergibt sich aus der Veränderung dieser semantischen Konfigurationen über Zeit – etwa durch Diskurse, Interpretationsverschiebungen oder Kontextveränderungen. Mathematisch lässt sich dies durch Differentialgleichungen oder Potentialfunktionen beschreiben, wie sie auch in kognitiven Semantikmodellen Anwendung finden [36].</w:t>
      </w:r>
    </w:p>
    <w:p w14:paraId="7B11948C" w14:textId="77777777" w:rsidR="00DD5A28" w:rsidRDefault="00DD5A28" w:rsidP="00DD5A28">
      <w:pPr>
        <w:pStyle w:val="berschrift4"/>
      </w:pPr>
      <w:r>
        <w:rPr>
          <w:rStyle w:val="Fett"/>
          <w:b w:val="0"/>
          <w:bCs w:val="0"/>
        </w:rPr>
        <w:t>4.5.3 Modifizierbarkeit durch Operatorwirkung</w:t>
      </w:r>
    </w:p>
    <w:p w14:paraId="6C7CAFA0" w14:textId="77777777" w:rsidR="00DD5A28" w:rsidRDefault="00DD5A28" w:rsidP="00DD5A28">
      <w:pPr>
        <w:pStyle w:val="StandardWeb"/>
      </w:pPr>
      <w:r>
        <w:t>Im funktionalen Rahmen sind Bedeutungsfelder nicht starr, sondern durch gezielte Operatorwirkung modifizierbar. Diskursive Prozesse (z. B. Umdeutungen, Neubesetzungen, Metaphern) wirken wie semantische Transformationen, die bestehende Felder verschieben, dezentrieren oder umstrukturieren können. Diese Prozesse lassen sich als Anwendung höherstufiger Operatoren auf bestehende semantische Relationen beschreiben – eine Art semantischer Morphogenese [37].</w:t>
      </w:r>
    </w:p>
    <w:p w14:paraId="066A7534" w14:textId="77777777" w:rsidR="00DD5A28" w:rsidRDefault="00DD5A28" w:rsidP="00DD5A28">
      <w:pPr>
        <w:pStyle w:val="berschrift4"/>
      </w:pPr>
      <w:r>
        <w:rPr>
          <w:rStyle w:val="Fett"/>
          <w:b w:val="0"/>
          <w:bCs w:val="0"/>
        </w:rPr>
        <w:t>4.5.4 Interdisziplinäre Anschlussfähigkeit</w:t>
      </w:r>
    </w:p>
    <w:p w14:paraId="3D1F0AE8" w14:textId="77777777" w:rsidR="00DD5A28" w:rsidRDefault="00DD5A28" w:rsidP="00DD5A28">
      <w:pPr>
        <w:pStyle w:val="StandardWeb"/>
      </w:pPr>
      <w:r>
        <w:t>Das Modell ist anschlussfähig an mehrere disziplinäre Diskurse: In der Kognitionswissenschaft werden Bedeutungskonstruktionen zunehmend als dynamische Netzwerke verstanden, in der Linguistik existieren Konzepte wie Frame-Semantik oder semantische Prototypenmodelle, und in der Diskurs- und Kulturtheorie werden Bedeutung als Ergebnis performativer und medialer Praktiken begriffen. Das FRZK integriert diese Perspektiven zu einem funktional generativen Modell: Bedeutung ist hier ein offenes, rekonfigurierbares Feld, dessen Struktur als Funktion seiner operativen Erzeugung verstanden wird [38][39].</w:t>
      </w:r>
    </w:p>
    <w:p w14:paraId="6AF236E7" w14:textId="77777777" w:rsidR="00DD5A28" w:rsidRDefault="00DD5A28" w:rsidP="00DD5A28">
      <w:pPr>
        <w:pStyle w:val="berschrift4"/>
      </w:pPr>
      <w:r>
        <w:rPr>
          <w:rStyle w:val="Fett"/>
          <w:b w:val="0"/>
          <w:bCs w:val="0"/>
        </w:rPr>
        <w:t>4.5.5 Beweisbarkeit im funktionalen Rahmen</w:t>
      </w:r>
    </w:p>
    <w:p w14:paraId="693126D7" w14:textId="77777777" w:rsidR="00DD5A28" w:rsidRDefault="00DD5A28" w:rsidP="00DD5A28">
      <w:pPr>
        <w:pStyle w:val="StandardWeb"/>
      </w:pPr>
      <w:r>
        <w:t>Die „Beweisbarkeit“ der dynamischen Struktur von Bedeutungsfeldern liegt im FRZK nicht in empirischer Messbarkeit, sondern in der modellinternen Kohärenz: Wenn Bedeutung aus funktionaler Zuweisung hervorgeht, muss ein Modell, das diese Zuweisung vollständig beschreibt, auch die Möglichkeit zur Bedeutungsdynamik enthalten. Die Funktionalisierung von Bedeutung im Modell ist also zugleich eine Strukturvorhersage: Bedeutungen sind nur dann stabil, wenn sie im Feldsystem durch Attraktoren fixiert und durch Systemprozesse aufrechterhalten werden – andernfalls sind sie prinzipiell veränderlich [40].</w:t>
      </w:r>
    </w:p>
    <w:p w14:paraId="423EB278" w14:textId="77777777" w:rsidR="0050473A" w:rsidRDefault="0050473A" w:rsidP="0050473A">
      <w:r>
        <w:sym w:font="Wingdings" w:char="F0DF"/>
      </w:r>
    </w:p>
    <w:p w14:paraId="02868BD7" w14:textId="77777777" w:rsidR="00DD5A28" w:rsidRPr="00CC0275" w:rsidRDefault="00DD5A28" w:rsidP="00121132">
      <w:pPr>
        <w:rPr>
          <w:lang w:eastAsia="de-DE"/>
        </w:rPr>
      </w:pPr>
    </w:p>
    <w:p w14:paraId="040159E6" w14:textId="77777777" w:rsidR="00121132" w:rsidRDefault="00F00AA2" w:rsidP="00121132">
      <w:r>
        <w:pict w14:anchorId="0B437D6B">
          <v:rect id="_x0000_i1035" style="width:0;height:1.5pt" o:hralign="center" o:hrstd="t" o:hr="t" fillcolor="#a0a0a0" stroked="f"/>
        </w:pict>
      </w:r>
    </w:p>
    <w:p w14:paraId="42E2770A" w14:textId="77777777" w:rsidR="00121132" w:rsidRDefault="00121132" w:rsidP="00121132">
      <w:pPr>
        <w:pStyle w:val="berschrift1"/>
      </w:pPr>
      <w:r>
        <w:t>4.6 Transformierbarkeit symbolischer Ordnungen durch Reflexion</w:t>
      </w:r>
    </w:p>
    <w:p w14:paraId="51BDEC9C" w14:textId="77777777" w:rsidR="00121132" w:rsidRPr="00121132" w:rsidRDefault="00121132" w:rsidP="00121132">
      <w:pPr>
        <w:rPr>
          <w:lang w:eastAsia="de-DE"/>
        </w:rPr>
      </w:pPr>
      <w:r>
        <w:t>Das FRZK prognostiziert, dass symbolische Ordnungen – also kulturell stabilisierte Systeme von Bedeutungen, Regeln und Kategorien – nicht unveränderlich sind, sondern durch reflexive Operationen transformiert werden können. Diese Transformation erfolgt durch spezifische kognitive und soziale Prozesse wie Reflexion, Diskurs und Metakognition, die innerhalb des funktionalen Raums als Operatoren modelliert sind [75][76][77].</w:t>
      </w:r>
    </w:p>
    <w:p w14:paraId="7E2AEEDD" w14:textId="77777777" w:rsidR="00121132" w:rsidRPr="00121132" w:rsidRDefault="00121132" w:rsidP="00121132">
      <w:pPr>
        <w:rPr>
          <w:lang w:eastAsia="de-DE"/>
        </w:rPr>
      </w:pPr>
      <w:r w:rsidRPr="00121132">
        <w:rPr>
          <w:lang w:eastAsia="de-DE"/>
        </w:rPr>
        <w:t xml:space="preserve">Symbolische Ordnung meint hier die strukturierte Verknüpfung von Zeichen, Bedeutungen und normativen Geltungsansprüchen innerhalb eines Systems – etwa in Sprache, Wissenschaft, Recht oder Technik. Das FRZK macht deutlich, dass diese Ordnungen weder naturgegeben noch statisch sind, sondern durch </w:t>
      </w:r>
      <w:proofErr w:type="spellStart"/>
      <w:r w:rsidRPr="00121132">
        <w:rPr>
          <w:b/>
          <w:bCs/>
          <w:lang w:eastAsia="de-DE"/>
        </w:rPr>
        <w:t>rekonfigurierbare</w:t>
      </w:r>
      <w:proofErr w:type="spellEnd"/>
      <w:r w:rsidRPr="00121132">
        <w:rPr>
          <w:b/>
          <w:bCs/>
          <w:lang w:eastAsia="de-DE"/>
        </w:rPr>
        <w:t xml:space="preserve"> semantische Felder</w:t>
      </w:r>
      <w:r w:rsidRPr="00121132">
        <w:rPr>
          <w:lang w:eastAsia="de-DE"/>
        </w:rPr>
        <w:t xml:space="preserve"> gebildet und verändert werden können. Die Fähigkeit eines Systems, über seine eigene Struktur nachzudenken, ist dabei nicht </w:t>
      </w:r>
      <w:proofErr w:type="spellStart"/>
      <w:r w:rsidRPr="00121132">
        <w:rPr>
          <w:lang w:eastAsia="de-DE"/>
        </w:rPr>
        <w:t>epiphänomenal</w:t>
      </w:r>
      <w:proofErr w:type="spellEnd"/>
      <w:r w:rsidRPr="00121132">
        <w:rPr>
          <w:lang w:eastAsia="de-DE"/>
        </w:rPr>
        <w:t>, sondern modelltheoretisch explizit fassbar: Reflexion und Diskurs erscheinen als Operatoren höherer Ordnung, die bestehende Zuweisungen modifizieren, invertieren oder neu konfigurieren.</w:t>
      </w:r>
    </w:p>
    <w:p w14:paraId="501A9E74" w14:textId="77777777" w:rsidR="00121132" w:rsidRPr="00121132" w:rsidRDefault="00121132" w:rsidP="00121132">
      <w:pPr>
        <w:rPr>
          <w:lang w:eastAsia="de-DE"/>
        </w:rPr>
      </w:pPr>
      <w:r w:rsidRPr="00121132">
        <w:rPr>
          <w:lang w:eastAsia="de-DE"/>
        </w:rPr>
        <w:t xml:space="preserve">In Kapitel 3.15 wurde gezeigt, dass diese Prozesse als </w:t>
      </w:r>
      <w:r w:rsidRPr="00121132">
        <w:rPr>
          <w:b/>
          <w:bCs/>
          <w:lang w:eastAsia="de-DE"/>
        </w:rPr>
        <w:t>funktionale Meta-Operatoren</w:t>
      </w:r>
      <w:r w:rsidRPr="00121132">
        <w:rPr>
          <w:lang w:eastAsia="de-DE"/>
        </w:rPr>
        <w:t xml:space="preserve"> darstellbar sind, die sich auf andere Funktionen im System beziehen können – etwa durch Wiederholungs-, Bewertungs- oder </w:t>
      </w:r>
      <w:proofErr w:type="spellStart"/>
      <w:r w:rsidRPr="00121132">
        <w:rPr>
          <w:lang w:eastAsia="de-DE"/>
        </w:rPr>
        <w:t>Reinterpretationsmechanismen</w:t>
      </w:r>
      <w:proofErr w:type="spellEnd"/>
      <w:r w:rsidRPr="00121132">
        <w:rPr>
          <w:lang w:eastAsia="de-DE"/>
        </w:rPr>
        <w:t xml:space="preserve">. Reflexion ist damit nicht nur ein psychologischer oder philosophischer Begriff, sondern ein </w:t>
      </w:r>
      <w:r w:rsidRPr="00121132">
        <w:rPr>
          <w:b/>
          <w:bCs/>
          <w:lang w:eastAsia="de-DE"/>
        </w:rPr>
        <w:t>systemischer Operator</w:t>
      </w:r>
      <w:r w:rsidRPr="00121132">
        <w:rPr>
          <w:lang w:eastAsia="de-DE"/>
        </w:rPr>
        <w:t>, der semantische Stabilität unterbrechen und Neuzuweisungen initiieren kann.</w:t>
      </w:r>
    </w:p>
    <w:p w14:paraId="283D9FE2" w14:textId="77777777" w:rsidR="00121132" w:rsidRPr="00121132" w:rsidRDefault="00121132" w:rsidP="00121132">
      <w:pPr>
        <w:rPr>
          <w:lang w:eastAsia="de-DE"/>
        </w:rPr>
      </w:pPr>
      <w:r w:rsidRPr="00121132">
        <w:rPr>
          <w:lang w:eastAsia="de-DE"/>
        </w:rPr>
        <w:t>Die „Beweisbarkeit“ dieser Vorhersage liegt in der internen Konsistenz des Modells: Sobald eine funktionale Meta-Struktur gegeben ist, wird die Möglichkeit rekursiver Selbstanwendung logisch notwendig. Zudem lassen sich zahlreiche Phänomene empirisch als Resultate reflexiver Umstrukturierung beschreiben – etwa Paradigmenwechsel in der Wissenschaft, semantische Verschiebungen in politischen Diskursen oder mentale Reframing-Prozesse in der Kognitionspsychologie. Diese Prozesse sind nicht zufällig, sondern folgen der Logik reflexiver Operatorwirkung auf symbolische Ordnungen.</w:t>
      </w:r>
    </w:p>
    <w:p w14:paraId="5F2B6F7A" w14:textId="6173DCFC" w:rsidR="00121132" w:rsidRDefault="00121132" w:rsidP="00121132">
      <w:pPr>
        <w:rPr>
          <w:lang w:eastAsia="de-DE"/>
        </w:rPr>
      </w:pPr>
      <w:r w:rsidRPr="00121132">
        <w:rPr>
          <w:lang w:eastAsia="de-DE"/>
        </w:rPr>
        <w:t xml:space="preserve">Durch die Integration dieser Prozesse in das FRZK wird deutlich, dass Bedeutung kein abgeschlossenes System bildet, sondern durch reflexive Rekonfiguration strukturell </w:t>
      </w:r>
      <w:proofErr w:type="gramStart"/>
      <w:r w:rsidRPr="00121132">
        <w:rPr>
          <w:lang w:eastAsia="de-DE"/>
        </w:rPr>
        <w:t>offen bleibt</w:t>
      </w:r>
      <w:proofErr w:type="gramEnd"/>
      <w:r w:rsidRPr="00121132">
        <w:rPr>
          <w:lang w:eastAsia="de-DE"/>
        </w:rPr>
        <w:t xml:space="preserve">. Die symbolische Ordnung eines Systems ist damit nicht nur funktional erzeugt, sondern auch </w:t>
      </w:r>
      <w:r w:rsidRPr="00121132">
        <w:rPr>
          <w:b/>
          <w:bCs/>
          <w:lang w:eastAsia="de-DE"/>
        </w:rPr>
        <w:t>transformativ zugänglich</w:t>
      </w:r>
      <w:r w:rsidRPr="00121132">
        <w:rPr>
          <w:lang w:eastAsia="de-DE"/>
        </w:rPr>
        <w:t xml:space="preserve"> – ein zentrales Merkmal dynamischer, lernfähiger und adaptiver Systeme.</w:t>
      </w:r>
    </w:p>
    <w:p w14:paraId="34F18B09" w14:textId="78CD7C48" w:rsidR="00D30F48" w:rsidRDefault="00D30F48" w:rsidP="00121132">
      <w:pPr>
        <w:rPr>
          <w:lang w:eastAsia="de-DE"/>
        </w:rPr>
      </w:pPr>
      <w:r>
        <w:rPr>
          <w:lang w:eastAsia="de-DE"/>
        </w:rPr>
        <w:sym w:font="Wingdings" w:char="F0E0"/>
      </w:r>
    </w:p>
    <w:p w14:paraId="79C3DA76" w14:textId="77777777" w:rsidR="00D30F48" w:rsidRDefault="00D30F48" w:rsidP="00D30F48">
      <w:pPr>
        <w:pStyle w:val="berschrift3"/>
        <w:rPr>
          <w:sz w:val="27"/>
          <w:szCs w:val="27"/>
          <w:lang w:eastAsia="de-DE"/>
        </w:rPr>
      </w:pPr>
      <w:r>
        <w:rPr>
          <w:rStyle w:val="Fett"/>
          <w:b/>
          <w:bCs w:val="0"/>
        </w:rPr>
        <w:t>4.6 Transformierbarkeit symbolischer Ordnungen durch Reflexion</w:t>
      </w:r>
    </w:p>
    <w:p w14:paraId="69A0E03E" w14:textId="77777777" w:rsidR="00D30F48" w:rsidRDefault="00D30F48" w:rsidP="00D30F48">
      <w:pPr>
        <w:pStyle w:val="berschrift4"/>
      </w:pPr>
      <w:r>
        <w:rPr>
          <w:rStyle w:val="Fett"/>
          <w:b w:val="0"/>
          <w:bCs w:val="0"/>
        </w:rPr>
        <w:t>4.6.1 Symbolische Ordnung als strukturierende Semantik</w:t>
      </w:r>
    </w:p>
    <w:p w14:paraId="5BC7A2A2" w14:textId="77777777" w:rsidR="00D30F48" w:rsidRDefault="00D30F48" w:rsidP="00D30F48">
      <w:pPr>
        <w:pStyle w:val="StandardWeb"/>
      </w:pPr>
      <w:r>
        <w:t>Symbolische Ordnungen bezeichnen im Kontext des FRZK regulierte, kollektiv stabilisierte Bedeutungsräume. Sie umfassen Kategorien, Konzepte, Diskurse und semantische Differenzsysteme, die durch gesellschaftliche, kognitive oder technologische Praktiken institutionalisiert sind. Solche Ordnungen wirken als strukturierende Semantik, die Wahrnehmung, Handlung und Interpretation prägt – von Sprache bis Wissenschaft, von Normen bis Identitäten [41].</w:t>
      </w:r>
    </w:p>
    <w:p w14:paraId="14B70136" w14:textId="77777777" w:rsidR="00D30F48" w:rsidRDefault="00D30F48" w:rsidP="00D30F48">
      <w:pPr>
        <w:pStyle w:val="berschrift4"/>
      </w:pPr>
      <w:r>
        <w:rPr>
          <w:rStyle w:val="Fett"/>
          <w:b w:val="0"/>
          <w:bCs w:val="0"/>
        </w:rPr>
        <w:t>4.6.2 Reflexion als systemische Meta-Operation</w:t>
      </w:r>
    </w:p>
    <w:p w14:paraId="4BB63EB9" w14:textId="77777777" w:rsidR="00D30F48" w:rsidRDefault="00D30F48" w:rsidP="00D30F48">
      <w:pPr>
        <w:pStyle w:val="StandardWeb"/>
      </w:pPr>
      <w:r>
        <w:t>Das FRZK modelliert Reflexion nicht als kontemplativen Akt eines Subjekts, sondern als funktionale Meta-Operation innerhalb des Systems selbst. Reflexion ist die Fähigkeit eines Systems, auf eigene Operationen Bezug zu nehmen, sie zu beobachten, zu variieren und zu rekonfigurieren. Formal betrachtet wirkt Reflexion als Operator zweiter oder höherer Ordnung, der auf semantische Felder, Differenzen oder Geltungsstrukturen angewendet werden kann [3]. Dadurch wird nicht nur bestehende Bedeutung analysiert, sondern potenziell transformiert.</w:t>
      </w:r>
    </w:p>
    <w:p w14:paraId="29910B56" w14:textId="77777777" w:rsidR="00D30F48" w:rsidRDefault="00D30F48" w:rsidP="00D30F48">
      <w:pPr>
        <w:pStyle w:val="berschrift4"/>
      </w:pPr>
      <w:r>
        <w:rPr>
          <w:rStyle w:val="Fett"/>
          <w:b w:val="0"/>
          <w:bCs w:val="0"/>
        </w:rPr>
        <w:t>4.6.3 Diskurs und Metakognition als Transformationsmechanismen</w:t>
      </w:r>
    </w:p>
    <w:p w14:paraId="3C6CAAB3" w14:textId="77777777" w:rsidR="00D30F48" w:rsidRDefault="00D30F48" w:rsidP="00D30F48">
      <w:pPr>
        <w:pStyle w:val="StandardWeb"/>
      </w:pPr>
      <w:r>
        <w:t>Diskurs und Metakognition erscheinen im FRZK als spezialisierte Operatoren, durch die symbolische Ordnungen verändert werden. Diskurse strukturieren kollektive Bedeutungsproduktion, indem sie Anschlussmöglichkeiten eröffnen oder ausschließen. Metakognitive Prozesse bewerten, überwachen oder modifizieren kognitive Operationen innerhalb eines Systems. Beide Mechanismen agieren als Regelsysteme zweiter Ordnung, die die Geltung bestehender symbolischer Konfigurationen infrage stellen oder neu rahmen [43].</w:t>
      </w:r>
    </w:p>
    <w:p w14:paraId="2FDD614E" w14:textId="77777777" w:rsidR="00D30F48" w:rsidRDefault="00D30F48" w:rsidP="00D30F48">
      <w:pPr>
        <w:pStyle w:val="berschrift4"/>
      </w:pPr>
      <w:r>
        <w:rPr>
          <w:rStyle w:val="Fett"/>
          <w:b w:val="0"/>
          <w:bCs w:val="0"/>
        </w:rPr>
        <w:t>4.6.4 Transformationslogik im funktionalen Modell</w:t>
      </w:r>
    </w:p>
    <w:p w14:paraId="5AEAC3BA" w14:textId="77777777" w:rsidR="00D30F48" w:rsidRDefault="00D30F48" w:rsidP="00D30F48">
      <w:pPr>
        <w:pStyle w:val="StandardWeb"/>
      </w:pPr>
      <w:r>
        <w:t>Die Transformierbarkeit symbolischer Ordnungen ergibt sich im FRZK aus ihrer Modellierung als offene, dynamische Felder, die durch operatorische Zuweisung erzeugt und reguliert werden. Reflexive Operatoren wirken auf die Parameter dieser Felder ein und ermöglichen strukturelle Umkodierungen – z. B. die Reinterpretation eines Begriffs, die Verschiebung normativer Geltung oder die Inversion von Diskurspolaritäten. Diese Prozesse sind nicht beliebig, sondern folgen einer logischen Struktur von Differenz, Bewertung und Rekontextualisierung, die im Modell nachvollziehbar formalisiert ist [44].</w:t>
      </w:r>
    </w:p>
    <w:p w14:paraId="7B63A0F7" w14:textId="77777777" w:rsidR="00D30F48" w:rsidRDefault="00D30F48" w:rsidP="00D30F48">
      <w:pPr>
        <w:pStyle w:val="berschrift4"/>
      </w:pPr>
      <w:r>
        <w:rPr>
          <w:rStyle w:val="Fett"/>
          <w:b w:val="0"/>
          <w:bCs w:val="0"/>
        </w:rPr>
        <w:t>4.6.5 Beispielhafte Anwendungsbereiche</w:t>
      </w:r>
    </w:p>
    <w:p w14:paraId="3823213C" w14:textId="77777777" w:rsidR="00D30F48" w:rsidRDefault="00D30F48" w:rsidP="00D30F48">
      <w:pPr>
        <w:pStyle w:val="StandardWeb"/>
      </w:pPr>
      <w:r>
        <w:t>Diese Modellstruktur erlaubt es, reale Prozesse symbolischer Transformation systematisch zu rekonstruieren: etwa den Paradigmenwechsel in der Wissenschaft (Kuhn), die semantische Rekodierung politischer Begriffe (z. B. Freiheit, Sicherheit, Verantwortung), oder den Reframing-Prozess in individueller Kognition (z. B. in Therapie oder Bildung). Das FRZK liefert damit ein formales Rahmenwerk zur Analyse und Prognose symbolischer Re-Konfiguration – nicht normativ, sondern strukturell begründet [45].</w:t>
      </w:r>
    </w:p>
    <w:p w14:paraId="7A518E6A" w14:textId="77777777" w:rsidR="0050473A" w:rsidRDefault="0050473A" w:rsidP="0050473A">
      <w:r>
        <w:sym w:font="Wingdings" w:char="F0DF"/>
      </w:r>
    </w:p>
    <w:p w14:paraId="0F275847" w14:textId="77777777" w:rsidR="00121132" w:rsidRDefault="00F00AA2" w:rsidP="00121132">
      <w:r>
        <w:pict w14:anchorId="372F2B58">
          <v:rect id="_x0000_i1036" style="width:0;height:1.5pt" o:hralign="center" o:hrstd="t" o:hr="t" fillcolor="#a0a0a0" stroked="f"/>
        </w:pict>
      </w:r>
    </w:p>
    <w:p w14:paraId="7372636C" w14:textId="77777777" w:rsidR="00121132" w:rsidRDefault="00121132" w:rsidP="00121132">
      <w:pPr>
        <w:pStyle w:val="berschrift1"/>
      </w:pPr>
      <w:r>
        <w:t>4.7 Ko-evolutionäre Natur von semantischer und kultureller Entwicklung</w:t>
      </w:r>
    </w:p>
    <w:p w14:paraId="065D18F4" w14:textId="77777777" w:rsidR="00121132" w:rsidRDefault="00121132" w:rsidP="00121132">
      <w:pPr>
        <w:pStyle w:val="StandardWeb"/>
      </w:pPr>
      <w:r>
        <w:t>Das FRZK prognostiziert, dass semantische und kulturelle Evolution nicht linear-kausal, sondern als emergenter, ko-evolutionärer Prozess verläuft, der durch systemische Rückkopplung, Pfadabhängigkeit und strukturelle Kopplung charakterisiert ist [80][81]. Bedeutungskonstruktion und kulturelle Muster entstehen dabei nicht isoliert, sondern in dynamischer Wechselwirkung – sowohl zwischen Akteuren und Kontexten als auch zwischen Bedeutungsräumen und Systemzuständen.</w:t>
      </w:r>
    </w:p>
    <w:p w14:paraId="3C92FFB7" w14:textId="77777777" w:rsidR="00121132" w:rsidRDefault="00121132" w:rsidP="00121132">
      <w:pPr>
        <w:pStyle w:val="StandardWeb"/>
      </w:pPr>
      <w:r>
        <w:t>Diese Einsicht stützt sich auf die formale Modellierung in Kapitel 3.16, wo semantische Entwicklung als Resultat rekursiver Bedeutungszuweisungen und strukturabhängiger Diskursverläufe dargestellt wird. In dieser Perspektive sind semantische Felder keine stabilen Bedeutungsträger, sondern metastabile Konfigurationen, die durch Interaktion, Interpretation und Kontextualisierung ständig reorganisiert werden. Kultur wird nicht als stabiler Kanon verstanden, sondern als emergentes Feld kollektiver Bedeutungspraktiken, das auf struktureller Ebene durch funktionale Operatoren beschrieben werden kann.</w:t>
      </w:r>
    </w:p>
    <w:p w14:paraId="6E68D65C" w14:textId="77777777" w:rsidR="00121132" w:rsidRDefault="00121132" w:rsidP="00121132">
      <w:pPr>
        <w:pStyle w:val="StandardWeb"/>
      </w:pPr>
      <w:r>
        <w:t>Die „Beweisbarkeit“ dieser Vorhersage liegt in der Anwendbarkeit komplexer Simulationsansätze, die das Zusammenspiel zwischen semantischer und kultureller Dynamik abbilden können. Dazu zählen insbesondere:</w:t>
      </w:r>
    </w:p>
    <w:p w14:paraId="46F4812E" w14:textId="77777777" w:rsidR="00121132" w:rsidRDefault="00121132" w:rsidP="00121132">
      <w:pPr>
        <w:pStyle w:val="StandardWeb"/>
        <w:numPr>
          <w:ilvl w:val="0"/>
          <w:numId w:val="2"/>
        </w:numPr>
      </w:pPr>
      <w:r>
        <w:rPr>
          <w:rStyle w:val="Fett"/>
          <w:rFonts w:eastAsia="Calibri"/>
        </w:rPr>
        <w:t>agentenbasierte Modelle</w:t>
      </w:r>
      <w:r>
        <w:t>, die zeigen, wie Mikroentscheidungen zu Makrophänomenen führen;</w:t>
      </w:r>
    </w:p>
    <w:p w14:paraId="2D0CA1FF" w14:textId="77777777" w:rsidR="00121132" w:rsidRDefault="00121132" w:rsidP="00121132">
      <w:pPr>
        <w:pStyle w:val="StandardWeb"/>
        <w:numPr>
          <w:ilvl w:val="0"/>
          <w:numId w:val="2"/>
        </w:numPr>
      </w:pPr>
      <w:r>
        <w:rPr>
          <w:rStyle w:val="Fett"/>
          <w:rFonts w:eastAsia="Calibri"/>
        </w:rPr>
        <w:t>netzwerktheoretische Ansätze</w:t>
      </w:r>
      <w:r>
        <w:t>, in denen Bedeutungscluster, Diskursräume oder narrative Strukturen emergieren;</w:t>
      </w:r>
    </w:p>
    <w:p w14:paraId="58AF76C5" w14:textId="77777777" w:rsidR="00121132" w:rsidRDefault="00121132" w:rsidP="00121132">
      <w:pPr>
        <w:pStyle w:val="StandardWeb"/>
        <w:numPr>
          <w:ilvl w:val="0"/>
          <w:numId w:val="2"/>
        </w:numPr>
      </w:pPr>
      <w:r>
        <w:rPr>
          <w:rStyle w:val="Fett"/>
          <w:rFonts w:eastAsia="Calibri"/>
        </w:rPr>
        <w:t>dynamische Systemmodelle</w:t>
      </w:r>
      <w:r>
        <w:t xml:space="preserve">, die Selbstorganisation, </w:t>
      </w:r>
      <w:proofErr w:type="spellStart"/>
      <w:r>
        <w:t>Attraktorbildung</w:t>
      </w:r>
      <w:proofErr w:type="spellEnd"/>
      <w:r>
        <w:t xml:space="preserve"> und metastabile Phasen kultureller Entwicklung simulieren.</w:t>
      </w:r>
    </w:p>
    <w:p w14:paraId="5E6C5A2D" w14:textId="77777777" w:rsidR="00121132" w:rsidRDefault="00121132" w:rsidP="00121132">
      <w:pPr>
        <w:pStyle w:val="StandardWeb"/>
      </w:pPr>
      <w:r>
        <w:t xml:space="preserve">Diese Modelle belegen, dass Ordnung nicht durch zentrale Planung, sondern durch lokale Interaktion und globale Rückkopplung entsteht – ein zentrales Prinzip </w:t>
      </w:r>
      <w:proofErr w:type="spellStart"/>
      <w:r>
        <w:t>ko</w:t>
      </w:r>
      <w:proofErr w:type="spellEnd"/>
      <w:r>
        <w:t>-evolutionärer Prozesse. Das FRZK integriert diese Dynamiken in seine Architektur, indem es semantische und kulturelle Entwicklung als funktional gekoppelte Prozesse auffasst: Während Bedeutungsfelder durch Operatoren erzeugt und verändert werden, wirken kulturelle Praktiken zurück auf diese semantischen Strukturen – etwa durch Selektion, Reproduktion oder narrative Transformation.</w:t>
      </w:r>
    </w:p>
    <w:p w14:paraId="7DCC5ECA" w14:textId="31E2D1ED" w:rsidR="00121132" w:rsidRDefault="00121132" w:rsidP="00121132">
      <w:pPr>
        <w:pStyle w:val="StandardWeb"/>
      </w:pPr>
      <w:r>
        <w:t xml:space="preserve">Diese Vorhersage erlaubt es, Phänomene wie Moden, Diskurse, ideologische Umbrüche oder kollektive Lernprozesse systematisch zu modellieren – nicht als zufällige Trends, sondern als </w:t>
      </w:r>
      <w:r>
        <w:rPr>
          <w:rStyle w:val="Fett"/>
          <w:rFonts w:eastAsia="Calibri"/>
        </w:rPr>
        <w:t>emergente Folge interaktiver Zuweisungssysteme</w:t>
      </w:r>
      <w:r>
        <w:t>. Damit stellt das FRZK ein theoretisches Instrument bereit, um die Dynamik kultureller Systeme nicht nur beschreibend, sondern generativ zu fassen: als funktionale Evolution, die Bedeutung und Struktur zugleich betrifft.</w:t>
      </w:r>
    </w:p>
    <w:p w14:paraId="659C48B0" w14:textId="5CDB7085" w:rsidR="00D30F48" w:rsidRDefault="00D30F48" w:rsidP="00121132">
      <w:pPr>
        <w:pStyle w:val="StandardWeb"/>
      </w:pPr>
      <w:r>
        <w:sym w:font="Wingdings" w:char="F0E0"/>
      </w:r>
    </w:p>
    <w:p w14:paraId="5EBD8064" w14:textId="77777777" w:rsidR="00D30F48" w:rsidRDefault="00D30F48" w:rsidP="00D30F48">
      <w:pPr>
        <w:pStyle w:val="berschrift3"/>
        <w:rPr>
          <w:sz w:val="27"/>
          <w:szCs w:val="27"/>
          <w:lang w:eastAsia="de-DE"/>
        </w:rPr>
      </w:pPr>
      <w:r>
        <w:rPr>
          <w:rStyle w:val="Fett"/>
          <w:b/>
          <w:bCs w:val="0"/>
        </w:rPr>
        <w:t>4.7 Ko-evolutionäre Natur von semantischer und kultureller Entwicklung</w:t>
      </w:r>
    </w:p>
    <w:p w14:paraId="26F35B57" w14:textId="77777777" w:rsidR="00D30F48" w:rsidRDefault="00D30F48" w:rsidP="00D30F48">
      <w:pPr>
        <w:pStyle w:val="berschrift4"/>
      </w:pPr>
      <w:r>
        <w:rPr>
          <w:rStyle w:val="Fett"/>
          <w:b w:val="0"/>
          <w:bCs w:val="0"/>
        </w:rPr>
        <w:t>4.7.1 Kulturelle Systeme als semantische Felder</w:t>
      </w:r>
    </w:p>
    <w:p w14:paraId="6103D85E" w14:textId="77777777" w:rsidR="00D30F48" w:rsidRDefault="00D30F48" w:rsidP="00D30F48">
      <w:pPr>
        <w:pStyle w:val="StandardWeb"/>
      </w:pPr>
      <w:r>
        <w:t>Im Rahmen des FRZK werden kulturelle Systeme als dynamische semantische Felder verstanden, die durch wiederkehrende symbolische Zuweisungen, narrative Muster und performative Praktiken erzeugt und stabilisiert werden. Kultur ist dabei nicht eine äußere Kontextgröße, sondern ein im System selbst entstehender Bedeutungsraum, der durch Akteur-Funktionen, Diskurse und semantische Attraktoren geformt wird. Sie wird als strukturierte emergente Ordnung aufgefasst, die sich in permanentem Wandel befindet [46].</w:t>
      </w:r>
    </w:p>
    <w:p w14:paraId="6B907E17" w14:textId="77777777" w:rsidR="00D30F48" w:rsidRDefault="00D30F48" w:rsidP="00D30F48">
      <w:pPr>
        <w:pStyle w:val="berschrift4"/>
      </w:pPr>
      <w:r>
        <w:rPr>
          <w:rStyle w:val="Fett"/>
          <w:b w:val="0"/>
          <w:bCs w:val="0"/>
        </w:rPr>
        <w:t>4.7.2 Ko-Evolution als wechselseitige Strukturmodifikation</w:t>
      </w:r>
    </w:p>
    <w:p w14:paraId="2142206F" w14:textId="77777777" w:rsidR="00D30F48" w:rsidRDefault="00D30F48" w:rsidP="00D30F48">
      <w:pPr>
        <w:pStyle w:val="StandardWeb"/>
      </w:pPr>
      <w:r>
        <w:t>Das FRZK prognostiziert, dass semantische Felder und kulturelle Strukturen in einem ko-evolutionären Verhältnis zueinander stehen. Das bedeutet: Semantische Zuweisungen beeinflussen kulturelle Muster, und umgekehrt wirken kulturelle Dynamiken auf Bedeutungsfelder zurück. Diese Wechselwirkungen vollziehen sich durch rekursive Operatorstrukturen, etwa durch sprachlich vermittelte Praxis, symbolische Re-Kodierung, oder technologische Artefakte. Ko-Evolution meint dabei gegenseitige strukturelle Modifikation ohne zentrale Steuerinstanz [19].</w:t>
      </w:r>
    </w:p>
    <w:p w14:paraId="00E30158" w14:textId="77777777" w:rsidR="00D30F48" w:rsidRDefault="00D30F48" w:rsidP="00D30F48">
      <w:pPr>
        <w:pStyle w:val="berschrift4"/>
      </w:pPr>
      <w:r>
        <w:rPr>
          <w:rStyle w:val="Fett"/>
          <w:b w:val="0"/>
          <w:bCs w:val="0"/>
        </w:rPr>
        <w:t>4.7.3 Modellierung durch funktionale Kopplung</w:t>
      </w:r>
    </w:p>
    <w:p w14:paraId="1FB7373B" w14:textId="77777777" w:rsidR="00D30F48" w:rsidRDefault="00D30F48" w:rsidP="00D30F48">
      <w:pPr>
        <w:pStyle w:val="StandardWeb"/>
      </w:pPr>
      <w:r>
        <w:t>Im Modell werden diese Prozesse durch funktionale Kopplung zwischen semantischen und kulturellen Operatoren beschrieben. Zwei Operatorräume (z. B. semantische Feldlogik und kulturelle Repräsentationspraxis) sind gekoppelt, wenn Veränderungen im einen System systematisch zu Veränderungen im anderen führen – etwa wenn ein kultureller Umbruch neue semantische Kategorien erzeugt oder neue Begriffe soziale Praktiken transformieren. Diese Kopplung ist nicht linear, sondern nichttrivial, dynamisch und rückgekoppelt [48].</w:t>
      </w:r>
    </w:p>
    <w:p w14:paraId="52CE96FE" w14:textId="77777777" w:rsidR="00D30F48" w:rsidRDefault="00D30F48" w:rsidP="00D30F48">
      <w:pPr>
        <w:pStyle w:val="berschrift4"/>
      </w:pPr>
      <w:r>
        <w:rPr>
          <w:rStyle w:val="Fett"/>
          <w:b w:val="0"/>
          <w:bCs w:val="0"/>
        </w:rPr>
        <w:t>4.7.4 Anschluss an interdisziplinäre Ko-Evolutionsmodelle</w:t>
      </w:r>
    </w:p>
    <w:p w14:paraId="5A837B55" w14:textId="77777777" w:rsidR="00D30F48" w:rsidRDefault="00D30F48" w:rsidP="00D30F48">
      <w:pPr>
        <w:pStyle w:val="StandardWeb"/>
      </w:pPr>
      <w:r>
        <w:t>Die Modellstruktur des FRZK verbindet sich mit Konzepten aus der Evolutionsökonomik, der Kognitionswissenschaft, der Technikfolgenabschätzung und der Kulturanthropologie. Dort wird Ko-Evolution verwendet, um wechselseitige Entwicklungsprozesse zwischen Technik, Gesellschaft, Wissen und Bedeutung zu beschreiben. Das FRZK formalisiert diese Wechselbeziehungen, indem es die Operatoren benennt, aus denen diese Verflechtungen emergieren. Es bietet damit ein universelles Raster zur Analyse kultureller Wandlungsdynamiken [49][50].</w:t>
      </w:r>
    </w:p>
    <w:p w14:paraId="011F4100" w14:textId="77777777" w:rsidR="00D30F48" w:rsidRDefault="00D30F48" w:rsidP="00D30F48">
      <w:pPr>
        <w:pStyle w:val="berschrift4"/>
      </w:pPr>
      <w:r>
        <w:rPr>
          <w:rStyle w:val="Fett"/>
          <w:b w:val="0"/>
          <w:bCs w:val="0"/>
        </w:rPr>
        <w:t>4.7.5 Bedeutung für Prognostik und Handlungsplanung</w:t>
      </w:r>
    </w:p>
    <w:p w14:paraId="270D5DAA" w14:textId="77777777" w:rsidR="00D30F48" w:rsidRDefault="00D30F48" w:rsidP="00D30F48">
      <w:pPr>
        <w:pStyle w:val="StandardWeb"/>
      </w:pPr>
      <w:r>
        <w:t>Die Vorhersage besteht darin, dass sich kulturelle und semantische Entwicklungen nicht unabhängig voneinander planen oder prognostizieren lassen. Jede Veränderung in einem Bereich erzeugt Rückwirkungen auf das andere Feld – mit nichtlinearen, oft verzögerten oder qualitativ emergenten Effekten. Für jede Form reflexiver Handlungsplanung (etwa in Bildung, Medien, Politik oder Technikentwicklung) bedeutet dies: semantische Interventionen haben kulturelle Folgen – und umgekehrt. Das FRZK erlaubt, diese Interdependenz zu modellieren und strukturell in Prognosemodelle einzubinden [51].</w:t>
      </w:r>
    </w:p>
    <w:p w14:paraId="25D17D22" w14:textId="77777777" w:rsidR="0050473A" w:rsidRDefault="0050473A" w:rsidP="0050473A">
      <w:r>
        <w:sym w:font="Wingdings" w:char="F0DF"/>
      </w:r>
    </w:p>
    <w:p w14:paraId="245D618C" w14:textId="77777777" w:rsidR="00121132" w:rsidRDefault="00F00AA2" w:rsidP="00121132">
      <w:r>
        <w:pict w14:anchorId="279E8EA9">
          <v:rect id="_x0000_i1037" style="width:0;height:1.5pt" o:hralign="center" o:hrstd="t" o:hr="t" fillcolor="#a0a0a0" stroked="f"/>
        </w:pict>
      </w:r>
    </w:p>
    <w:p w14:paraId="2D73FC92" w14:textId="77777777" w:rsidR="00121132" w:rsidRDefault="00121132" w:rsidP="00121132">
      <w:pPr>
        <w:pStyle w:val="berschrift2"/>
        <w:rPr>
          <w:rStyle w:val="Fett"/>
          <w:rFonts w:eastAsia="Calibri"/>
          <w:b/>
          <w:bCs w:val="0"/>
        </w:rPr>
      </w:pPr>
      <w:r>
        <w:rPr>
          <w:rStyle w:val="Fett"/>
          <w:rFonts w:eastAsia="Calibri"/>
          <w:b/>
        </w:rPr>
        <w:t>4.8</w:t>
      </w:r>
      <w:r w:rsidRPr="00B97E81">
        <w:rPr>
          <w:rStyle w:val="Fett"/>
          <w:rFonts w:eastAsia="Calibri"/>
          <w:b/>
        </w:rPr>
        <w:t xml:space="preserve"> Ethische Implikationen der Modellwahl</w:t>
      </w:r>
    </w:p>
    <w:p w14:paraId="55AD362B" w14:textId="77777777" w:rsidR="00121132" w:rsidRDefault="00121132" w:rsidP="00121132">
      <w:r>
        <w:t>Das FRZK betont, dass Modellwahl und funktionale Zuweisungen nicht wertneutral sind, sondern grundlegende ethische Konsequenzen implizieren. Die Art und Weise, wie Realität im Modell funktional erzeugt und strukturiert wird, beeinflusst nicht nur erkenntnistheoretische Perspektiven, sondern auch gesellschaftliche, normative und politische Prozesse. Daher ist die Reflexion über die ethische Dimension von Modellarchitekturen nicht nachgeordnet, sondern integraler Bestandteil des funktionalen Rahmens.</w:t>
      </w:r>
    </w:p>
    <w:p w14:paraId="7103F43F" w14:textId="77777777" w:rsidR="00121132" w:rsidRDefault="00121132" w:rsidP="00121132">
      <w:r>
        <w:t xml:space="preserve">Im Anschluss an das AI4People-Framework nach </w:t>
      </w:r>
      <w:proofErr w:type="spellStart"/>
      <w:r>
        <w:t>Floridi</w:t>
      </w:r>
      <w:proofErr w:type="spellEnd"/>
      <w:r>
        <w:t xml:space="preserve"> et al. lassen sich fünf ethische Leitprinzipien formulieren, die auch für das FRZK relevant sind: Wohltun (</w:t>
      </w:r>
      <w:proofErr w:type="spellStart"/>
      <w:r>
        <w:t>beneficence</w:t>
      </w:r>
      <w:proofErr w:type="spellEnd"/>
      <w:r>
        <w:t>), Nicht-Schaden (non-</w:t>
      </w:r>
      <w:proofErr w:type="spellStart"/>
      <w:r>
        <w:t>maleficence</w:t>
      </w:r>
      <w:proofErr w:type="spellEnd"/>
      <w:r>
        <w:t>), Autonomie, Gerechtigkeit und Erklärbarkeit (</w:t>
      </w:r>
      <w:proofErr w:type="spellStart"/>
      <w:r>
        <w:t>explicability</w:t>
      </w:r>
      <w:proofErr w:type="spellEnd"/>
      <w:r>
        <w:t xml:space="preserve">) [A]. Diese Prinzipien bieten </w:t>
      </w:r>
      <w:proofErr w:type="gramStart"/>
      <w:r>
        <w:t>einen normativen Raster</w:t>
      </w:r>
      <w:proofErr w:type="gramEnd"/>
      <w:r>
        <w:t xml:space="preserve"> für die verantwortungsvolle Gestaltung funktionaler Zuweisungen – insbesondere dann, wenn diese Modellarchitekturen in sozialen, technischen oder erkenntniserzeugenden Kontexten wirksam werden.</w:t>
      </w:r>
    </w:p>
    <w:p w14:paraId="3FBE12EB" w14:textId="77777777" w:rsidR="00121132" w:rsidRDefault="00121132" w:rsidP="00121132">
      <w:r>
        <w:t xml:space="preserve">Zugleich weist Mittelstadt darauf hin, dass ethische Prinzipien allein keine Garantie für moralisch akzeptables Verhalten bieten, solange keine institutionellen und operativen Umsetzungsmechanismen existieren [B]. Für das FRZK ergibt sich daraus die Notwendigkeit, Ethik nicht nur deklarativ, sondern strukturell zu integrieren – etwa durch </w:t>
      </w:r>
      <w:proofErr w:type="spellStart"/>
      <w:r>
        <w:t>auditierbare</w:t>
      </w:r>
      <w:proofErr w:type="spellEnd"/>
      <w:r>
        <w:t xml:space="preserve"> Mechanismen zur Überprüfung der Modellentscheidungen und deren Konsequenzen [C].</w:t>
      </w:r>
    </w:p>
    <w:p w14:paraId="79E888ED" w14:textId="77777777" w:rsidR="00121132" w:rsidRDefault="00121132" w:rsidP="00121132">
      <w:r>
        <w:t xml:space="preserve">Darüber hinaus unterstreicht </w:t>
      </w:r>
      <w:proofErr w:type="spellStart"/>
      <w:r>
        <w:t>Coeckelbergh</w:t>
      </w:r>
      <w:proofErr w:type="spellEnd"/>
      <w:r>
        <w:t>, dass Modellverantwortung nicht allein bei technischen Gestaltern liegt, sondern demokratisch legitimiert und narrativ transparent gemacht werden muss [D]. Die reflexive Struktur des FRZK ermöglicht es, solche narrativen Verantwortungszuschreibungen funktional abzubilden: Akteur-Funktionen können mit normativen Parametern ausgestattet und Meta-Funktionen zur Bewertung unterschiedlicher Handlungsperspektiven genutzt werden [E].</w:t>
      </w:r>
    </w:p>
    <w:p w14:paraId="68D9D7D8" w14:textId="3CA065ED" w:rsidR="00121132" w:rsidRDefault="00121132" w:rsidP="00121132">
      <w:r>
        <w:t xml:space="preserve">Insgesamt zeigt sich: Das FRZK ist nicht nur erkenntnistheoretisch, sondern auch ethisch reflexiv. Die Wahl und Strukturierung eines Modells </w:t>
      </w:r>
      <w:proofErr w:type="gramStart"/>
      <w:r>
        <w:t>hat</w:t>
      </w:r>
      <w:proofErr w:type="gramEnd"/>
      <w:r>
        <w:t xml:space="preserve"> Konsequenzen – für Erkenntnis, Handlung und Gesellschaft. Diese Einsicht macht ethische Modellreflexion zu einem unverzichtbaren Bestandteil der funktionalen Systemarchitektur.</w:t>
      </w:r>
    </w:p>
    <w:p w14:paraId="7072FB87" w14:textId="4BDA9357" w:rsidR="00D30F48" w:rsidRDefault="00D30F48" w:rsidP="00121132">
      <w:r>
        <w:sym w:font="Wingdings" w:char="F0E0"/>
      </w:r>
    </w:p>
    <w:p w14:paraId="4CB27195" w14:textId="77777777" w:rsidR="00D30F48" w:rsidRDefault="00D30F48" w:rsidP="00D30F48">
      <w:pPr>
        <w:pStyle w:val="berschrift3"/>
        <w:rPr>
          <w:sz w:val="27"/>
          <w:szCs w:val="27"/>
          <w:lang w:eastAsia="de-DE"/>
        </w:rPr>
      </w:pPr>
      <w:r>
        <w:rPr>
          <w:rStyle w:val="Fett"/>
          <w:b/>
          <w:bCs w:val="0"/>
        </w:rPr>
        <w:t>4.8 Ethische Implikationen der Modellwahl</w:t>
      </w:r>
    </w:p>
    <w:p w14:paraId="74BC3C3D" w14:textId="77777777" w:rsidR="00D30F48" w:rsidRDefault="00D30F48" w:rsidP="00D30F48">
      <w:pPr>
        <w:pStyle w:val="berschrift4"/>
      </w:pPr>
      <w:r>
        <w:rPr>
          <w:rStyle w:val="Fett"/>
          <w:b w:val="0"/>
          <w:bCs w:val="0"/>
        </w:rPr>
        <w:t>4.8.1 Modellwahl als normativer Akt</w:t>
      </w:r>
    </w:p>
    <w:p w14:paraId="745FEB90" w14:textId="77777777" w:rsidR="00D30F48" w:rsidRDefault="00D30F48" w:rsidP="00D30F48">
      <w:pPr>
        <w:pStyle w:val="StandardWeb"/>
      </w:pPr>
      <w:r>
        <w:t>Im Kontext des FRZK wird Modellwahl nicht als neutrale technische Entscheidung verstanden, sondern als normativ aufgeladener Akt, der bestimmte Perspektiven ermöglicht und andere ausschließt. Jedes funktionale Bezugssystem prägt, was als „real“, „wahr“ oder „relevant“ erscheint. Die Entscheidung für ein bestimmtes Modell ist somit auch eine Entscheidung über die epistemischen und sozialen Effekte seiner Funktionsweise [52]. Modelle konstruieren Wirklichkeit – und diese Konstruktion ist ethisch nicht belanglos.</w:t>
      </w:r>
    </w:p>
    <w:p w14:paraId="1EDCF9D0" w14:textId="77777777" w:rsidR="00D30F48" w:rsidRDefault="00D30F48" w:rsidP="00D30F48">
      <w:pPr>
        <w:pStyle w:val="berschrift4"/>
      </w:pPr>
      <w:r>
        <w:rPr>
          <w:rStyle w:val="Fett"/>
          <w:b w:val="0"/>
          <w:bCs w:val="0"/>
        </w:rPr>
        <w:t>4.8.2 Ethische Prinzipien im Modellkontext</w:t>
      </w:r>
    </w:p>
    <w:p w14:paraId="1E6855D7" w14:textId="77777777" w:rsidR="00D30F48" w:rsidRDefault="00D30F48" w:rsidP="00D30F48">
      <w:pPr>
        <w:pStyle w:val="StandardWeb"/>
      </w:pPr>
      <w:r>
        <w:t>Das FRZK integriert ethische Reflexion über Modellarchitekturen durch Bezug auf fünf zentrale Prinzipien, wie sie im AI4People-Framework formuliert wurden: Wohltun (beneficence), Nicht-Schaden (non-maleficence), Autonomie, Gerechtigkeit und Erklärbarkeit. Diese Prinzipien wirken im funktionalen Kontext als regulative Operatoren, die modellinterne Strukturentscheidungen bewertbar machen – z. B. in der Gewichtung von Transparenz vs. Komplexitätssteuerung [53].</w:t>
      </w:r>
    </w:p>
    <w:p w14:paraId="23B1D234" w14:textId="77777777" w:rsidR="00D30F48" w:rsidRDefault="00D30F48" w:rsidP="00D30F48">
      <w:pPr>
        <w:pStyle w:val="berschrift4"/>
      </w:pPr>
      <w:r>
        <w:rPr>
          <w:rStyle w:val="Fett"/>
          <w:b w:val="0"/>
          <w:bCs w:val="0"/>
        </w:rPr>
        <w:t>4.8.3 Kritik an Prinzipienorientierung: Implementierungsethik</w:t>
      </w:r>
    </w:p>
    <w:p w14:paraId="77D9D819" w14:textId="77777777" w:rsidR="00D30F48" w:rsidRDefault="00D30F48" w:rsidP="00D30F48">
      <w:pPr>
        <w:pStyle w:val="StandardWeb"/>
      </w:pPr>
      <w:r>
        <w:t>Zugleich wird anerkannt, dass Prinzipien allein keine Garantie für verantwortliches Modellverhalten bieten. Mittelstadt argumentiert, dass ohne institutionelle Verankerung und operationale Umsetzung ethische Prinzipien wirkungslos bleiben. Im FRZK wird dies berücksichtigt durch die Integration strukturierter Audit-Mechanismen, mit denen funktionale Systeme auf ethische Kohärenz hin überprüfbar werden – eine ethische Reflexion im und durch das System selbst [54].</w:t>
      </w:r>
    </w:p>
    <w:p w14:paraId="7B4434A9" w14:textId="77777777" w:rsidR="00D30F48" w:rsidRDefault="00D30F48" w:rsidP="00D30F48">
      <w:pPr>
        <w:pStyle w:val="berschrift4"/>
      </w:pPr>
      <w:r>
        <w:rPr>
          <w:rStyle w:val="Fett"/>
          <w:b w:val="0"/>
          <w:bCs w:val="0"/>
        </w:rPr>
        <w:t>4.8.4 Narrative Verantwortung und demokratische Legitimation</w:t>
      </w:r>
    </w:p>
    <w:p w14:paraId="02A521B9" w14:textId="77777777" w:rsidR="00D30F48" w:rsidRDefault="00D30F48" w:rsidP="00D30F48">
      <w:pPr>
        <w:pStyle w:val="StandardWeb"/>
      </w:pPr>
      <w:r>
        <w:t>Coeckelbergh ergänzt, dass technische Systeme nicht nur funktional korrekt, sondern auch narrativ legitimierbar sein müssen: Wer trägt Verantwortung für welche Folgen? Welche Geschichten machen ein System gesellschaftlich akzeptabel oder angreifbar? Das FRZK erlaubt, solche Fragen strukturell zu modellieren, indem es narrative Zuschreibungen und Verantwortungszuweisungen als Operatoren im Beobachtungssystem einbindet [55]. Daraus ergibt sich ein ethisch sensibler Raum für demokratische Technikgestaltung.</w:t>
      </w:r>
    </w:p>
    <w:p w14:paraId="140B6018" w14:textId="77777777" w:rsidR="00D30F48" w:rsidRDefault="00D30F48" w:rsidP="00D30F48">
      <w:pPr>
        <w:pStyle w:val="berschrift4"/>
      </w:pPr>
      <w:r>
        <w:rPr>
          <w:rStyle w:val="Fett"/>
          <w:b w:val="0"/>
          <w:bCs w:val="0"/>
        </w:rPr>
        <w:t>4.8.5 Ethische Vorhersagefähigkeit</w:t>
      </w:r>
    </w:p>
    <w:p w14:paraId="137240CE" w14:textId="77777777" w:rsidR="00D30F48" w:rsidRDefault="00D30F48" w:rsidP="00D30F48">
      <w:pPr>
        <w:pStyle w:val="StandardWeb"/>
      </w:pPr>
      <w:r>
        <w:t>Schließlich liefert das FRZK selbst eine ethische Prognose: Systeme, die ihre Modelllogik nicht reflektieren, erzeugen blinde Wirklichkeitsbereiche – mit potenziell destruktiven Folgen. Die Fähigkeit, mögliche Folgewirkungen funktionaler Architektur im Voraus strukturell zu simulieren und normativ zu bewerten, ist daher eine unverzichtbare Eigenschaft modellreflexiver Systeme. Das FRZK macht diese Fähigkeit formalisierbar – und schafft damit die Grundlage einer prognosefähigen Technikethik [56].</w:t>
      </w:r>
    </w:p>
    <w:p w14:paraId="70BA484E" w14:textId="77777777" w:rsidR="0050473A" w:rsidRDefault="0050473A" w:rsidP="0050473A">
      <w:r>
        <w:sym w:font="Wingdings" w:char="F0DF"/>
      </w:r>
    </w:p>
    <w:p w14:paraId="1B535696" w14:textId="77777777" w:rsidR="00D30F48" w:rsidRDefault="00D30F48" w:rsidP="00121132"/>
    <w:p w14:paraId="083A5B1B" w14:textId="77777777" w:rsidR="00121132" w:rsidRDefault="00F00AA2" w:rsidP="00121132">
      <w:r>
        <w:pict w14:anchorId="08D3AC02">
          <v:rect id="_x0000_i1038" style="width:0;height:1.5pt" o:hralign="center" o:hrstd="t" o:hr="t" fillcolor="#a0a0a0" stroked="f"/>
        </w:pict>
      </w:r>
    </w:p>
    <w:p w14:paraId="41C5C1EC" w14:textId="77777777" w:rsidR="00121132" w:rsidRDefault="00121132" w:rsidP="00121132">
      <w:pPr>
        <w:pStyle w:val="berschrift2"/>
      </w:pPr>
      <w:r>
        <w:t>4.9 Zusammenfassung</w:t>
      </w:r>
    </w:p>
    <w:p w14:paraId="5AAD4D87" w14:textId="77777777" w:rsidR="00121132" w:rsidRDefault="00121132" w:rsidP="00121132">
      <w:r>
        <w:t>Zusammenfassend lässt sich sagen, dass das FRZK keine konkreten empirischen Vorhersagen macht, sondern einen Rahmen bereitstellt, um die Entstehung, Organisation und Transformation von Realität und Erkenntnis in komplexen Systemen zu verstehen und zu modellieren. Es prognostiziert die strukturellen Eigenschaften und dynamischen Prozesse, die der Realitätskonstruktion zugrunde liegen.</w:t>
      </w:r>
    </w:p>
    <w:p w14:paraId="4584293B" w14:textId="77777777" w:rsidR="00121132" w:rsidRDefault="00121132" w:rsidP="00121132">
      <w:r>
        <w:t>Ebenfalls lässt sich sagen, dass die "Beweisbarkeit" der Vorhersagen des FRZK in seiner internen Konsistenz, seiner erklärenden und generierenden Kraft sowie seiner interdisziplinären Anschlussfähigkeit liegt. Es handelt sich um ein architektonisches Modell, das die Konstruktionsprinzipien von Realität und Erkenntnis aufzeigt, anstatt konkrete empirische Ergebnisse zu prognostizieren, die durch klassische Experimente verifiziert werden müssten [52:0].</w:t>
      </w:r>
    </w:p>
    <w:p w14:paraId="7A2E9991" w14:textId="1E380B31" w:rsidR="00121132" w:rsidRDefault="00121132" w:rsidP="00121132">
      <w:r>
        <w:t>Die Vorhersagen des FRZK stützen sich auf eine klar definierte methodische Basis: Das funktionale Bezugssystem ist nicht aus empirischen Hypothesen extrapoliert, sondern wird – wie in Kapitel 3 dargelegt – aus mathematisch und erkenntnistheoretisch begründeten Operatorstrukturen abgeleitet. Diese Strukturorientierung erlaubt es, zukünftige Systemverläufe als Konsequenz interner Modelllogik zu verstehen, nicht bloß als Fortschreibung vergangener Daten. Insofern besitzen die hier dargestellten Szenarien einen anderen Status als konventionelle Prognosen: Sie beruhen auf emergenten Ordnungen, die sich aus der Dynamik des Bezugssystems selbst ergeben.</w:t>
      </w:r>
    </w:p>
    <w:p w14:paraId="67121FDB" w14:textId="013764EC" w:rsidR="0050473A" w:rsidRPr="0050473A" w:rsidRDefault="0050473A" w:rsidP="0050473A">
      <w:pPr>
        <w:pStyle w:val="berschrift3"/>
        <w:rPr>
          <w:bCs/>
        </w:rPr>
      </w:pPr>
      <w:r w:rsidRPr="0050473A">
        <w:rPr>
          <w:rStyle w:val="Fett"/>
          <w:b/>
          <w:bCs w:val="0"/>
        </w:rPr>
        <w:t xml:space="preserve">Quellenverzeichnis </w:t>
      </w:r>
      <w:r w:rsidRPr="0050473A">
        <w:t>für Kapitel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8597"/>
      </w:tblGrid>
      <w:tr w:rsidR="0050473A" w:rsidRPr="0050473A" w14:paraId="524D283F" w14:textId="77777777" w:rsidTr="0050473A">
        <w:trPr>
          <w:tblHeader/>
          <w:tblCellSpacing w:w="15" w:type="dxa"/>
        </w:trPr>
        <w:tc>
          <w:tcPr>
            <w:tcW w:w="0" w:type="auto"/>
            <w:vAlign w:val="center"/>
            <w:hideMark/>
          </w:tcPr>
          <w:p w14:paraId="2D9AEBC7" w14:textId="77777777" w:rsidR="0050473A" w:rsidRPr="0050473A" w:rsidRDefault="0050473A" w:rsidP="0050473A">
            <w:pPr>
              <w:spacing w:after="0" w:line="240" w:lineRule="auto"/>
              <w:jc w:val="center"/>
              <w:rPr>
                <w:rFonts w:ascii="Times New Roman" w:eastAsia="Times New Roman" w:hAnsi="Times New Roman"/>
                <w:b/>
                <w:bCs/>
                <w:szCs w:val="24"/>
                <w:lang w:eastAsia="de-DE"/>
              </w:rPr>
            </w:pPr>
            <w:r w:rsidRPr="0050473A">
              <w:rPr>
                <w:rFonts w:ascii="Times New Roman" w:eastAsia="Times New Roman" w:hAnsi="Times New Roman"/>
                <w:b/>
                <w:bCs/>
                <w:szCs w:val="24"/>
                <w:lang w:eastAsia="de-DE"/>
              </w:rPr>
              <w:t>Nr.</w:t>
            </w:r>
          </w:p>
        </w:tc>
        <w:tc>
          <w:tcPr>
            <w:tcW w:w="0" w:type="auto"/>
            <w:vAlign w:val="center"/>
            <w:hideMark/>
          </w:tcPr>
          <w:p w14:paraId="2B540B95" w14:textId="77777777" w:rsidR="0050473A" w:rsidRPr="0050473A" w:rsidRDefault="0050473A" w:rsidP="0050473A">
            <w:pPr>
              <w:spacing w:after="0" w:line="240" w:lineRule="auto"/>
              <w:jc w:val="center"/>
              <w:rPr>
                <w:rFonts w:ascii="Times New Roman" w:eastAsia="Times New Roman" w:hAnsi="Times New Roman"/>
                <w:b/>
                <w:bCs/>
                <w:szCs w:val="24"/>
                <w:lang w:eastAsia="de-DE"/>
              </w:rPr>
            </w:pPr>
            <w:r w:rsidRPr="0050473A">
              <w:rPr>
                <w:rFonts w:ascii="Times New Roman" w:eastAsia="Times New Roman" w:hAnsi="Times New Roman"/>
                <w:b/>
                <w:bCs/>
                <w:szCs w:val="24"/>
                <w:lang w:eastAsia="de-DE"/>
              </w:rPr>
              <w:t>Quelle</w:t>
            </w:r>
          </w:p>
        </w:tc>
      </w:tr>
      <w:tr w:rsidR="0050473A" w:rsidRPr="0050473A" w14:paraId="1D711FD2" w14:textId="77777777" w:rsidTr="0050473A">
        <w:trPr>
          <w:tblCellSpacing w:w="15" w:type="dxa"/>
        </w:trPr>
        <w:tc>
          <w:tcPr>
            <w:tcW w:w="0" w:type="auto"/>
            <w:vAlign w:val="center"/>
            <w:hideMark/>
          </w:tcPr>
          <w:p w14:paraId="750DDFE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w:t>
            </w:r>
          </w:p>
        </w:tc>
        <w:tc>
          <w:tcPr>
            <w:tcW w:w="0" w:type="auto"/>
            <w:vAlign w:val="center"/>
            <w:hideMark/>
          </w:tcPr>
          <w:p w14:paraId="3053E47B"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Carrier, Martin (2004): </w:t>
            </w:r>
            <w:r w:rsidRPr="0050473A">
              <w:rPr>
                <w:rFonts w:ascii="Times New Roman" w:eastAsia="Times New Roman" w:hAnsi="Times New Roman"/>
                <w:i/>
                <w:iCs/>
                <w:szCs w:val="24"/>
                <w:lang w:eastAsia="de-DE"/>
              </w:rPr>
              <w:t>Vorhersage und Erklärung</w:t>
            </w:r>
            <w:r w:rsidRPr="0050473A">
              <w:rPr>
                <w:rFonts w:ascii="Times New Roman" w:eastAsia="Times New Roman" w:hAnsi="Times New Roman"/>
                <w:szCs w:val="24"/>
                <w:lang w:eastAsia="de-DE"/>
              </w:rPr>
              <w:t xml:space="preserve">. In: Hübner, D. / Carrier, M. / Reutlinger, A. (Hrsg.): </w:t>
            </w:r>
            <w:r w:rsidRPr="0050473A">
              <w:rPr>
                <w:rFonts w:ascii="Times New Roman" w:eastAsia="Times New Roman" w:hAnsi="Times New Roman"/>
                <w:i/>
                <w:iCs/>
                <w:szCs w:val="24"/>
                <w:lang w:eastAsia="de-DE"/>
              </w:rPr>
              <w:t>Philosophie der Physik</w:t>
            </w:r>
            <w:r w:rsidRPr="0050473A">
              <w:rPr>
                <w:rFonts w:ascii="Times New Roman" w:eastAsia="Times New Roman" w:hAnsi="Times New Roman"/>
                <w:szCs w:val="24"/>
                <w:lang w:eastAsia="de-DE"/>
              </w:rPr>
              <w:t>. Suhrkamp.</w:t>
            </w:r>
          </w:p>
        </w:tc>
      </w:tr>
      <w:tr w:rsidR="0050473A" w:rsidRPr="0050473A" w14:paraId="233B4324" w14:textId="77777777" w:rsidTr="0050473A">
        <w:trPr>
          <w:tblCellSpacing w:w="15" w:type="dxa"/>
        </w:trPr>
        <w:tc>
          <w:tcPr>
            <w:tcW w:w="0" w:type="auto"/>
            <w:vAlign w:val="center"/>
            <w:hideMark/>
          </w:tcPr>
          <w:p w14:paraId="17DE8CAA"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w:t>
            </w:r>
          </w:p>
        </w:tc>
        <w:tc>
          <w:tcPr>
            <w:tcW w:w="0" w:type="auto"/>
            <w:vAlign w:val="center"/>
            <w:hideMark/>
          </w:tcPr>
          <w:p w14:paraId="4FC71346"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Spencer-Brown, George (1972): </w:t>
            </w:r>
            <w:r w:rsidRPr="0050473A">
              <w:rPr>
                <w:rFonts w:ascii="Times New Roman" w:eastAsia="Times New Roman" w:hAnsi="Times New Roman"/>
                <w:i/>
                <w:iCs/>
                <w:szCs w:val="24"/>
                <w:lang w:eastAsia="de-DE"/>
              </w:rPr>
              <w:t xml:space="preserve">Laws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Form</w:t>
            </w:r>
            <w:r w:rsidRPr="0050473A">
              <w:rPr>
                <w:rFonts w:ascii="Times New Roman" w:eastAsia="Times New Roman" w:hAnsi="Times New Roman"/>
                <w:szCs w:val="24"/>
                <w:lang w:eastAsia="de-DE"/>
              </w:rPr>
              <w:t xml:space="preserve">. Allen &amp; </w:t>
            </w:r>
            <w:proofErr w:type="spellStart"/>
            <w:r w:rsidRPr="0050473A">
              <w:rPr>
                <w:rFonts w:ascii="Times New Roman" w:eastAsia="Times New Roman" w:hAnsi="Times New Roman"/>
                <w:szCs w:val="24"/>
                <w:lang w:eastAsia="de-DE"/>
              </w:rPr>
              <w:t>Unwin</w:t>
            </w:r>
            <w:proofErr w:type="spellEnd"/>
            <w:r w:rsidRPr="0050473A">
              <w:rPr>
                <w:rFonts w:ascii="Times New Roman" w:eastAsia="Times New Roman" w:hAnsi="Times New Roman"/>
                <w:szCs w:val="24"/>
                <w:lang w:eastAsia="de-DE"/>
              </w:rPr>
              <w:t>.</w:t>
            </w:r>
          </w:p>
        </w:tc>
      </w:tr>
      <w:tr w:rsidR="0050473A" w:rsidRPr="0050473A" w14:paraId="343AB821" w14:textId="77777777" w:rsidTr="0050473A">
        <w:trPr>
          <w:tblCellSpacing w:w="15" w:type="dxa"/>
        </w:trPr>
        <w:tc>
          <w:tcPr>
            <w:tcW w:w="0" w:type="auto"/>
            <w:vAlign w:val="center"/>
            <w:hideMark/>
          </w:tcPr>
          <w:p w14:paraId="338B8655"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w:t>
            </w:r>
          </w:p>
        </w:tc>
        <w:tc>
          <w:tcPr>
            <w:tcW w:w="0" w:type="auto"/>
            <w:vAlign w:val="center"/>
            <w:hideMark/>
          </w:tcPr>
          <w:p w14:paraId="0AAD44F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Foerster, Heinz von (1981): </w:t>
            </w:r>
            <w:proofErr w:type="spellStart"/>
            <w:r w:rsidRPr="0050473A">
              <w:rPr>
                <w:rFonts w:ascii="Times New Roman" w:eastAsia="Times New Roman" w:hAnsi="Times New Roman"/>
                <w:i/>
                <w:iCs/>
                <w:szCs w:val="24"/>
                <w:lang w:eastAsia="de-DE"/>
              </w:rPr>
              <w:t>Observing</w:t>
            </w:r>
            <w:proofErr w:type="spellEnd"/>
            <w:r w:rsidRPr="0050473A">
              <w:rPr>
                <w:rFonts w:ascii="Times New Roman" w:eastAsia="Times New Roman" w:hAnsi="Times New Roman"/>
                <w:i/>
                <w:iCs/>
                <w:szCs w:val="24"/>
                <w:lang w:eastAsia="de-DE"/>
              </w:rPr>
              <w:t xml:space="preserve"> Systems</w:t>
            </w:r>
            <w:r w:rsidRPr="0050473A">
              <w:rPr>
                <w:rFonts w:ascii="Times New Roman" w:eastAsia="Times New Roman" w:hAnsi="Times New Roman"/>
                <w:szCs w:val="24"/>
                <w:lang w:eastAsia="de-DE"/>
              </w:rPr>
              <w:t>. Intersystems Publications.</w:t>
            </w:r>
          </w:p>
        </w:tc>
      </w:tr>
      <w:tr w:rsidR="0050473A" w:rsidRPr="0050473A" w14:paraId="5551F706" w14:textId="77777777" w:rsidTr="0050473A">
        <w:trPr>
          <w:tblCellSpacing w:w="15" w:type="dxa"/>
        </w:trPr>
        <w:tc>
          <w:tcPr>
            <w:tcW w:w="0" w:type="auto"/>
            <w:vAlign w:val="center"/>
            <w:hideMark/>
          </w:tcPr>
          <w:p w14:paraId="4BB6970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w:t>
            </w:r>
          </w:p>
        </w:tc>
        <w:tc>
          <w:tcPr>
            <w:tcW w:w="0" w:type="auto"/>
            <w:vAlign w:val="center"/>
            <w:hideMark/>
          </w:tcPr>
          <w:p w14:paraId="36CC43CE"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Varela, Francisco J. (1979): </w:t>
            </w:r>
            <w:proofErr w:type="spellStart"/>
            <w:r w:rsidRPr="0050473A">
              <w:rPr>
                <w:rFonts w:ascii="Times New Roman" w:eastAsia="Times New Roman" w:hAnsi="Times New Roman"/>
                <w:i/>
                <w:iCs/>
                <w:szCs w:val="24"/>
                <w:lang w:eastAsia="de-DE"/>
              </w:rPr>
              <w:t>Principles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Biological </w:t>
            </w:r>
            <w:proofErr w:type="spellStart"/>
            <w:r w:rsidRPr="0050473A">
              <w:rPr>
                <w:rFonts w:ascii="Times New Roman" w:eastAsia="Times New Roman" w:hAnsi="Times New Roman"/>
                <w:i/>
                <w:iCs/>
                <w:szCs w:val="24"/>
                <w:lang w:eastAsia="de-DE"/>
              </w:rPr>
              <w:t>Autonomy</w:t>
            </w:r>
            <w:proofErr w:type="spellEnd"/>
            <w:r w:rsidRPr="0050473A">
              <w:rPr>
                <w:rFonts w:ascii="Times New Roman" w:eastAsia="Times New Roman" w:hAnsi="Times New Roman"/>
                <w:szCs w:val="24"/>
                <w:lang w:eastAsia="de-DE"/>
              </w:rPr>
              <w:t>. North Holland.</w:t>
            </w:r>
          </w:p>
        </w:tc>
      </w:tr>
      <w:tr w:rsidR="0050473A" w:rsidRPr="0050473A" w14:paraId="678A9F44" w14:textId="77777777" w:rsidTr="0050473A">
        <w:trPr>
          <w:tblCellSpacing w:w="15" w:type="dxa"/>
        </w:trPr>
        <w:tc>
          <w:tcPr>
            <w:tcW w:w="0" w:type="auto"/>
            <w:vAlign w:val="center"/>
            <w:hideMark/>
          </w:tcPr>
          <w:p w14:paraId="447E7C11"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w:t>
            </w:r>
          </w:p>
        </w:tc>
        <w:tc>
          <w:tcPr>
            <w:tcW w:w="0" w:type="auto"/>
            <w:vAlign w:val="center"/>
            <w:hideMark/>
          </w:tcPr>
          <w:p w14:paraId="436A7EAE"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Rovelli</w:t>
            </w:r>
            <w:proofErr w:type="spellEnd"/>
            <w:r w:rsidRPr="0050473A">
              <w:rPr>
                <w:rFonts w:ascii="Times New Roman" w:eastAsia="Times New Roman" w:hAnsi="Times New Roman"/>
                <w:szCs w:val="24"/>
                <w:lang w:eastAsia="de-DE"/>
              </w:rPr>
              <w:t xml:space="preserve">, Carlo (2004): </w:t>
            </w:r>
            <w:r w:rsidRPr="0050473A">
              <w:rPr>
                <w:rFonts w:ascii="Times New Roman" w:eastAsia="Times New Roman" w:hAnsi="Times New Roman"/>
                <w:i/>
                <w:iCs/>
                <w:szCs w:val="24"/>
                <w:lang w:eastAsia="de-DE"/>
              </w:rPr>
              <w:t>Quantum Gravity</w:t>
            </w:r>
            <w:r w:rsidRPr="0050473A">
              <w:rPr>
                <w:rFonts w:ascii="Times New Roman" w:eastAsia="Times New Roman" w:hAnsi="Times New Roman"/>
                <w:szCs w:val="24"/>
                <w:lang w:eastAsia="de-DE"/>
              </w:rPr>
              <w:t>. Cambridge University Press.</w:t>
            </w:r>
          </w:p>
        </w:tc>
      </w:tr>
      <w:tr w:rsidR="0050473A" w:rsidRPr="0050473A" w14:paraId="00C92D54" w14:textId="77777777" w:rsidTr="0050473A">
        <w:trPr>
          <w:tblCellSpacing w:w="15" w:type="dxa"/>
        </w:trPr>
        <w:tc>
          <w:tcPr>
            <w:tcW w:w="0" w:type="auto"/>
            <w:vAlign w:val="center"/>
            <w:hideMark/>
          </w:tcPr>
          <w:p w14:paraId="4C0CED8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[6]</w:t>
            </w:r>
          </w:p>
        </w:tc>
        <w:tc>
          <w:tcPr>
            <w:tcW w:w="0" w:type="auto"/>
            <w:vAlign w:val="center"/>
            <w:hideMark/>
          </w:tcPr>
          <w:p w14:paraId="270187F3"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Ladyman</w:t>
            </w:r>
            <w:proofErr w:type="spellEnd"/>
            <w:r w:rsidRPr="0050473A">
              <w:rPr>
                <w:rFonts w:ascii="Times New Roman" w:eastAsia="Times New Roman" w:hAnsi="Times New Roman"/>
                <w:szCs w:val="24"/>
                <w:lang w:eastAsia="de-DE"/>
              </w:rPr>
              <w:t xml:space="preserve">, James / Ross, Don (2007): </w:t>
            </w:r>
            <w:r w:rsidRPr="0050473A">
              <w:rPr>
                <w:rFonts w:ascii="Times New Roman" w:eastAsia="Times New Roman" w:hAnsi="Times New Roman"/>
                <w:i/>
                <w:iCs/>
                <w:szCs w:val="24"/>
                <w:lang w:eastAsia="de-DE"/>
              </w:rPr>
              <w:t xml:space="preserve">Every Thing </w:t>
            </w:r>
            <w:proofErr w:type="spellStart"/>
            <w:r w:rsidRPr="0050473A">
              <w:rPr>
                <w:rFonts w:ascii="Times New Roman" w:eastAsia="Times New Roman" w:hAnsi="Times New Roman"/>
                <w:i/>
                <w:iCs/>
                <w:szCs w:val="24"/>
                <w:lang w:eastAsia="de-DE"/>
              </w:rPr>
              <w:t>Must</w:t>
            </w:r>
            <w:proofErr w:type="spellEnd"/>
            <w:r w:rsidRPr="0050473A">
              <w:rPr>
                <w:rFonts w:ascii="Times New Roman" w:eastAsia="Times New Roman" w:hAnsi="Times New Roman"/>
                <w:i/>
                <w:iCs/>
                <w:szCs w:val="24"/>
                <w:lang w:eastAsia="de-DE"/>
              </w:rPr>
              <w:t xml:space="preserve"> Go: </w:t>
            </w:r>
            <w:proofErr w:type="spellStart"/>
            <w:r w:rsidRPr="0050473A">
              <w:rPr>
                <w:rFonts w:ascii="Times New Roman" w:eastAsia="Times New Roman" w:hAnsi="Times New Roman"/>
                <w:i/>
                <w:iCs/>
                <w:szCs w:val="24"/>
                <w:lang w:eastAsia="de-DE"/>
              </w:rPr>
              <w:t>Metaphysics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Naturalized</w:t>
            </w:r>
            <w:proofErr w:type="spellEnd"/>
            <w:r w:rsidRPr="0050473A">
              <w:rPr>
                <w:rFonts w:ascii="Times New Roman" w:eastAsia="Times New Roman" w:hAnsi="Times New Roman"/>
                <w:szCs w:val="24"/>
                <w:lang w:eastAsia="de-DE"/>
              </w:rPr>
              <w:t>. Oxford University Press.</w:t>
            </w:r>
          </w:p>
        </w:tc>
      </w:tr>
      <w:tr w:rsidR="0050473A" w:rsidRPr="0050473A" w14:paraId="6E33F733" w14:textId="77777777" w:rsidTr="0050473A">
        <w:trPr>
          <w:tblCellSpacing w:w="15" w:type="dxa"/>
        </w:trPr>
        <w:tc>
          <w:tcPr>
            <w:tcW w:w="0" w:type="auto"/>
            <w:vAlign w:val="center"/>
            <w:hideMark/>
          </w:tcPr>
          <w:p w14:paraId="40DC9DE6"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[7]</w:t>
            </w:r>
          </w:p>
        </w:tc>
        <w:tc>
          <w:tcPr>
            <w:tcW w:w="0" w:type="auto"/>
            <w:vAlign w:val="center"/>
            <w:hideMark/>
          </w:tcPr>
          <w:p w14:paraId="6AA244BD"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Brier</w:t>
            </w:r>
            <w:proofErr w:type="spellEnd"/>
            <w:r w:rsidRPr="0050473A">
              <w:rPr>
                <w:rFonts w:ascii="Times New Roman" w:eastAsia="Times New Roman" w:hAnsi="Times New Roman"/>
                <w:szCs w:val="24"/>
                <w:lang w:eastAsia="de-DE"/>
              </w:rPr>
              <w:t xml:space="preserve">, </w:t>
            </w:r>
            <w:proofErr w:type="spellStart"/>
            <w:r w:rsidRPr="0050473A">
              <w:rPr>
                <w:rFonts w:ascii="Times New Roman" w:eastAsia="Times New Roman" w:hAnsi="Times New Roman"/>
                <w:szCs w:val="24"/>
                <w:lang w:eastAsia="de-DE"/>
              </w:rPr>
              <w:t>Søren</w:t>
            </w:r>
            <w:proofErr w:type="spellEnd"/>
            <w:r w:rsidRPr="0050473A">
              <w:rPr>
                <w:rFonts w:ascii="Times New Roman" w:eastAsia="Times New Roman" w:hAnsi="Times New Roman"/>
                <w:szCs w:val="24"/>
                <w:lang w:eastAsia="de-DE"/>
              </w:rPr>
              <w:t xml:space="preserve"> (2008): </w:t>
            </w:r>
            <w:proofErr w:type="spellStart"/>
            <w:r w:rsidRPr="0050473A">
              <w:rPr>
                <w:rFonts w:ascii="Times New Roman" w:eastAsia="Times New Roman" w:hAnsi="Times New Roman"/>
                <w:i/>
                <w:iCs/>
                <w:szCs w:val="24"/>
                <w:lang w:eastAsia="de-DE"/>
              </w:rPr>
              <w:t>Cybersemiotics</w:t>
            </w:r>
            <w:proofErr w:type="spellEnd"/>
            <w:r w:rsidRPr="0050473A">
              <w:rPr>
                <w:rFonts w:ascii="Times New Roman" w:eastAsia="Times New Roman" w:hAnsi="Times New Roman"/>
                <w:szCs w:val="24"/>
                <w:lang w:eastAsia="de-DE"/>
              </w:rPr>
              <w:t>. Toronto University Press.</w:t>
            </w:r>
          </w:p>
        </w:tc>
      </w:tr>
      <w:tr w:rsidR="0050473A" w:rsidRPr="0050473A" w14:paraId="756A6B68" w14:textId="77777777" w:rsidTr="0050473A">
        <w:trPr>
          <w:tblCellSpacing w:w="15" w:type="dxa"/>
        </w:trPr>
        <w:tc>
          <w:tcPr>
            <w:tcW w:w="0" w:type="auto"/>
            <w:vAlign w:val="center"/>
            <w:hideMark/>
          </w:tcPr>
          <w:p w14:paraId="5A9F58FC"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[8]</w:t>
            </w:r>
          </w:p>
        </w:tc>
        <w:tc>
          <w:tcPr>
            <w:tcW w:w="0" w:type="auto"/>
            <w:vAlign w:val="center"/>
            <w:hideMark/>
          </w:tcPr>
          <w:p w14:paraId="2E25A65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Luhmann, Niklas (1990): </w:t>
            </w:r>
            <w:r w:rsidRPr="0050473A">
              <w:rPr>
                <w:rFonts w:ascii="Times New Roman" w:eastAsia="Times New Roman" w:hAnsi="Times New Roman"/>
                <w:i/>
                <w:iCs/>
                <w:szCs w:val="24"/>
                <w:lang w:eastAsia="de-DE"/>
              </w:rPr>
              <w:t>Die Wissenschaft der Gesellschaft</w:t>
            </w:r>
            <w:r w:rsidRPr="0050473A">
              <w:rPr>
                <w:rFonts w:ascii="Times New Roman" w:eastAsia="Times New Roman" w:hAnsi="Times New Roman"/>
                <w:szCs w:val="24"/>
                <w:lang w:eastAsia="de-DE"/>
              </w:rPr>
              <w:t>. Suhrkamp.</w:t>
            </w:r>
          </w:p>
        </w:tc>
      </w:tr>
      <w:tr w:rsidR="0050473A" w:rsidRPr="0050473A" w14:paraId="6BFF1AC9" w14:textId="77777777" w:rsidTr="0050473A">
        <w:trPr>
          <w:tblCellSpacing w:w="15" w:type="dxa"/>
        </w:trPr>
        <w:tc>
          <w:tcPr>
            <w:tcW w:w="0" w:type="auto"/>
            <w:vAlign w:val="center"/>
            <w:hideMark/>
          </w:tcPr>
          <w:p w14:paraId="0EA769E6"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[9]</w:t>
            </w:r>
          </w:p>
        </w:tc>
        <w:tc>
          <w:tcPr>
            <w:tcW w:w="0" w:type="auto"/>
            <w:vAlign w:val="center"/>
            <w:hideMark/>
          </w:tcPr>
          <w:p w14:paraId="47964C6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Spencer-Brown, George (1972): </w:t>
            </w:r>
            <w:r w:rsidRPr="0050473A">
              <w:rPr>
                <w:rFonts w:ascii="Times New Roman" w:eastAsia="Times New Roman" w:hAnsi="Times New Roman"/>
                <w:i/>
                <w:iCs/>
                <w:szCs w:val="24"/>
                <w:lang w:eastAsia="de-DE"/>
              </w:rPr>
              <w:t xml:space="preserve">Laws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Form</w:t>
            </w:r>
            <w:r w:rsidRPr="0050473A">
              <w:rPr>
                <w:rFonts w:ascii="Times New Roman" w:eastAsia="Times New Roman" w:hAnsi="Times New Roman"/>
                <w:szCs w:val="24"/>
                <w:lang w:eastAsia="de-DE"/>
              </w:rPr>
              <w:t xml:space="preserve">. Allen &amp; </w:t>
            </w:r>
            <w:proofErr w:type="spellStart"/>
            <w:r w:rsidRPr="0050473A">
              <w:rPr>
                <w:rFonts w:ascii="Times New Roman" w:eastAsia="Times New Roman" w:hAnsi="Times New Roman"/>
                <w:szCs w:val="24"/>
                <w:lang w:eastAsia="de-DE"/>
              </w:rPr>
              <w:t>Unwin</w:t>
            </w:r>
            <w:proofErr w:type="spellEnd"/>
            <w:r w:rsidRPr="0050473A">
              <w:rPr>
                <w:rFonts w:ascii="Times New Roman" w:eastAsia="Times New Roman" w:hAnsi="Times New Roman"/>
                <w:szCs w:val="24"/>
                <w:lang w:eastAsia="de-DE"/>
              </w:rPr>
              <w:t>.</w:t>
            </w:r>
          </w:p>
        </w:tc>
      </w:tr>
      <w:tr w:rsidR="0050473A" w:rsidRPr="0050473A" w14:paraId="13195B64" w14:textId="77777777" w:rsidTr="0050473A">
        <w:trPr>
          <w:tblCellSpacing w:w="15" w:type="dxa"/>
        </w:trPr>
        <w:tc>
          <w:tcPr>
            <w:tcW w:w="0" w:type="auto"/>
            <w:vAlign w:val="center"/>
            <w:hideMark/>
          </w:tcPr>
          <w:p w14:paraId="34B37067"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[10]</w:t>
            </w:r>
          </w:p>
        </w:tc>
        <w:tc>
          <w:tcPr>
            <w:tcW w:w="0" w:type="auto"/>
            <w:vAlign w:val="center"/>
            <w:hideMark/>
          </w:tcPr>
          <w:p w14:paraId="62EC021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Varela, Francisco / Maturana, Humberto (1987): </w:t>
            </w:r>
            <w:r w:rsidRPr="0050473A">
              <w:rPr>
                <w:rFonts w:ascii="Times New Roman" w:eastAsia="Times New Roman" w:hAnsi="Times New Roman"/>
                <w:i/>
                <w:iCs/>
                <w:szCs w:val="24"/>
                <w:lang w:eastAsia="de-DE"/>
              </w:rPr>
              <w:t xml:space="preserve">The </w:t>
            </w:r>
            <w:proofErr w:type="spellStart"/>
            <w:r w:rsidRPr="0050473A">
              <w:rPr>
                <w:rFonts w:ascii="Times New Roman" w:eastAsia="Times New Roman" w:hAnsi="Times New Roman"/>
                <w:i/>
                <w:iCs/>
                <w:szCs w:val="24"/>
                <w:lang w:eastAsia="de-DE"/>
              </w:rPr>
              <w:t>Tree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Knowledge</w:t>
            </w:r>
            <w:r w:rsidRPr="0050473A">
              <w:rPr>
                <w:rFonts w:ascii="Times New Roman" w:eastAsia="Times New Roman" w:hAnsi="Times New Roman"/>
                <w:szCs w:val="24"/>
                <w:lang w:eastAsia="de-DE"/>
              </w:rPr>
              <w:t xml:space="preserve">. </w:t>
            </w:r>
            <w:proofErr w:type="spellStart"/>
            <w:r w:rsidRPr="0050473A">
              <w:rPr>
                <w:rFonts w:ascii="Times New Roman" w:eastAsia="Times New Roman" w:hAnsi="Times New Roman"/>
                <w:szCs w:val="24"/>
                <w:lang w:eastAsia="de-DE"/>
              </w:rPr>
              <w:t>Shambhala</w:t>
            </w:r>
            <w:proofErr w:type="spellEnd"/>
            <w:r w:rsidRPr="0050473A">
              <w:rPr>
                <w:rFonts w:ascii="Times New Roman" w:eastAsia="Times New Roman" w:hAnsi="Times New Roman"/>
                <w:szCs w:val="24"/>
                <w:lang w:eastAsia="de-DE"/>
              </w:rPr>
              <w:t>.</w:t>
            </w:r>
          </w:p>
        </w:tc>
      </w:tr>
      <w:tr w:rsidR="0050473A" w:rsidRPr="0050473A" w14:paraId="5BA7A11F" w14:textId="77777777" w:rsidTr="0050473A">
        <w:trPr>
          <w:tblCellSpacing w:w="15" w:type="dxa"/>
        </w:trPr>
        <w:tc>
          <w:tcPr>
            <w:tcW w:w="0" w:type="auto"/>
            <w:vAlign w:val="center"/>
            <w:hideMark/>
          </w:tcPr>
          <w:p w14:paraId="4ED3CACB"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[11]</w:t>
            </w:r>
          </w:p>
        </w:tc>
        <w:tc>
          <w:tcPr>
            <w:tcW w:w="0" w:type="auto"/>
            <w:vAlign w:val="center"/>
            <w:hideMark/>
          </w:tcPr>
          <w:p w14:paraId="2E17A1D1"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Rovelli</w:t>
            </w:r>
            <w:proofErr w:type="spellEnd"/>
            <w:r w:rsidRPr="0050473A">
              <w:rPr>
                <w:rFonts w:ascii="Times New Roman" w:eastAsia="Times New Roman" w:hAnsi="Times New Roman"/>
                <w:szCs w:val="24"/>
                <w:lang w:eastAsia="de-DE"/>
              </w:rPr>
              <w:t xml:space="preserve">, Carlo (2004): </w:t>
            </w:r>
            <w:r w:rsidRPr="0050473A">
              <w:rPr>
                <w:rFonts w:ascii="Times New Roman" w:eastAsia="Times New Roman" w:hAnsi="Times New Roman"/>
                <w:i/>
                <w:iCs/>
                <w:szCs w:val="24"/>
                <w:lang w:eastAsia="de-DE"/>
              </w:rPr>
              <w:t>Quantum Gravity</w:t>
            </w:r>
            <w:r w:rsidRPr="0050473A">
              <w:rPr>
                <w:rFonts w:ascii="Times New Roman" w:eastAsia="Times New Roman" w:hAnsi="Times New Roman"/>
                <w:szCs w:val="24"/>
                <w:lang w:eastAsia="de-DE"/>
              </w:rPr>
              <w:t>. Cambridge University Press.</w:t>
            </w:r>
          </w:p>
        </w:tc>
      </w:tr>
      <w:tr w:rsidR="0050473A" w:rsidRPr="0050473A" w14:paraId="1570B2C0" w14:textId="77777777" w:rsidTr="0050473A">
        <w:trPr>
          <w:tblCellSpacing w:w="15" w:type="dxa"/>
        </w:trPr>
        <w:tc>
          <w:tcPr>
            <w:tcW w:w="0" w:type="auto"/>
            <w:vAlign w:val="center"/>
            <w:hideMark/>
          </w:tcPr>
          <w:p w14:paraId="48DD0611"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[12]</w:t>
            </w:r>
          </w:p>
        </w:tc>
        <w:tc>
          <w:tcPr>
            <w:tcW w:w="0" w:type="auto"/>
            <w:vAlign w:val="center"/>
            <w:hideMark/>
          </w:tcPr>
          <w:p w14:paraId="623E91EA"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Witten, Edward (1996): </w:t>
            </w:r>
            <w:proofErr w:type="spellStart"/>
            <w:r w:rsidRPr="0050473A">
              <w:rPr>
                <w:rFonts w:ascii="Times New Roman" w:eastAsia="Times New Roman" w:hAnsi="Times New Roman"/>
                <w:i/>
                <w:iCs/>
                <w:szCs w:val="24"/>
                <w:lang w:eastAsia="de-DE"/>
              </w:rPr>
              <w:t>Reflections</w:t>
            </w:r>
            <w:proofErr w:type="spellEnd"/>
            <w:r w:rsidRPr="0050473A">
              <w:rPr>
                <w:rFonts w:ascii="Times New Roman" w:eastAsia="Times New Roman" w:hAnsi="Times New Roman"/>
                <w:i/>
                <w:iCs/>
                <w:szCs w:val="24"/>
                <w:lang w:eastAsia="de-DE"/>
              </w:rPr>
              <w:t xml:space="preserve"> on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Fate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Spacetime</w:t>
            </w:r>
            <w:proofErr w:type="spellEnd"/>
            <w:r w:rsidRPr="0050473A">
              <w:rPr>
                <w:rFonts w:ascii="Times New Roman" w:eastAsia="Times New Roman" w:hAnsi="Times New Roman"/>
                <w:szCs w:val="24"/>
                <w:lang w:eastAsia="de-DE"/>
              </w:rPr>
              <w:t>. Physics Today 49(4).</w:t>
            </w:r>
          </w:p>
        </w:tc>
      </w:tr>
      <w:tr w:rsidR="0050473A" w:rsidRPr="0050473A" w14:paraId="2BE133A2" w14:textId="77777777" w:rsidTr="0050473A">
        <w:trPr>
          <w:tblCellSpacing w:w="15" w:type="dxa"/>
        </w:trPr>
        <w:tc>
          <w:tcPr>
            <w:tcW w:w="0" w:type="auto"/>
            <w:vAlign w:val="center"/>
            <w:hideMark/>
          </w:tcPr>
          <w:p w14:paraId="1F86231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[13]</w:t>
            </w:r>
          </w:p>
        </w:tc>
        <w:tc>
          <w:tcPr>
            <w:tcW w:w="0" w:type="auto"/>
            <w:vAlign w:val="center"/>
            <w:hideMark/>
          </w:tcPr>
          <w:p w14:paraId="77FC79F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Bianchi, Eugenio / Myers, Robert C. (2014): </w:t>
            </w:r>
            <w:r w:rsidRPr="0050473A">
              <w:rPr>
                <w:rFonts w:ascii="Times New Roman" w:eastAsia="Times New Roman" w:hAnsi="Times New Roman"/>
                <w:i/>
                <w:iCs/>
                <w:szCs w:val="24"/>
                <w:lang w:eastAsia="de-DE"/>
              </w:rPr>
              <w:t xml:space="preserve">On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Architecture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Spacetime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Geometry</w:t>
            </w:r>
            <w:proofErr w:type="spellEnd"/>
            <w:r w:rsidRPr="0050473A">
              <w:rPr>
                <w:rFonts w:ascii="Times New Roman" w:eastAsia="Times New Roman" w:hAnsi="Times New Roman"/>
                <w:szCs w:val="24"/>
                <w:lang w:eastAsia="de-DE"/>
              </w:rPr>
              <w:t xml:space="preserve">. </w:t>
            </w:r>
            <w:proofErr w:type="spellStart"/>
            <w:r w:rsidRPr="0050473A">
              <w:rPr>
                <w:rFonts w:ascii="Times New Roman" w:eastAsia="Times New Roman" w:hAnsi="Times New Roman"/>
                <w:szCs w:val="24"/>
                <w:lang w:eastAsia="de-DE"/>
              </w:rPr>
              <w:t>Classical</w:t>
            </w:r>
            <w:proofErr w:type="spellEnd"/>
            <w:r w:rsidRPr="0050473A">
              <w:rPr>
                <w:rFonts w:ascii="Times New Roman" w:eastAsia="Times New Roman" w:hAnsi="Times New Roman"/>
                <w:szCs w:val="24"/>
                <w:lang w:eastAsia="de-DE"/>
              </w:rPr>
              <w:t xml:space="preserve"> and Quantum Gravity, 31(21).</w:t>
            </w:r>
          </w:p>
        </w:tc>
      </w:tr>
      <w:tr w:rsidR="0050473A" w:rsidRPr="0050473A" w14:paraId="174F0DEE" w14:textId="77777777" w:rsidTr="0050473A">
        <w:trPr>
          <w:tblCellSpacing w:w="15" w:type="dxa"/>
        </w:trPr>
        <w:tc>
          <w:tcPr>
            <w:tcW w:w="0" w:type="auto"/>
            <w:vAlign w:val="center"/>
            <w:hideMark/>
          </w:tcPr>
          <w:p w14:paraId="79869B66"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[14]</w:t>
            </w:r>
          </w:p>
        </w:tc>
        <w:tc>
          <w:tcPr>
            <w:tcW w:w="0" w:type="auto"/>
            <w:vAlign w:val="center"/>
            <w:hideMark/>
          </w:tcPr>
          <w:p w14:paraId="3C04982F"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Bitbol</w:t>
            </w:r>
            <w:proofErr w:type="spellEnd"/>
            <w:r w:rsidRPr="0050473A">
              <w:rPr>
                <w:rFonts w:ascii="Times New Roman" w:eastAsia="Times New Roman" w:hAnsi="Times New Roman"/>
                <w:szCs w:val="24"/>
                <w:lang w:eastAsia="de-DE"/>
              </w:rPr>
              <w:t xml:space="preserve">, Michel (1998): </w:t>
            </w:r>
            <w:proofErr w:type="spellStart"/>
            <w:r w:rsidRPr="0050473A">
              <w:rPr>
                <w:rFonts w:ascii="Times New Roman" w:eastAsia="Times New Roman" w:hAnsi="Times New Roman"/>
                <w:i/>
                <w:iCs/>
                <w:szCs w:val="24"/>
                <w:lang w:eastAsia="de-DE"/>
              </w:rPr>
              <w:t>Some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steps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toward</w:t>
            </w:r>
            <w:proofErr w:type="spellEnd"/>
            <w:r w:rsidRPr="0050473A">
              <w:rPr>
                <w:rFonts w:ascii="Times New Roman" w:eastAsia="Times New Roman" w:hAnsi="Times New Roman"/>
                <w:i/>
                <w:iCs/>
                <w:szCs w:val="24"/>
                <w:lang w:eastAsia="de-DE"/>
              </w:rPr>
              <w:t xml:space="preserve"> a </w:t>
            </w:r>
            <w:proofErr w:type="spellStart"/>
            <w:r w:rsidRPr="0050473A">
              <w:rPr>
                <w:rFonts w:ascii="Times New Roman" w:eastAsia="Times New Roman" w:hAnsi="Times New Roman"/>
                <w:i/>
                <w:iCs/>
                <w:szCs w:val="24"/>
                <w:lang w:eastAsia="de-DE"/>
              </w:rPr>
              <w:t>transcendental</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deduction</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quantum</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mechanics</w:t>
            </w:r>
            <w:proofErr w:type="spellEnd"/>
            <w:r w:rsidRPr="0050473A">
              <w:rPr>
                <w:rFonts w:ascii="Times New Roman" w:eastAsia="Times New Roman" w:hAnsi="Times New Roman"/>
                <w:szCs w:val="24"/>
                <w:lang w:eastAsia="de-DE"/>
              </w:rPr>
              <w:t>. Erkenntnis 48(2–3).</w:t>
            </w:r>
          </w:p>
        </w:tc>
      </w:tr>
      <w:tr w:rsidR="0050473A" w:rsidRPr="0050473A" w14:paraId="528EF39E" w14:textId="77777777" w:rsidTr="0050473A">
        <w:trPr>
          <w:tblCellSpacing w:w="15" w:type="dxa"/>
        </w:trPr>
        <w:tc>
          <w:tcPr>
            <w:tcW w:w="0" w:type="auto"/>
            <w:vAlign w:val="center"/>
            <w:hideMark/>
          </w:tcPr>
          <w:p w14:paraId="4ED6288B"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[15]</w:t>
            </w:r>
          </w:p>
        </w:tc>
        <w:tc>
          <w:tcPr>
            <w:tcW w:w="0" w:type="auto"/>
            <w:vAlign w:val="center"/>
            <w:hideMark/>
          </w:tcPr>
          <w:p w14:paraId="08DE487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Stengers, Isabelle (2005): </w:t>
            </w:r>
            <w:r w:rsidRPr="0050473A">
              <w:rPr>
                <w:rFonts w:ascii="Times New Roman" w:eastAsia="Times New Roman" w:hAnsi="Times New Roman"/>
                <w:i/>
                <w:iCs/>
                <w:szCs w:val="24"/>
                <w:lang w:eastAsia="de-DE"/>
              </w:rPr>
              <w:t xml:space="preserve">The Invention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Modern Science</w:t>
            </w:r>
            <w:r w:rsidRPr="0050473A">
              <w:rPr>
                <w:rFonts w:ascii="Times New Roman" w:eastAsia="Times New Roman" w:hAnsi="Times New Roman"/>
                <w:szCs w:val="24"/>
                <w:lang w:eastAsia="de-DE"/>
              </w:rPr>
              <w:t xml:space="preserve">. University </w:t>
            </w:r>
            <w:proofErr w:type="spellStart"/>
            <w:r w:rsidRPr="0050473A">
              <w:rPr>
                <w:rFonts w:ascii="Times New Roman" w:eastAsia="Times New Roman" w:hAnsi="Times New Roman"/>
                <w:szCs w:val="24"/>
                <w:lang w:eastAsia="de-DE"/>
              </w:rPr>
              <w:t>of</w:t>
            </w:r>
            <w:proofErr w:type="spellEnd"/>
            <w:r w:rsidRPr="0050473A">
              <w:rPr>
                <w:rFonts w:ascii="Times New Roman" w:eastAsia="Times New Roman" w:hAnsi="Times New Roman"/>
                <w:szCs w:val="24"/>
                <w:lang w:eastAsia="de-DE"/>
              </w:rPr>
              <w:t xml:space="preserve"> Minnesota Press.</w:t>
            </w:r>
          </w:p>
        </w:tc>
      </w:tr>
      <w:tr w:rsidR="0050473A" w:rsidRPr="0050473A" w14:paraId="0F66DC36" w14:textId="77777777" w:rsidTr="0050473A">
        <w:trPr>
          <w:tblCellSpacing w:w="15" w:type="dxa"/>
        </w:trPr>
        <w:tc>
          <w:tcPr>
            <w:tcW w:w="0" w:type="auto"/>
            <w:vAlign w:val="center"/>
            <w:hideMark/>
          </w:tcPr>
          <w:p w14:paraId="5124CDF0"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[16]</w:t>
            </w:r>
          </w:p>
        </w:tc>
        <w:tc>
          <w:tcPr>
            <w:tcW w:w="0" w:type="auto"/>
            <w:vAlign w:val="center"/>
            <w:hideMark/>
          </w:tcPr>
          <w:p w14:paraId="0BFD4C5A"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Thiele, Olaf (2025): </w:t>
            </w:r>
            <w:r w:rsidRPr="0050473A">
              <w:rPr>
                <w:rFonts w:ascii="Times New Roman" w:eastAsia="Times New Roman" w:hAnsi="Times New Roman"/>
                <w:i/>
                <w:iCs/>
                <w:szCs w:val="24"/>
                <w:lang w:eastAsia="de-DE"/>
              </w:rPr>
              <w:t>Iterative Konstruktion eines funktionalen Bezugssystems</w:t>
            </w:r>
            <w:r w:rsidRPr="0050473A">
              <w:rPr>
                <w:rFonts w:ascii="Times New Roman" w:eastAsia="Times New Roman" w:hAnsi="Times New Roman"/>
                <w:szCs w:val="24"/>
                <w:lang w:eastAsia="de-DE"/>
              </w:rPr>
              <w:t xml:space="preserve">. </w:t>
            </w:r>
            <w:proofErr w:type="spellStart"/>
            <w:r w:rsidRPr="0050473A">
              <w:rPr>
                <w:rFonts w:ascii="Times New Roman" w:eastAsia="Times New Roman" w:hAnsi="Times New Roman"/>
                <w:szCs w:val="24"/>
                <w:lang w:eastAsia="de-DE"/>
              </w:rPr>
              <w:t>Diss</w:t>
            </w:r>
            <w:proofErr w:type="spellEnd"/>
            <w:r w:rsidRPr="0050473A">
              <w:rPr>
                <w:rFonts w:ascii="Times New Roman" w:eastAsia="Times New Roman" w:hAnsi="Times New Roman"/>
                <w:szCs w:val="24"/>
                <w:lang w:eastAsia="de-DE"/>
              </w:rPr>
              <w:t>., Kapitel 3.</w:t>
            </w:r>
          </w:p>
        </w:tc>
      </w:tr>
      <w:tr w:rsidR="0050473A" w:rsidRPr="0050473A" w14:paraId="0CC0A3EE" w14:textId="77777777" w:rsidTr="0050473A">
        <w:trPr>
          <w:tblCellSpacing w:w="15" w:type="dxa"/>
        </w:trPr>
        <w:tc>
          <w:tcPr>
            <w:tcW w:w="0" w:type="auto"/>
            <w:vAlign w:val="center"/>
            <w:hideMark/>
          </w:tcPr>
          <w:p w14:paraId="781AA9FA"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[17]</w:t>
            </w:r>
          </w:p>
        </w:tc>
        <w:tc>
          <w:tcPr>
            <w:tcW w:w="0" w:type="auto"/>
            <w:vAlign w:val="center"/>
            <w:hideMark/>
          </w:tcPr>
          <w:p w14:paraId="31F7DC06"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Goldblatt, Robert (2006): </w:t>
            </w:r>
            <w:r w:rsidRPr="0050473A">
              <w:rPr>
                <w:rFonts w:ascii="Times New Roman" w:eastAsia="Times New Roman" w:hAnsi="Times New Roman"/>
                <w:i/>
                <w:iCs/>
                <w:szCs w:val="24"/>
                <w:lang w:eastAsia="de-DE"/>
              </w:rPr>
              <w:t xml:space="preserve">Topoi: The </w:t>
            </w:r>
            <w:proofErr w:type="spellStart"/>
            <w:r w:rsidRPr="0050473A">
              <w:rPr>
                <w:rFonts w:ascii="Times New Roman" w:eastAsia="Times New Roman" w:hAnsi="Times New Roman"/>
                <w:i/>
                <w:iCs/>
                <w:szCs w:val="24"/>
                <w:lang w:eastAsia="de-DE"/>
              </w:rPr>
              <w:t>Categorial</w:t>
            </w:r>
            <w:proofErr w:type="spellEnd"/>
            <w:r w:rsidRPr="0050473A">
              <w:rPr>
                <w:rFonts w:ascii="Times New Roman" w:eastAsia="Times New Roman" w:hAnsi="Times New Roman"/>
                <w:i/>
                <w:iCs/>
                <w:szCs w:val="24"/>
                <w:lang w:eastAsia="de-DE"/>
              </w:rPr>
              <w:t xml:space="preserve"> Analysis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Logic</w:t>
            </w:r>
            <w:proofErr w:type="spellEnd"/>
            <w:r w:rsidRPr="0050473A">
              <w:rPr>
                <w:rFonts w:ascii="Times New Roman" w:eastAsia="Times New Roman" w:hAnsi="Times New Roman"/>
                <w:szCs w:val="24"/>
                <w:lang w:eastAsia="de-DE"/>
              </w:rPr>
              <w:t>. Dover.</w:t>
            </w:r>
          </w:p>
        </w:tc>
      </w:tr>
      <w:tr w:rsidR="0050473A" w:rsidRPr="0050473A" w14:paraId="3C41A9CD" w14:textId="77777777" w:rsidTr="0050473A">
        <w:trPr>
          <w:tblCellSpacing w:w="15" w:type="dxa"/>
        </w:trPr>
        <w:tc>
          <w:tcPr>
            <w:tcW w:w="0" w:type="auto"/>
            <w:vAlign w:val="center"/>
            <w:hideMark/>
          </w:tcPr>
          <w:p w14:paraId="555D9B7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[18]</w:t>
            </w:r>
          </w:p>
        </w:tc>
        <w:tc>
          <w:tcPr>
            <w:tcW w:w="0" w:type="auto"/>
            <w:vAlign w:val="center"/>
            <w:hideMark/>
          </w:tcPr>
          <w:p w14:paraId="0321A19D"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Ortega, James M. / </w:t>
            </w:r>
            <w:proofErr w:type="spellStart"/>
            <w:r w:rsidRPr="0050473A">
              <w:rPr>
                <w:rFonts w:ascii="Times New Roman" w:eastAsia="Times New Roman" w:hAnsi="Times New Roman"/>
                <w:szCs w:val="24"/>
                <w:lang w:eastAsia="de-DE"/>
              </w:rPr>
              <w:t>Rheinboldt</w:t>
            </w:r>
            <w:proofErr w:type="spellEnd"/>
            <w:r w:rsidRPr="0050473A">
              <w:rPr>
                <w:rFonts w:ascii="Times New Roman" w:eastAsia="Times New Roman" w:hAnsi="Times New Roman"/>
                <w:szCs w:val="24"/>
                <w:lang w:eastAsia="de-DE"/>
              </w:rPr>
              <w:t xml:space="preserve">, Werner C. (2000): </w:t>
            </w:r>
            <w:r w:rsidRPr="0050473A">
              <w:rPr>
                <w:rFonts w:ascii="Times New Roman" w:eastAsia="Times New Roman" w:hAnsi="Times New Roman"/>
                <w:i/>
                <w:iCs/>
                <w:szCs w:val="24"/>
                <w:lang w:eastAsia="de-DE"/>
              </w:rPr>
              <w:t xml:space="preserve">Iterative Solution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Nonlinear</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Equations</w:t>
            </w:r>
            <w:proofErr w:type="spellEnd"/>
            <w:r w:rsidRPr="0050473A">
              <w:rPr>
                <w:rFonts w:ascii="Times New Roman" w:eastAsia="Times New Roman" w:hAnsi="Times New Roman"/>
                <w:i/>
                <w:iCs/>
                <w:szCs w:val="24"/>
                <w:lang w:eastAsia="de-DE"/>
              </w:rPr>
              <w:t xml:space="preserve"> in </w:t>
            </w:r>
            <w:proofErr w:type="spellStart"/>
            <w:r w:rsidRPr="0050473A">
              <w:rPr>
                <w:rFonts w:ascii="Times New Roman" w:eastAsia="Times New Roman" w:hAnsi="Times New Roman"/>
                <w:i/>
                <w:iCs/>
                <w:szCs w:val="24"/>
                <w:lang w:eastAsia="de-DE"/>
              </w:rPr>
              <w:t>Several</w:t>
            </w:r>
            <w:proofErr w:type="spellEnd"/>
            <w:r w:rsidRPr="0050473A">
              <w:rPr>
                <w:rFonts w:ascii="Times New Roman" w:eastAsia="Times New Roman" w:hAnsi="Times New Roman"/>
                <w:i/>
                <w:iCs/>
                <w:szCs w:val="24"/>
                <w:lang w:eastAsia="de-DE"/>
              </w:rPr>
              <w:t xml:space="preserve"> Variables</w:t>
            </w:r>
            <w:r w:rsidRPr="0050473A">
              <w:rPr>
                <w:rFonts w:ascii="Times New Roman" w:eastAsia="Times New Roman" w:hAnsi="Times New Roman"/>
                <w:szCs w:val="24"/>
                <w:lang w:eastAsia="de-DE"/>
              </w:rPr>
              <w:t>. SIAM.</w:t>
            </w:r>
          </w:p>
        </w:tc>
      </w:tr>
      <w:tr w:rsidR="0050473A" w:rsidRPr="0050473A" w14:paraId="67B24C59" w14:textId="77777777" w:rsidTr="0050473A">
        <w:trPr>
          <w:tblCellSpacing w:w="15" w:type="dxa"/>
        </w:trPr>
        <w:tc>
          <w:tcPr>
            <w:tcW w:w="0" w:type="auto"/>
            <w:vAlign w:val="center"/>
            <w:hideMark/>
          </w:tcPr>
          <w:p w14:paraId="3E1BE5EE"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[19]</w:t>
            </w:r>
          </w:p>
        </w:tc>
        <w:tc>
          <w:tcPr>
            <w:tcW w:w="0" w:type="auto"/>
            <w:vAlign w:val="center"/>
            <w:hideMark/>
          </w:tcPr>
          <w:p w14:paraId="4F50BEBE"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Troelstra</w:t>
            </w:r>
            <w:proofErr w:type="spellEnd"/>
            <w:r w:rsidRPr="0050473A">
              <w:rPr>
                <w:rFonts w:ascii="Times New Roman" w:eastAsia="Times New Roman" w:hAnsi="Times New Roman"/>
                <w:szCs w:val="24"/>
                <w:lang w:eastAsia="de-DE"/>
              </w:rPr>
              <w:t xml:space="preserve">, A. S. / van Dalen, D. (1988): </w:t>
            </w:r>
            <w:proofErr w:type="spellStart"/>
            <w:r w:rsidRPr="0050473A">
              <w:rPr>
                <w:rFonts w:ascii="Times New Roman" w:eastAsia="Times New Roman" w:hAnsi="Times New Roman"/>
                <w:i/>
                <w:iCs/>
                <w:szCs w:val="24"/>
                <w:lang w:eastAsia="de-DE"/>
              </w:rPr>
              <w:t>Constructivism</w:t>
            </w:r>
            <w:proofErr w:type="spellEnd"/>
            <w:r w:rsidRPr="0050473A">
              <w:rPr>
                <w:rFonts w:ascii="Times New Roman" w:eastAsia="Times New Roman" w:hAnsi="Times New Roman"/>
                <w:i/>
                <w:iCs/>
                <w:szCs w:val="24"/>
                <w:lang w:eastAsia="de-DE"/>
              </w:rPr>
              <w:t xml:space="preserve"> in </w:t>
            </w:r>
            <w:proofErr w:type="spellStart"/>
            <w:r w:rsidRPr="0050473A">
              <w:rPr>
                <w:rFonts w:ascii="Times New Roman" w:eastAsia="Times New Roman" w:hAnsi="Times New Roman"/>
                <w:i/>
                <w:iCs/>
                <w:szCs w:val="24"/>
                <w:lang w:eastAsia="de-DE"/>
              </w:rPr>
              <w:t>Mathematics</w:t>
            </w:r>
            <w:proofErr w:type="spellEnd"/>
            <w:r w:rsidRPr="0050473A">
              <w:rPr>
                <w:rFonts w:ascii="Times New Roman" w:eastAsia="Times New Roman" w:hAnsi="Times New Roman"/>
                <w:szCs w:val="24"/>
                <w:lang w:eastAsia="de-DE"/>
              </w:rPr>
              <w:t>. North-Holland.</w:t>
            </w:r>
          </w:p>
        </w:tc>
      </w:tr>
      <w:tr w:rsidR="0050473A" w:rsidRPr="0050473A" w14:paraId="25744E0E" w14:textId="77777777" w:rsidTr="0050473A">
        <w:trPr>
          <w:tblCellSpacing w:w="15" w:type="dxa"/>
        </w:trPr>
        <w:tc>
          <w:tcPr>
            <w:tcW w:w="0" w:type="auto"/>
            <w:vAlign w:val="center"/>
            <w:hideMark/>
          </w:tcPr>
          <w:p w14:paraId="3E27DD8E"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[20]</w:t>
            </w:r>
          </w:p>
        </w:tc>
        <w:tc>
          <w:tcPr>
            <w:tcW w:w="0" w:type="auto"/>
            <w:vAlign w:val="center"/>
            <w:hideMark/>
          </w:tcPr>
          <w:p w14:paraId="1A6B67A8"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Foerster, Heinz von (1981): </w:t>
            </w:r>
            <w:proofErr w:type="spellStart"/>
            <w:r w:rsidRPr="0050473A">
              <w:rPr>
                <w:rFonts w:ascii="Times New Roman" w:eastAsia="Times New Roman" w:hAnsi="Times New Roman"/>
                <w:i/>
                <w:iCs/>
                <w:szCs w:val="24"/>
                <w:lang w:eastAsia="de-DE"/>
              </w:rPr>
              <w:t>Cybernetics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Cybernetics</w:t>
            </w:r>
            <w:proofErr w:type="spellEnd"/>
            <w:r w:rsidRPr="0050473A">
              <w:rPr>
                <w:rFonts w:ascii="Times New Roman" w:eastAsia="Times New Roman" w:hAnsi="Times New Roman"/>
                <w:szCs w:val="24"/>
                <w:lang w:eastAsia="de-DE"/>
              </w:rPr>
              <w:t xml:space="preserve">. In: </w:t>
            </w:r>
            <w:r w:rsidRPr="0050473A">
              <w:rPr>
                <w:rFonts w:ascii="Times New Roman" w:eastAsia="Times New Roman" w:hAnsi="Times New Roman"/>
                <w:i/>
                <w:iCs/>
                <w:szCs w:val="24"/>
                <w:lang w:eastAsia="de-DE"/>
              </w:rPr>
              <w:t xml:space="preserve">Understanding </w:t>
            </w:r>
            <w:proofErr w:type="spellStart"/>
            <w:r w:rsidRPr="0050473A">
              <w:rPr>
                <w:rFonts w:ascii="Times New Roman" w:eastAsia="Times New Roman" w:hAnsi="Times New Roman"/>
                <w:i/>
                <w:iCs/>
                <w:szCs w:val="24"/>
                <w:lang w:eastAsia="de-DE"/>
              </w:rPr>
              <w:t>Understanding</w:t>
            </w:r>
            <w:proofErr w:type="spellEnd"/>
            <w:r w:rsidRPr="0050473A">
              <w:rPr>
                <w:rFonts w:ascii="Times New Roman" w:eastAsia="Times New Roman" w:hAnsi="Times New Roman"/>
                <w:szCs w:val="24"/>
                <w:lang w:eastAsia="de-DE"/>
              </w:rPr>
              <w:t>.</w:t>
            </w:r>
          </w:p>
        </w:tc>
      </w:tr>
      <w:tr w:rsidR="0050473A" w:rsidRPr="0050473A" w14:paraId="30B8EC1C" w14:textId="77777777" w:rsidTr="0050473A">
        <w:trPr>
          <w:tblCellSpacing w:w="15" w:type="dxa"/>
        </w:trPr>
        <w:tc>
          <w:tcPr>
            <w:tcW w:w="0" w:type="auto"/>
            <w:vAlign w:val="center"/>
            <w:hideMark/>
          </w:tcPr>
          <w:p w14:paraId="79E34780"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[21]</w:t>
            </w:r>
          </w:p>
        </w:tc>
        <w:tc>
          <w:tcPr>
            <w:tcW w:w="0" w:type="auto"/>
            <w:vAlign w:val="center"/>
            <w:hideMark/>
          </w:tcPr>
          <w:p w14:paraId="1F3AE03B"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Luhmann, Niklas (1997): </w:t>
            </w:r>
            <w:r w:rsidRPr="0050473A">
              <w:rPr>
                <w:rFonts w:ascii="Times New Roman" w:eastAsia="Times New Roman" w:hAnsi="Times New Roman"/>
                <w:i/>
                <w:iCs/>
                <w:szCs w:val="24"/>
                <w:lang w:eastAsia="de-DE"/>
              </w:rPr>
              <w:t>Die Gesellschaft der Gesellschaft</w:t>
            </w:r>
            <w:r w:rsidRPr="0050473A">
              <w:rPr>
                <w:rFonts w:ascii="Times New Roman" w:eastAsia="Times New Roman" w:hAnsi="Times New Roman"/>
                <w:szCs w:val="24"/>
                <w:lang w:eastAsia="de-DE"/>
              </w:rPr>
              <w:t>. Suhrkamp.</w:t>
            </w:r>
          </w:p>
        </w:tc>
      </w:tr>
      <w:tr w:rsidR="0050473A" w:rsidRPr="0050473A" w14:paraId="001FDD66" w14:textId="77777777" w:rsidTr="0050473A">
        <w:trPr>
          <w:tblCellSpacing w:w="15" w:type="dxa"/>
        </w:trPr>
        <w:tc>
          <w:tcPr>
            <w:tcW w:w="0" w:type="auto"/>
            <w:vAlign w:val="center"/>
            <w:hideMark/>
          </w:tcPr>
          <w:p w14:paraId="4146BC3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[22]</w:t>
            </w:r>
          </w:p>
        </w:tc>
        <w:tc>
          <w:tcPr>
            <w:tcW w:w="0" w:type="auto"/>
            <w:vAlign w:val="center"/>
            <w:hideMark/>
          </w:tcPr>
          <w:p w14:paraId="51B0A111"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Barwise</w:t>
            </w:r>
            <w:proofErr w:type="spellEnd"/>
            <w:r w:rsidRPr="0050473A">
              <w:rPr>
                <w:rFonts w:ascii="Times New Roman" w:eastAsia="Times New Roman" w:hAnsi="Times New Roman"/>
                <w:szCs w:val="24"/>
                <w:lang w:eastAsia="de-DE"/>
              </w:rPr>
              <w:t xml:space="preserve">, Jon / Perry, John (1983): </w:t>
            </w:r>
            <w:proofErr w:type="spellStart"/>
            <w:r w:rsidRPr="0050473A">
              <w:rPr>
                <w:rFonts w:ascii="Times New Roman" w:eastAsia="Times New Roman" w:hAnsi="Times New Roman"/>
                <w:i/>
                <w:iCs/>
                <w:szCs w:val="24"/>
                <w:lang w:eastAsia="de-DE"/>
              </w:rPr>
              <w:t>Situations</w:t>
            </w:r>
            <w:proofErr w:type="spellEnd"/>
            <w:r w:rsidRPr="0050473A">
              <w:rPr>
                <w:rFonts w:ascii="Times New Roman" w:eastAsia="Times New Roman" w:hAnsi="Times New Roman"/>
                <w:i/>
                <w:iCs/>
                <w:szCs w:val="24"/>
                <w:lang w:eastAsia="de-DE"/>
              </w:rPr>
              <w:t xml:space="preserve"> and </w:t>
            </w:r>
            <w:proofErr w:type="spellStart"/>
            <w:r w:rsidRPr="0050473A">
              <w:rPr>
                <w:rFonts w:ascii="Times New Roman" w:eastAsia="Times New Roman" w:hAnsi="Times New Roman"/>
                <w:i/>
                <w:iCs/>
                <w:szCs w:val="24"/>
                <w:lang w:eastAsia="de-DE"/>
              </w:rPr>
              <w:t>Attitudes</w:t>
            </w:r>
            <w:proofErr w:type="spellEnd"/>
            <w:r w:rsidRPr="0050473A">
              <w:rPr>
                <w:rFonts w:ascii="Times New Roman" w:eastAsia="Times New Roman" w:hAnsi="Times New Roman"/>
                <w:szCs w:val="24"/>
                <w:lang w:eastAsia="de-DE"/>
              </w:rPr>
              <w:t>. MIT Press.</w:t>
            </w:r>
          </w:p>
        </w:tc>
      </w:tr>
      <w:tr w:rsidR="0050473A" w:rsidRPr="0050473A" w14:paraId="151859DC" w14:textId="77777777" w:rsidTr="0050473A">
        <w:trPr>
          <w:tblCellSpacing w:w="15" w:type="dxa"/>
        </w:trPr>
        <w:tc>
          <w:tcPr>
            <w:tcW w:w="0" w:type="auto"/>
            <w:vAlign w:val="center"/>
            <w:hideMark/>
          </w:tcPr>
          <w:p w14:paraId="617D4BD3"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[23]</w:t>
            </w:r>
          </w:p>
        </w:tc>
        <w:tc>
          <w:tcPr>
            <w:tcW w:w="0" w:type="auto"/>
            <w:vAlign w:val="center"/>
            <w:hideMark/>
          </w:tcPr>
          <w:p w14:paraId="1ED2B938"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Nicolis, Gregoire / Prigogine, Ilya (1977): </w:t>
            </w:r>
            <w:r w:rsidRPr="0050473A">
              <w:rPr>
                <w:rFonts w:ascii="Times New Roman" w:eastAsia="Times New Roman" w:hAnsi="Times New Roman"/>
                <w:i/>
                <w:iCs/>
                <w:szCs w:val="24"/>
                <w:lang w:eastAsia="de-DE"/>
              </w:rPr>
              <w:t>Self-</w:t>
            </w:r>
            <w:proofErr w:type="spellStart"/>
            <w:r w:rsidRPr="0050473A">
              <w:rPr>
                <w:rFonts w:ascii="Times New Roman" w:eastAsia="Times New Roman" w:hAnsi="Times New Roman"/>
                <w:i/>
                <w:iCs/>
                <w:szCs w:val="24"/>
                <w:lang w:eastAsia="de-DE"/>
              </w:rPr>
              <w:t>Organization</w:t>
            </w:r>
            <w:proofErr w:type="spellEnd"/>
            <w:r w:rsidRPr="0050473A">
              <w:rPr>
                <w:rFonts w:ascii="Times New Roman" w:eastAsia="Times New Roman" w:hAnsi="Times New Roman"/>
                <w:i/>
                <w:iCs/>
                <w:szCs w:val="24"/>
                <w:lang w:eastAsia="de-DE"/>
              </w:rPr>
              <w:t xml:space="preserve"> in </w:t>
            </w:r>
            <w:proofErr w:type="spellStart"/>
            <w:r w:rsidRPr="0050473A">
              <w:rPr>
                <w:rFonts w:ascii="Times New Roman" w:eastAsia="Times New Roman" w:hAnsi="Times New Roman"/>
                <w:i/>
                <w:iCs/>
                <w:szCs w:val="24"/>
                <w:lang w:eastAsia="de-DE"/>
              </w:rPr>
              <w:t>Nonequilibrium</w:t>
            </w:r>
            <w:proofErr w:type="spellEnd"/>
            <w:r w:rsidRPr="0050473A">
              <w:rPr>
                <w:rFonts w:ascii="Times New Roman" w:eastAsia="Times New Roman" w:hAnsi="Times New Roman"/>
                <w:i/>
                <w:iCs/>
                <w:szCs w:val="24"/>
                <w:lang w:eastAsia="de-DE"/>
              </w:rPr>
              <w:t xml:space="preserve"> Systems</w:t>
            </w:r>
            <w:r w:rsidRPr="0050473A">
              <w:rPr>
                <w:rFonts w:ascii="Times New Roman" w:eastAsia="Times New Roman" w:hAnsi="Times New Roman"/>
                <w:szCs w:val="24"/>
                <w:lang w:eastAsia="de-DE"/>
              </w:rPr>
              <w:t>. Wiley.</w:t>
            </w:r>
          </w:p>
        </w:tc>
      </w:tr>
      <w:tr w:rsidR="0050473A" w:rsidRPr="0050473A" w14:paraId="229F4EFC" w14:textId="77777777" w:rsidTr="0050473A">
        <w:trPr>
          <w:tblCellSpacing w:w="15" w:type="dxa"/>
        </w:trPr>
        <w:tc>
          <w:tcPr>
            <w:tcW w:w="0" w:type="auto"/>
            <w:vAlign w:val="center"/>
            <w:hideMark/>
          </w:tcPr>
          <w:p w14:paraId="623C0F75"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[24]</w:t>
            </w:r>
          </w:p>
        </w:tc>
        <w:tc>
          <w:tcPr>
            <w:tcW w:w="0" w:type="auto"/>
            <w:vAlign w:val="center"/>
            <w:hideMark/>
          </w:tcPr>
          <w:p w14:paraId="3529E0BC"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Baecker, Dirk (1999): </w:t>
            </w:r>
            <w:r w:rsidRPr="0050473A">
              <w:rPr>
                <w:rFonts w:ascii="Times New Roman" w:eastAsia="Times New Roman" w:hAnsi="Times New Roman"/>
                <w:i/>
                <w:iCs/>
                <w:szCs w:val="24"/>
                <w:lang w:eastAsia="de-DE"/>
              </w:rPr>
              <w:t>Beobachter unter sich. Eine Kulturtheorie</w:t>
            </w:r>
            <w:r w:rsidRPr="0050473A">
              <w:rPr>
                <w:rFonts w:ascii="Times New Roman" w:eastAsia="Times New Roman" w:hAnsi="Times New Roman"/>
                <w:szCs w:val="24"/>
                <w:lang w:eastAsia="de-DE"/>
              </w:rPr>
              <w:t>. Suhrkamp.</w:t>
            </w:r>
          </w:p>
        </w:tc>
      </w:tr>
      <w:tr w:rsidR="0050473A" w:rsidRPr="0050473A" w14:paraId="62D1C3A1" w14:textId="77777777" w:rsidTr="0050473A">
        <w:trPr>
          <w:tblCellSpacing w:w="15" w:type="dxa"/>
        </w:trPr>
        <w:tc>
          <w:tcPr>
            <w:tcW w:w="0" w:type="auto"/>
            <w:vAlign w:val="center"/>
            <w:hideMark/>
          </w:tcPr>
          <w:p w14:paraId="54A5E65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[25]</w:t>
            </w:r>
          </w:p>
        </w:tc>
        <w:tc>
          <w:tcPr>
            <w:tcW w:w="0" w:type="auto"/>
            <w:vAlign w:val="center"/>
            <w:hideMark/>
          </w:tcPr>
          <w:p w14:paraId="7B82C523"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Hofstadter, Douglas R. (1979): </w:t>
            </w:r>
            <w:r w:rsidRPr="0050473A">
              <w:rPr>
                <w:rFonts w:ascii="Times New Roman" w:eastAsia="Times New Roman" w:hAnsi="Times New Roman"/>
                <w:i/>
                <w:iCs/>
                <w:szCs w:val="24"/>
                <w:lang w:eastAsia="de-DE"/>
              </w:rPr>
              <w:t xml:space="preserve">Gödel, Escher, Bach: An </w:t>
            </w:r>
            <w:proofErr w:type="spellStart"/>
            <w:r w:rsidRPr="0050473A">
              <w:rPr>
                <w:rFonts w:ascii="Times New Roman" w:eastAsia="Times New Roman" w:hAnsi="Times New Roman"/>
                <w:i/>
                <w:iCs/>
                <w:szCs w:val="24"/>
                <w:lang w:eastAsia="de-DE"/>
              </w:rPr>
              <w:t>Eternal</w:t>
            </w:r>
            <w:proofErr w:type="spellEnd"/>
            <w:r w:rsidRPr="0050473A">
              <w:rPr>
                <w:rFonts w:ascii="Times New Roman" w:eastAsia="Times New Roman" w:hAnsi="Times New Roman"/>
                <w:i/>
                <w:iCs/>
                <w:szCs w:val="24"/>
                <w:lang w:eastAsia="de-DE"/>
              </w:rPr>
              <w:t xml:space="preserve"> Golden </w:t>
            </w:r>
            <w:proofErr w:type="spellStart"/>
            <w:r w:rsidRPr="0050473A">
              <w:rPr>
                <w:rFonts w:ascii="Times New Roman" w:eastAsia="Times New Roman" w:hAnsi="Times New Roman"/>
                <w:i/>
                <w:iCs/>
                <w:szCs w:val="24"/>
                <w:lang w:eastAsia="de-DE"/>
              </w:rPr>
              <w:t>Braid</w:t>
            </w:r>
            <w:proofErr w:type="spellEnd"/>
            <w:r w:rsidRPr="0050473A">
              <w:rPr>
                <w:rFonts w:ascii="Times New Roman" w:eastAsia="Times New Roman" w:hAnsi="Times New Roman"/>
                <w:szCs w:val="24"/>
                <w:lang w:eastAsia="de-DE"/>
              </w:rPr>
              <w:t>. Basic Books.</w:t>
            </w:r>
          </w:p>
        </w:tc>
      </w:tr>
      <w:tr w:rsidR="0050473A" w:rsidRPr="0050473A" w14:paraId="62C9EBD3" w14:textId="77777777" w:rsidTr="0050473A">
        <w:trPr>
          <w:tblCellSpacing w:w="15" w:type="dxa"/>
        </w:trPr>
        <w:tc>
          <w:tcPr>
            <w:tcW w:w="0" w:type="auto"/>
            <w:vAlign w:val="center"/>
            <w:hideMark/>
          </w:tcPr>
          <w:p w14:paraId="244AD15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[26]</w:t>
            </w:r>
          </w:p>
        </w:tc>
        <w:tc>
          <w:tcPr>
            <w:tcW w:w="0" w:type="auto"/>
            <w:vAlign w:val="center"/>
            <w:hideMark/>
          </w:tcPr>
          <w:p w14:paraId="654D552F"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Barwise</w:t>
            </w:r>
            <w:proofErr w:type="spellEnd"/>
            <w:r w:rsidRPr="0050473A">
              <w:rPr>
                <w:rFonts w:ascii="Times New Roman" w:eastAsia="Times New Roman" w:hAnsi="Times New Roman"/>
                <w:szCs w:val="24"/>
                <w:lang w:eastAsia="de-DE"/>
              </w:rPr>
              <w:t xml:space="preserve">, Jon / Moss, Lawrence (1996): </w:t>
            </w:r>
            <w:proofErr w:type="spellStart"/>
            <w:r w:rsidRPr="0050473A">
              <w:rPr>
                <w:rFonts w:ascii="Times New Roman" w:eastAsia="Times New Roman" w:hAnsi="Times New Roman"/>
                <w:i/>
                <w:iCs/>
                <w:szCs w:val="24"/>
                <w:lang w:eastAsia="de-DE"/>
              </w:rPr>
              <w:t>Vicious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Circles</w:t>
            </w:r>
            <w:proofErr w:type="spellEnd"/>
            <w:r w:rsidRPr="0050473A">
              <w:rPr>
                <w:rFonts w:ascii="Times New Roman" w:eastAsia="Times New Roman" w:hAnsi="Times New Roman"/>
                <w:i/>
                <w:iCs/>
                <w:szCs w:val="24"/>
                <w:lang w:eastAsia="de-DE"/>
              </w:rPr>
              <w:t xml:space="preserve">: On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Mathematics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Non-</w:t>
            </w:r>
            <w:proofErr w:type="spellStart"/>
            <w:r w:rsidRPr="0050473A">
              <w:rPr>
                <w:rFonts w:ascii="Times New Roman" w:eastAsia="Times New Roman" w:hAnsi="Times New Roman"/>
                <w:i/>
                <w:iCs/>
                <w:szCs w:val="24"/>
                <w:lang w:eastAsia="de-DE"/>
              </w:rPr>
              <w:t>Wellfounded</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Phenomena</w:t>
            </w:r>
            <w:proofErr w:type="spellEnd"/>
            <w:r w:rsidRPr="0050473A">
              <w:rPr>
                <w:rFonts w:ascii="Times New Roman" w:eastAsia="Times New Roman" w:hAnsi="Times New Roman"/>
                <w:szCs w:val="24"/>
                <w:lang w:eastAsia="de-DE"/>
              </w:rPr>
              <w:t>. CSLI.</w:t>
            </w:r>
          </w:p>
        </w:tc>
      </w:tr>
      <w:tr w:rsidR="0050473A" w:rsidRPr="0050473A" w14:paraId="03716FD9" w14:textId="77777777" w:rsidTr="0050473A">
        <w:trPr>
          <w:tblCellSpacing w:w="15" w:type="dxa"/>
        </w:trPr>
        <w:tc>
          <w:tcPr>
            <w:tcW w:w="0" w:type="auto"/>
            <w:vAlign w:val="center"/>
            <w:hideMark/>
          </w:tcPr>
          <w:p w14:paraId="7768F23D"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[27]</w:t>
            </w:r>
          </w:p>
        </w:tc>
        <w:tc>
          <w:tcPr>
            <w:tcW w:w="0" w:type="auto"/>
            <w:vAlign w:val="center"/>
            <w:hideMark/>
          </w:tcPr>
          <w:p w14:paraId="10220047"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Luhmann, Niklas (1984): </w:t>
            </w:r>
            <w:r w:rsidRPr="0050473A">
              <w:rPr>
                <w:rFonts w:ascii="Times New Roman" w:eastAsia="Times New Roman" w:hAnsi="Times New Roman"/>
                <w:i/>
                <w:iCs/>
                <w:szCs w:val="24"/>
                <w:lang w:eastAsia="de-DE"/>
              </w:rPr>
              <w:t>Soziale Systeme</w:t>
            </w:r>
            <w:r w:rsidRPr="0050473A">
              <w:rPr>
                <w:rFonts w:ascii="Times New Roman" w:eastAsia="Times New Roman" w:hAnsi="Times New Roman"/>
                <w:szCs w:val="24"/>
                <w:lang w:eastAsia="de-DE"/>
              </w:rPr>
              <w:t>. Suhrkamp.</w:t>
            </w:r>
          </w:p>
        </w:tc>
      </w:tr>
      <w:tr w:rsidR="0050473A" w:rsidRPr="0050473A" w14:paraId="57379A74" w14:textId="77777777" w:rsidTr="0050473A">
        <w:trPr>
          <w:tblCellSpacing w:w="15" w:type="dxa"/>
        </w:trPr>
        <w:tc>
          <w:tcPr>
            <w:tcW w:w="0" w:type="auto"/>
            <w:vAlign w:val="center"/>
            <w:hideMark/>
          </w:tcPr>
          <w:p w14:paraId="31DC995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[28]</w:t>
            </w:r>
          </w:p>
        </w:tc>
        <w:tc>
          <w:tcPr>
            <w:tcW w:w="0" w:type="auto"/>
            <w:vAlign w:val="center"/>
            <w:hideMark/>
          </w:tcPr>
          <w:p w14:paraId="76F2AF2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Wheeler, John Archibald (1983): </w:t>
            </w:r>
            <w:r w:rsidRPr="0050473A">
              <w:rPr>
                <w:rFonts w:ascii="Times New Roman" w:eastAsia="Times New Roman" w:hAnsi="Times New Roman"/>
                <w:i/>
                <w:iCs/>
                <w:szCs w:val="24"/>
                <w:lang w:eastAsia="de-DE"/>
              </w:rPr>
              <w:t xml:space="preserve">Law </w:t>
            </w:r>
            <w:proofErr w:type="spellStart"/>
            <w:r w:rsidRPr="0050473A">
              <w:rPr>
                <w:rFonts w:ascii="Times New Roman" w:eastAsia="Times New Roman" w:hAnsi="Times New Roman"/>
                <w:i/>
                <w:iCs/>
                <w:szCs w:val="24"/>
                <w:lang w:eastAsia="de-DE"/>
              </w:rPr>
              <w:t>Without</w:t>
            </w:r>
            <w:proofErr w:type="spellEnd"/>
            <w:r w:rsidRPr="0050473A">
              <w:rPr>
                <w:rFonts w:ascii="Times New Roman" w:eastAsia="Times New Roman" w:hAnsi="Times New Roman"/>
                <w:i/>
                <w:iCs/>
                <w:szCs w:val="24"/>
                <w:lang w:eastAsia="de-DE"/>
              </w:rPr>
              <w:t xml:space="preserve"> Law</w:t>
            </w:r>
            <w:r w:rsidRPr="0050473A">
              <w:rPr>
                <w:rFonts w:ascii="Times New Roman" w:eastAsia="Times New Roman" w:hAnsi="Times New Roman"/>
                <w:szCs w:val="24"/>
                <w:lang w:eastAsia="de-DE"/>
              </w:rPr>
              <w:t xml:space="preserve">. In: </w:t>
            </w:r>
            <w:r w:rsidRPr="0050473A">
              <w:rPr>
                <w:rFonts w:ascii="Times New Roman" w:eastAsia="Times New Roman" w:hAnsi="Times New Roman"/>
                <w:i/>
                <w:iCs/>
                <w:szCs w:val="24"/>
                <w:lang w:eastAsia="de-DE"/>
              </w:rPr>
              <w:t>Quantum Theory and Measurement</w:t>
            </w:r>
            <w:r w:rsidRPr="0050473A">
              <w:rPr>
                <w:rFonts w:ascii="Times New Roman" w:eastAsia="Times New Roman" w:hAnsi="Times New Roman"/>
                <w:szCs w:val="24"/>
                <w:lang w:eastAsia="de-DE"/>
              </w:rPr>
              <w:t xml:space="preserve">, </w:t>
            </w:r>
            <w:proofErr w:type="spellStart"/>
            <w:r w:rsidRPr="0050473A">
              <w:rPr>
                <w:rFonts w:ascii="Times New Roman" w:eastAsia="Times New Roman" w:hAnsi="Times New Roman"/>
                <w:szCs w:val="24"/>
                <w:lang w:eastAsia="de-DE"/>
              </w:rPr>
              <w:t>ed</w:t>
            </w:r>
            <w:proofErr w:type="spellEnd"/>
            <w:r w:rsidRPr="0050473A">
              <w:rPr>
                <w:rFonts w:ascii="Times New Roman" w:eastAsia="Times New Roman" w:hAnsi="Times New Roman"/>
                <w:szCs w:val="24"/>
                <w:lang w:eastAsia="de-DE"/>
              </w:rPr>
              <w:t>. J.A. Wheeler &amp; W.H. Zurek. Princeton University Press.</w:t>
            </w:r>
          </w:p>
        </w:tc>
      </w:tr>
      <w:tr w:rsidR="0050473A" w:rsidRPr="0050473A" w14:paraId="1E3BD0A6" w14:textId="77777777" w:rsidTr="0050473A">
        <w:trPr>
          <w:tblCellSpacing w:w="15" w:type="dxa"/>
        </w:trPr>
        <w:tc>
          <w:tcPr>
            <w:tcW w:w="0" w:type="auto"/>
            <w:vAlign w:val="center"/>
            <w:hideMark/>
          </w:tcPr>
          <w:p w14:paraId="0B2D4210"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[29]</w:t>
            </w:r>
          </w:p>
        </w:tc>
        <w:tc>
          <w:tcPr>
            <w:tcW w:w="0" w:type="auto"/>
            <w:vAlign w:val="center"/>
            <w:hideMark/>
          </w:tcPr>
          <w:p w14:paraId="624C253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Norton, John D. (2007): </w:t>
            </w:r>
            <w:proofErr w:type="spellStart"/>
            <w:r w:rsidRPr="0050473A">
              <w:rPr>
                <w:rFonts w:ascii="Times New Roman" w:eastAsia="Times New Roman" w:hAnsi="Times New Roman"/>
                <w:i/>
                <w:iCs/>
                <w:szCs w:val="24"/>
                <w:lang w:eastAsia="de-DE"/>
              </w:rPr>
              <w:t>Causation</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as</w:t>
            </w:r>
            <w:proofErr w:type="spellEnd"/>
            <w:r w:rsidRPr="0050473A">
              <w:rPr>
                <w:rFonts w:ascii="Times New Roman" w:eastAsia="Times New Roman" w:hAnsi="Times New Roman"/>
                <w:i/>
                <w:iCs/>
                <w:szCs w:val="24"/>
                <w:lang w:eastAsia="de-DE"/>
              </w:rPr>
              <w:t xml:space="preserve"> Folk Science</w:t>
            </w:r>
            <w:r w:rsidRPr="0050473A">
              <w:rPr>
                <w:rFonts w:ascii="Times New Roman" w:eastAsia="Times New Roman" w:hAnsi="Times New Roman"/>
                <w:szCs w:val="24"/>
                <w:lang w:eastAsia="de-DE"/>
              </w:rPr>
              <w:t xml:space="preserve">. In: Price, H. &amp; Corry, R. (Hrsg.): </w:t>
            </w:r>
            <w:proofErr w:type="spellStart"/>
            <w:r w:rsidRPr="0050473A">
              <w:rPr>
                <w:rFonts w:ascii="Times New Roman" w:eastAsia="Times New Roman" w:hAnsi="Times New Roman"/>
                <w:i/>
                <w:iCs/>
                <w:szCs w:val="24"/>
                <w:lang w:eastAsia="de-DE"/>
              </w:rPr>
              <w:t>Causation</w:t>
            </w:r>
            <w:proofErr w:type="spellEnd"/>
            <w:r w:rsidRPr="0050473A">
              <w:rPr>
                <w:rFonts w:ascii="Times New Roman" w:eastAsia="Times New Roman" w:hAnsi="Times New Roman"/>
                <w:i/>
                <w:iCs/>
                <w:szCs w:val="24"/>
                <w:lang w:eastAsia="de-DE"/>
              </w:rPr>
              <w:t xml:space="preserve">, Physics, and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Constitution</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Reality</w:t>
            </w:r>
            <w:r w:rsidRPr="0050473A">
              <w:rPr>
                <w:rFonts w:ascii="Times New Roman" w:eastAsia="Times New Roman" w:hAnsi="Times New Roman"/>
                <w:szCs w:val="24"/>
                <w:lang w:eastAsia="de-DE"/>
              </w:rPr>
              <w:t>. Oxford University Press.</w:t>
            </w:r>
          </w:p>
        </w:tc>
      </w:tr>
      <w:tr w:rsidR="0050473A" w:rsidRPr="0050473A" w14:paraId="2A9BE561" w14:textId="77777777" w:rsidTr="0050473A">
        <w:trPr>
          <w:tblCellSpacing w:w="15" w:type="dxa"/>
        </w:trPr>
        <w:tc>
          <w:tcPr>
            <w:tcW w:w="0" w:type="auto"/>
            <w:vAlign w:val="center"/>
            <w:hideMark/>
          </w:tcPr>
          <w:p w14:paraId="77C02FD7"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[30]</w:t>
            </w:r>
          </w:p>
        </w:tc>
        <w:tc>
          <w:tcPr>
            <w:tcW w:w="0" w:type="auto"/>
            <w:vAlign w:val="center"/>
            <w:hideMark/>
          </w:tcPr>
          <w:p w14:paraId="22F84C82"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Lanczos</w:t>
            </w:r>
            <w:proofErr w:type="spellEnd"/>
            <w:r w:rsidRPr="0050473A">
              <w:rPr>
                <w:rFonts w:ascii="Times New Roman" w:eastAsia="Times New Roman" w:hAnsi="Times New Roman"/>
                <w:szCs w:val="24"/>
                <w:lang w:eastAsia="de-DE"/>
              </w:rPr>
              <w:t xml:space="preserve">, Cornelius (1986): </w:t>
            </w:r>
            <w:r w:rsidRPr="0050473A">
              <w:rPr>
                <w:rFonts w:ascii="Times New Roman" w:eastAsia="Times New Roman" w:hAnsi="Times New Roman"/>
                <w:i/>
                <w:iCs/>
                <w:szCs w:val="24"/>
                <w:lang w:eastAsia="de-DE"/>
              </w:rPr>
              <w:t xml:space="preserve">The </w:t>
            </w:r>
            <w:proofErr w:type="spellStart"/>
            <w:r w:rsidRPr="0050473A">
              <w:rPr>
                <w:rFonts w:ascii="Times New Roman" w:eastAsia="Times New Roman" w:hAnsi="Times New Roman"/>
                <w:i/>
                <w:iCs/>
                <w:szCs w:val="24"/>
                <w:lang w:eastAsia="de-DE"/>
              </w:rPr>
              <w:t>Variational</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Principles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Mechanics</w:t>
            </w:r>
            <w:proofErr w:type="spellEnd"/>
            <w:r w:rsidRPr="0050473A">
              <w:rPr>
                <w:rFonts w:ascii="Times New Roman" w:eastAsia="Times New Roman" w:hAnsi="Times New Roman"/>
                <w:szCs w:val="24"/>
                <w:lang w:eastAsia="de-DE"/>
              </w:rPr>
              <w:t>. Dover.</w:t>
            </w:r>
          </w:p>
        </w:tc>
      </w:tr>
      <w:tr w:rsidR="0050473A" w:rsidRPr="0050473A" w14:paraId="7A10594C" w14:textId="77777777" w:rsidTr="0050473A">
        <w:trPr>
          <w:tblCellSpacing w:w="15" w:type="dxa"/>
        </w:trPr>
        <w:tc>
          <w:tcPr>
            <w:tcW w:w="0" w:type="auto"/>
            <w:vAlign w:val="center"/>
            <w:hideMark/>
          </w:tcPr>
          <w:p w14:paraId="39BB7F06"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[31]</w:t>
            </w:r>
          </w:p>
        </w:tc>
        <w:tc>
          <w:tcPr>
            <w:tcW w:w="0" w:type="auto"/>
            <w:vAlign w:val="center"/>
            <w:hideMark/>
          </w:tcPr>
          <w:p w14:paraId="6904D947"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Noether, Emmy (1918): </w:t>
            </w:r>
            <w:r w:rsidRPr="0050473A">
              <w:rPr>
                <w:rFonts w:ascii="Times New Roman" w:eastAsia="Times New Roman" w:hAnsi="Times New Roman"/>
                <w:i/>
                <w:iCs/>
                <w:szCs w:val="24"/>
                <w:lang w:eastAsia="de-DE"/>
              </w:rPr>
              <w:t>Invariante Variationsprobleme</w:t>
            </w:r>
            <w:r w:rsidRPr="0050473A">
              <w:rPr>
                <w:rFonts w:ascii="Times New Roman" w:eastAsia="Times New Roman" w:hAnsi="Times New Roman"/>
                <w:szCs w:val="24"/>
                <w:lang w:eastAsia="de-DE"/>
              </w:rPr>
              <w:t>. Nachrichten der Königlichen Gesellschaft der Wissenschaften zu Göttingen.</w:t>
            </w:r>
          </w:p>
        </w:tc>
      </w:tr>
      <w:tr w:rsidR="0050473A" w:rsidRPr="0050473A" w14:paraId="521E2AAE" w14:textId="77777777" w:rsidTr="0050473A">
        <w:trPr>
          <w:tblCellSpacing w:w="15" w:type="dxa"/>
        </w:trPr>
        <w:tc>
          <w:tcPr>
            <w:tcW w:w="0" w:type="auto"/>
            <w:vAlign w:val="center"/>
            <w:hideMark/>
          </w:tcPr>
          <w:p w14:paraId="603EB703"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[32]</w:t>
            </w:r>
          </w:p>
        </w:tc>
        <w:tc>
          <w:tcPr>
            <w:tcW w:w="0" w:type="auto"/>
            <w:vAlign w:val="center"/>
            <w:hideMark/>
          </w:tcPr>
          <w:p w14:paraId="60FFD86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Weinberg, Steven (1995): </w:t>
            </w:r>
            <w:r w:rsidRPr="0050473A">
              <w:rPr>
                <w:rFonts w:ascii="Times New Roman" w:eastAsia="Times New Roman" w:hAnsi="Times New Roman"/>
                <w:i/>
                <w:iCs/>
                <w:szCs w:val="24"/>
                <w:lang w:eastAsia="de-DE"/>
              </w:rPr>
              <w:t xml:space="preserve">The Quantum Theory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Fields</w:t>
            </w:r>
            <w:r w:rsidRPr="0050473A">
              <w:rPr>
                <w:rFonts w:ascii="Times New Roman" w:eastAsia="Times New Roman" w:hAnsi="Times New Roman"/>
                <w:szCs w:val="24"/>
                <w:lang w:eastAsia="de-DE"/>
              </w:rPr>
              <w:t>. Cambridge University Press.</w:t>
            </w:r>
          </w:p>
        </w:tc>
      </w:tr>
      <w:tr w:rsidR="0050473A" w:rsidRPr="0050473A" w14:paraId="31905F2F" w14:textId="77777777" w:rsidTr="0050473A">
        <w:trPr>
          <w:tblCellSpacing w:w="15" w:type="dxa"/>
        </w:trPr>
        <w:tc>
          <w:tcPr>
            <w:tcW w:w="0" w:type="auto"/>
            <w:vAlign w:val="center"/>
            <w:hideMark/>
          </w:tcPr>
          <w:p w14:paraId="6A583CA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[33]</w:t>
            </w:r>
          </w:p>
        </w:tc>
        <w:tc>
          <w:tcPr>
            <w:tcW w:w="0" w:type="auto"/>
            <w:vAlign w:val="center"/>
            <w:hideMark/>
          </w:tcPr>
          <w:p w14:paraId="561CFFDB"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Rovelli</w:t>
            </w:r>
            <w:proofErr w:type="spellEnd"/>
            <w:r w:rsidRPr="0050473A">
              <w:rPr>
                <w:rFonts w:ascii="Times New Roman" w:eastAsia="Times New Roman" w:hAnsi="Times New Roman"/>
                <w:szCs w:val="24"/>
                <w:lang w:eastAsia="de-DE"/>
              </w:rPr>
              <w:t xml:space="preserve">, Carlo (2021): </w:t>
            </w:r>
            <w:r w:rsidRPr="0050473A">
              <w:rPr>
                <w:rFonts w:ascii="Times New Roman" w:eastAsia="Times New Roman" w:hAnsi="Times New Roman"/>
                <w:i/>
                <w:iCs/>
                <w:szCs w:val="24"/>
                <w:lang w:eastAsia="de-DE"/>
              </w:rPr>
              <w:t xml:space="preserve">Helgoland: Making Sense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Quantum Revolution</w:t>
            </w:r>
            <w:r w:rsidRPr="0050473A">
              <w:rPr>
                <w:rFonts w:ascii="Times New Roman" w:eastAsia="Times New Roman" w:hAnsi="Times New Roman"/>
                <w:szCs w:val="24"/>
                <w:lang w:eastAsia="de-DE"/>
              </w:rPr>
              <w:t>. Penguin Books.</w:t>
            </w:r>
          </w:p>
        </w:tc>
      </w:tr>
      <w:tr w:rsidR="0050473A" w:rsidRPr="0050473A" w14:paraId="5416A103" w14:textId="77777777" w:rsidTr="0050473A">
        <w:trPr>
          <w:tblCellSpacing w:w="15" w:type="dxa"/>
        </w:trPr>
        <w:tc>
          <w:tcPr>
            <w:tcW w:w="0" w:type="auto"/>
            <w:vAlign w:val="center"/>
            <w:hideMark/>
          </w:tcPr>
          <w:p w14:paraId="0AA053C3"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[34]</w:t>
            </w:r>
          </w:p>
        </w:tc>
        <w:tc>
          <w:tcPr>
            <w:tcW w:w="0" w:type="auto"/>
            <w:vAlign w:val="center"/>
            <w:hideMark/>
          </w:tcPr>
          <w:p w14:paraId="43BA1078"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Kauffman</w:t>
            </w:r>
            <w:proofErr w:type="spellEnd"/>
            <w:r w:rsidRPr="0050473A">
              <w:rPr>
                <w:rFonts w:ascii="Times New Roman" w:eastAsia="Times New Roman" w:hAnsi="Times New Roman"/>
                <w:szCs w:val="24"/>
                <w:lang w:eastAsia="de-DE"/>
              </w:rPr>
              <w:t xml:space="preserve">, Stuart A. (1993): </w:t>
            </w:r>
            <w:r w:rsidRPr="0050473A">
              <w:rPr>
                <w:rFonts w:ascii="Times New Roman" w:eastAsia="Times New Roman" w:hAnsi="Times New Roman"/>
                <w:i/>
                <w:iCs/>
                <w:szCs w:val="24"/>
                <w:lang w:eastAsia="de-DE"/>
              </w:rPr>
              <w:t xml:space="preserve">The Origins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Order</w:t>
            </w:r>
            <w:r w:rsidRPr="0050473A">
              <w:rPr>
                <w:rFonts w:ascii="Times New Roman" w:eastAsia="Times New Roman" w:hAnsi="Times New Roman"/>
                <w:szCs w:val="24"/>
                <w:lang w:eastAsia="de-DE"/>
              </w:rPr>
              <w:t>. Oxford University Press.</w:t>
            </w:r>
          </w:p>
        </w:tc>
      </w:tr>
      <w:tr w:rsidR="0050473A" w:rsidRPr="0050473A" w14:paraId="77C3B2CE" w14:textId="77777777" w:rsidTr="0050473A">
        <w:trPr>
          <w:tblCellSpacing w:w="15" w:type="dxa"/>
        </w:trPr>
        <w:tc>
          <w:tcPr>
            <w:tcW w:w="0" w:type="auto"/>
            <w:vAlign w:val="center"/>
            <w:hideMark/>
          </w:tcPr>
          <w:p w14:paraId="032BCCA1"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[35]</w:t>
            </w:r>
          </w:p>
        </w:tc>
        <w:tc>
          <w:tcPr>
            <w:tcW w:w="0" w:type="auto"/>
            <w:vAlign w:val="center"/>
            <w:hideMark/>
          </w:tcPr>
          <w:p w14:paraId="4255FC7A"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Eco, Umberto (1976): </w:t>
            </w:r>
            <w:r w:rsidRPr="0050473A">
              <w:rPr>
                <w:rFonts w:ascii="Times New Roman" w:eastAsia="Times New Roman" w:hAnsi="Times New Roman"/>
                <w:i/>
                <w:iCs/>
                <w:szCs w:val="24"/>
                <w:lang w:eastAsia="de-DE"/>
              </w:rPr>
              <w:t xml:space="preserve">A Theory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Semiotics</w:t>
            </w:r>
            <w:proofErr w:type="spellEnd"/>
            <w:r w:rsidRPr="0050473A">
              <w:rPr>
                <w:rFonts w:ascii="Times New Roman" w:eastAsia="Times New Roman" w:hAnsi="Times New Roman"/>
                <w:szCs w:val="24"/>
                <w:lang w:eastAsia="de-DE"/>
              </w:rPr>
              <w:t>. Indiana University Press.</w:t>
            </w:r>
          </w:p>
        </w:tc>
      </w:tr>
      <w:tr w:rsidR="0050473A" w:rsidRPr="0050473A" w14:paraId="0FC9F348" w14:textId="77777777" w:rsidTr="0050473A">
        <w:trPr>
          <w:tblCellSpacing w:w="15" w:type="dxa"/>
        </w:trPr>
        <w:tc>
          <w:tcPr>
            <w:tcW w:w="0" w:type="auto"/>
            <w:vAlign w:val="center"/>
            <w:hideMark/>
          </w:tcPr>
          <w:p w14:paraId="29AF7B8E"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[36]</w:t>
            </w:r>
          </w:p>
        </w:tc>
        <w:tc>
          <w:tcPr>
            <w:tcW w:w="0" w:type="auto"/>
            <w:vAlign w:val="center"/>
            <w:hideMark/>
          </w:tcPr>
          <w:p w14:paraId="4C23ADA8"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Gärdenfors</w:t>
            </w:r>
            <w:proofErr w:type="spellEnd"/>
            <w:r w:rsidRPr="0050473A">
              <w:rPr>
                <w:rFonts w:ascii="Times New Roman" w:eastAsia="Times New Roman" w:hAnsi="Times New Roman"/>
                <w:szCs w:val="24"/>
                <w:lang w:eastAsia="de-DE"/>
              </w:rPr>
              <w:t xml:space="preserve">, Peter (2000): </w:t>
            </w:r>
            <w:proofErr w:type="spellStart"/>
            <w:r w:rsidRPr="0050473A">
              <w:rPr>
                <w:rFonts w:ascii="Times New Roman" w:eastAsia="Times New Roman" w:hAnsi="Times New Roman"/>
                <w:i/>
                <w:iCs/>
                <w:szCs w:val="24"/>
                <w:lang w:eastAsia="de-DE"/>
              </w:rPr>
              <w:t>Conceptual</w:t>
            </w:r>
            <w:proofErr w:type="spellEnd"/>
            <w:r w:rsidRPr="0050473A">
              <w:rPr>
                <w:rFonts w:ascii="Times New Roman" w:eastAsia="Times New Roman" w:hAnsi="Times New Roman"/>
                <w:i/>
                <w:iCs/>
                <w:szCs w:val="24"/>
                <w:lang w:eastAsia="de-DE"/>
              </w:rPr>
              <w:t xml:space="preserve"> Spaces: The </w:t>
            </w:r>
            <w:proofErr w:type="spellStart"/>
            <w:r w:rsidRPr="0050473A">
              <w:rPr>
                <w:rFonts w:ascii="Times New Roman" w:eastAsia="Times New Roman" w:hAnsi="Times New Roman"/>
                <w:i/>
                <w:iCs/>
                <w:szCs w:val="24"/>
                <w:lang w:eastAsia="de-DE"/>
              </w:rPr>
              <w:t>Geometry</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Thought</w:t>
            </w:r>
            <w:proofErr w:type="spellEnd"/>
            <w:r w:rsidRPr="0050473A">
              <w:rPr>
                <w:rFonts w:ascii="Times New Roman" w:eastAsia="Times New Roman" w:hAnsi="Times New Roman"/>
                <w:szCs w:val="24"/>
                <w:lang w:eastAsia="de-DE"/>
              </w:rPr>
              <w:t>. MIT Press.</w:t>
            </w:r>
          </w:p>
        </w:tc>
      </w:tr>
      <w:tr w:rsidR="0050473A" w:rsidRPr="0050473A" w14:paraId="2B06F779" w14:textId="77777777" w:rsidTr="0050473A">
        <w:trPr>
          <w:tblCellSpacing w:w="15" w:type="dxa"/>
        </w:trPr>
        <w:tc>
          <w:tcPr>
            <w:tcW w:w="0" w:type="auto"/>
            <w:vAlign w:val="center"/>
            <w:hideMark/>
          </w:tcPr>
          <w:p w14:paraId="5186BE30"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[37]</w:t>
            </w:r>
          </w:p>
        </w:tc>
        <w:tc>
          <w:tcPr>
            <w:tcW w:w="0" w:type="auto"/>
            <w:vAlign w:val="center"/>
            <w:hideMark/>
          </w:tcPr>
          <w:p w14:paraId="393B17A5"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Holland, John H. (1998): </w:t>
            </w:r>
            <w:proofErr w:type="spellStart"/>
            <w:r w:rsidRPr="0050473A">
              <w:rPr>
                <w:rFonts w:ascii="Times New Roman" w:eastAsia="Times New Roman" w:hAnsi="Times New Roman"/>
                <w:i/>
                <w:iCs/>
                <w:szCs w:val="24"/>
                <w:lang w:eastAsia="de-DE"/>
              </w:rPr>
              <w:t>Emergence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From</w:t>
            </w:r>
            <w:proofErr w:type="spellEnd"/>
            <w:r w:rsidRPr="0050473A">
              <w:rPr>
                <w:rFonts w:ascii="Times New Roman" w:eastAsia="Times New Roman" w:hAnsi="Times New Roman"/>
                <w:i/>
                <w:iCs/>
                <w:szCs w:val="24"/>
                <w:lang w:eastAsia="de-DE"/>
              </w:rPr>
              <w:t xml:space="preserve"> Chaos </w:t>
            </w:r>
            <w:proofErr w:type="spellStart"/>
            <w:r w:rsidRPr="0050473A">
              <w:rPr>
                <w:rFonts w:ascii="Times New Roman" w:eastAsia="Times New Roman" w:hAnsi="Times New Roman"/>
                <w:i/>
                <w:iCs/>
                <w:szCs w:val="24"/>
                <w:lang w:eastAsia="de-DE"/>
              </w:rPr>
              <w:t>to</w:t>
            </w:r>
            <w:proofErr w:type="spellEnd"/>
            <w:r w:rsidRPr="0050473A">
              <w:rPr>
                <w:rFonts w:ascii="Times New Roman" w:eastAsia="Times New Roman" w:hAnsi="Times New Roman"/>
                <w:i/>
                <w:iCs/>
                <w:szCs w:val="24"/>
                <w:lang w:eastAsia="de-DE"/>
              </w:rPr>
              <w:t xml:space="preserve"> Order</w:t>
            </w:r>
            <w:r w:rsidRPr="0050473A">
              <w:rPr>
                <w:rFonts w:ascii="Times New Roman" w:eastAsia="Times New Roman" w:hAnsi="Times New Roman"/>
                <w:szCs w:val="24"/>
                <w:lang w:eastAsia="de-DE"/>
              </w:rPr>
              <w:t>. Oxford University Press.</w:t>
            </w:r>
          </w:p>
        </w:tc>
      </w:tr>
      <w:tr w:rsidR="0050473A" w:rsidRPr="0050473A" w14:paraId="45487D07" w14:textId="77777777" w:rsidTr="0050473A">
        <w:trPr>
          <w:tblCellSpacing w:w="15" w:type="dxa"/>
        </w:trPr>
        <w:tc>
          <w:tcPr>
            <w:tcW w:w="0" w:type="auto"/>
            <w:vAlign w:val="center"/>
            <w:hideMark/>
          </w:tcPr>
          <w:p w14:paraId="4550B15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[38]</w:t>
            </w:r>
          </w:p>
        </w:tc>
        <w:tc>
          <w:tcPr>
            <w:tcW w:w="0" w:type="auto"/>
            <w:vAlign w:val="center"/>
            <w:hideMark/>
          </w:tcPr>
          <w:p w14:paraId="43AFAB3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Fauconnier, Gilles / Turner, Mark (2002): </w:t>
            </w:r>
            <w:r w:rsidRPr="0050473A">
              <w:rPr>
                <w:rFonts w:ascii="Times New Roman" w:eastAsia="Times New Roman" w:hAnsi="Times New Roman"/>
                <w:i/>
                <w:iCs/>
                <w:szCs w:val="24"/>
                <w:lang w:eastAsia="de-DE"/>
              </w:rPr>
              <w:t xml:space="preserve">The Way </w:t>
            </w:r>
            <w:proofErr w:type="spellStart"/>
            <w:r w:rsidRPr="0050473A">
              <w:rPr>
                <w:rFonts w:ascii="Times New Roman" w:eastAsia="Times New Roman" w:hAnsi="Times New Roman"/>
                <w:i/>
                <w:iCs/>
                <w:szCs w:val="24"/>
                <w:lang w:eastAsia="de-DE"/>
              </w:rPr>
              <w:t>We</w:t>
            </w:r>
            <w:proofErr w:type="spellEnd"/>
            <w:r w:rsidRPr="0050473A">
              <w:rPr>
                <w:rFonts w:ascii="Times New Roman" w:eastAsia="Times New Roman" w:hAnsi="Times New Roman"/>
                <w:i/>
                <w:iCs/>
                <w:szCs w:val="24"/>
                <w:lang w:eastAsia="de-DE"/>
              </w:rPr>
              <w:t xml:space="preserve"> Think: </w:t>
            </w:r>
            <w:proofErr w:type="spellStart"/>
            <w:r w:rsidRPr="0050473A">
              <w:rPr>
                <w:rFonts w:ascii="Times New Roman" w:eastAsia="Times New Roman" w:hAnsi="Times New Roman"/>
                <w:i/>
                <w:iCs/>
                <w:szCs w:val="24"/>
                <w:lang w:eastAsia="de-DE"/>
              </w:rPr>
              <w:t>Conceptual</w:t>
            </w:r>
            <w:proofErr w:type="spellEnd"/>
            <w:r w:rsidRPr="0050473A">
              <w:rPr>
                <w:rFonts w:ascii="Times New Roman" w:eastAsia="Times New Roman" w:hAnsi="Times New Roman"/>
                <w:i/>
                <w:iCs/>
                <w:szCs w:val="24"/>
                <w:lang w:eastAsia="de-DE"/>
              </w:rPr>
              <w:t xml:space="preserve"> Blending and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Mind’s</w:t>
            </w:r>
            <w:proofErr w:type="spellEnd"/>
            <w:r w:rsidRPr="0050473A">
              <w:rPr>
                <w:rFonts w:ascii="Times New Roman" w:eastAsia="Times New Roman" w:hAnsi="Times New Roman"/>
                <w:i/>
                <w:iCs/>
                <w:szCs w:val="24"/>
                <w:lang w:eastAsia="de-DE"/>
              </w:rPr>
              <w:t xml:space="preserve"> Hidden </w:t>
            </w:r>
            <w:proofErr w:type="spellStart"/>
            <w:r w:rsidRPr="0050473A">
              <w:rPr>
                <w:rFonts w:ascii="Times New Roman" w:eastAsia="Times New Roman" w:hAnsi="Times New Roman"/>
                <w:i/>
                <w:iCs/>
                <w:szCs w:val="24"/>
                <w:lang w:eastAsia="de-DE"/>
              </w:rPr>
              <w:t>Complexities</w:t>
            </w:r>
            <w:proofErr w:type="spellEnd"/>
            <w:r w:rsidRPr="0050473A">
              <w:rPr>
                <w:rFonts w:ascii="Times New Roman" w:eastAsia="Times New Roman" w:hAnsi="Times New Roman"/>
                <w:szCs w:val="24"/>
                <w:lang w:eastAsia="de-DE"/>
              </w:rPr>
              <w:t>. Basic Books.</w:t>
            </w:r>
          </w:p>
        </w:tc>
      </w:tr>
      <w:tr w:rsidR="0050473A" w:rsidRPr="0050473A" w14:paraId="34D1EBB2" w14:textId="77777777" w:rsidTr="0050473A">
        <w:trPr>
          <w:tblCellSpacing w:w="15" w:type="dxa"/>
        </w:trPr>
        <w:tc>
          <w:tcPr>
            <w:tcW w:w="0" w:type="auto"/>
            <w:vAlign w:val="center"/>
            <w:hideMark/>
          </w:tcPr>
          <w:p w14:paraId="08F14EC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[39]</w:t>
            </w:r>
          </w:p>
        </w:tc>
        <w:tc>
          <w:tcPr>
            <w:tcW w:w="0" w:type="auto"/>
            <w:vAlign w:val="center"/>
            <w:hideMark/>
          </w:tcPr>
          <w:p w14:paraId="2C68354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Reckwitz, Andreas (2008): </w:t>
            </w:r>
            <w:r w:rsidRPr="0050473A">
              <w:rPr>
                <w:rFonts w:ascii="Times New Roman" w:eastAsia="Times New Roman" w:hAnsi="Times New Roman"/>
                <w:i/>
                <w:iCs/>
                <w:szCs w:val="24"/>
                <w:lang w:eastAsia="de-DE"/>
              </w:rPr>
              <w:t>Kulturelle Praktiken: Zur Theorie des sozialen Handelns</w:t>
            </w:r>
            <w:r w:rsidRPr="0050473A">
              <w:rPr>
                <w:rFonts w:ascii="Times New Roman" w:eastAsia="Times New Roman" w:hAnsi="Times New Roman"/>
                <w:szCs w:val="24"/>
                <w:lang w:eastAsia="de-DE"/>
              </w:rPr>
              <w:t>. Suhrkamp.</w:t>
            </w:r>
          </w:p>
        </w:tc>
      </w:tr>
      <w:tr w:rsidR="0050473A" w:rsidRPr="0050473A" w14:paraId="6E78538D" w14:textId="77777777" w:rsidTr="0050473A">
        <w:trPr>
          <w:tblCellSpacing w:w="15" w:type="dxa"/>
        </w:trPr>
        <w:tc>
          <w:tcPr>
            <w:tcW w:w="0" w:type="auto"/>
            <w:vAlign w:val="center"/>
            <w:hideMark/>
          </w:tcPr>
          <w:p w14:paraId="744BD6E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[40]</w:t>
            </w:r>
          </w:p>
        </w:tc>
        <w:tc>
          <w:tcPr>
            <w:tcW w:w="0" w:type="auto"/>
            <w:vAlign w:val="center"/>
            <w:hideMark/>
          </w:tcPr>
          <w:p w14:paraId="1C7FD0C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Krippendorff, Klaus (2009): </w:t>
            </w:r>
            <w:proofErr w:type="spellStart"/>
            <w:r w:rsidRPr="0050473A">
              <w:rPr>
                <w:rFonts w:ascii="Times New Roman" w:eastAsia="Times New Roman" w:hAnsi="Times New Roman"/>
                <w:i/>
                <w:iCs/>
                <w:szCs w:val="24"/>
                <w:lang w:eastAsia="de-DE"/>
              </w:rPr>
              <w:t>Meaning</w:t>
            </w:r>
            <w:proofErr w:type="spellEnd"/>
            <w:r w:rsidRPr="0050473A">
              <w:rPr>
                <w:rFonts w:ascii="Times New Roman" w:eastAsia="Times New Roman" w:hAnsi="Times New Roman"/>
                <w:i/>
                <w:iCs/>
                <w:szCs w:val="24"/>
                <w:lang w:eastAsia="de-DE"/>
              </w:rPr>
              <w:t xml:space="preserve"> in </w:t>
            </w:r>
            <w:proofErr w:type="spellStart"/>
            <w:r w:rsidRPr="0050473A">
              <w:rPr>
                <w:rFonts w:ascii="Times New Roman" w:eastAsia="Times New Roman" w:hAnsi="Times New Roman"/>
                <w:i/>
                <w:iCs/>
                <w:szCs w:val="24"/>
                <w:lang w:eastAsia="de-DE"/>
              </w:rPr>
              <w:t>Cybernetics</w:t>
            </w:r>
            <w:proofErr w:type="spellEnd"/>
            <w:r w:rsidRPr="0050473A">
              <w:rPr>
                <w:rFonts w:ascii="Times New Roman" w:eastAsia="Times New Roman" w:hAnsi="Times New Roman"/>
                <w:szCs w:val="24"/>
                <w:lang w:eastAsia="de-DE"/>
              </w:rPr>
              <w:t xml:space="preserve">. In: </w:t>
            </w:r>
            <w:r w:rsidRPr="0050473A">
              <w:rPr>
                <w:rFonts w:ascii="Times New Roman" w:eastAsia="Times New Roman" w:hAnsi="Times New Roman"/>
                <w:i/>
                <w:iCs/>
                <w:szCs w:val="24"/>
                <w:lang w:eastAsia="de-DE"/>
              </w:rPr>
              <w:t>Information, Communication &amp; Society</w:t>
            </w:r>
            <w:r w:rsidRPr="0050473A">
              <w:rPr>
                <w:rFonts w:ascii="Times New Roman" w:eastAsia="Times New Roman" w:hAnsi="Times New Roman"/>
                <w:szCs w:val="24"/>
                <w:lang w:eastAsia="de-DE"/>
              </w:rPr>
              <w:t>, 12(3), 317–333.</w:t>
            </w:r>
          </w:p>
        </w:tc>
      </w:tr>
      <w:tr w:rsidR="0050473A" w:rsidRPr="0050473A" w14:paraId="6045429E" w14:textId="77777777" w:rsidTr="0050473A">
        <w:trPr>
          <w:tblCellSpacing w:w="15" w:type="dxa"/>
        </w:trPr>
        <w:tc>
          <w:tcPr>
            <w:tcW w:w="0" w:type="auto"/>
            <w:vAlign w:val="center"/>
            <w:hideMark/>
          </w:tcPr>
          <w:p w14:paraId="192A477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[41]</w:t>
            </w:r>
          </w:p>
        </w:tc>
        <w:tc>
          <w:tcPr>
            <w:tcW w:w="0" w:type="auto"/>
            <w:vAlign w:val="center"/>
            <w:hideMark/>
          </w:tcPr>
          <w:p w14:paraId="0603F11B"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Lévi-</w:t>
            </w:r>
            <w:proofErr w:type="spellStart"/>
            <w:r w:rsidRPr="0050473A">
              <w:rPr>
                <w:rFonts w:ascii="Times New Roman" w:eastAsia="Times New Roman" w:hAnsi="Times New Roman"/>
                <w:szCs w:val="24"/>
                <w:lang w:eastAsia="de-DE"/>
              </w:rPr>
              <w:t>Strauss</w:t>
            </w:r>
            <w:proofErr w:type="spellEnd"/>
            <w:r w:rsidRPr="0050473A">
              <w:rPr>
                <w:rFonts w:ascii="Times New Roman" w:eastAsia="Times New Roman" w:hAnsi="Times New Roman"/>
                <w:szCs w:val="24"/>
                <w:lang w:eastAsia="de-DE"/>
              </w:rPr>
              <w:t xml:space="preserve">, Claude (1963): </w:t>
            </w:r>
            <w:proofErr w:type="spellStart"/>
            <w:r w:rsidRPr="0050473A">
              <w:rPr>
                <w:rFonts w:ascii="Times New Roman" w:eastAsia="Times New Roman" w:hAnsi="Times New Roman"/>
                <w:i/>
                <w:iCs/>
                <w:szCs w:val="24"/>
                <w:lang w:eastAsia="de-DE"/>
              </w:rPr>
              <w:t>Structural</w:t>
            </w:r>
            <w:proofErr w:type="spellEnd"/>
            <w:r w:rsidRPr="0050473A">
              <w:rPr>
                <w:rFonts w:ascii="Times New Roman" w:eastAsia="Times New Roman" w:hAnsi="Times New Roman"/>
                <w:i/>
                <w:iCs/>
                <w:szCs w:val="24"/>
                <w:lang w:eastAsia="de-DE"/>
              </w:rPr>
              <w:t xml:space="preserve"> Anthropology</w:t>
            </w:r>
            <w:r w:rsidRPr="0050473A">
              <w:rPr>
                <w:rFonts w:ascii="Times New Roman" w:eastAsia="Times New Roman" w:hAnsi="Times New Roman"/>
                <w:szCs w:val="24"/>
                <w:lang w:eastAsia="de-DE"/>
              </w:rPr>
              <w:t>. Basic Books.</w:t>
            </w:r>
          </w:p>
        </w:tc>
      </w:tr>
      <w:tr w:rsidR="0050473A" w:rsidRPr="0050473A" w14:paraId="7DD756DE" w14:textId="77777777" w:rsidTr="0050473A">
        <w:trPr>
          <w:tblCellSpacing w:w="15" w:type="dxa"/>
        </w:trPr>
        <w:tc>
          <w:tcPr>
            <w:tcW w:w="0" w:type="auto"/>
            <w:vAlign w:val="center"/>
            <w:hideMark/>
          </w:tcPr>
          <w:p w14:paraId="5C198ED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[42]</w:t>
            </w:r>
          </w:p>
        </w:tc>
        <w:tc>
          <w:tcPr>
            <w:tcW w:w="0" w:type="auto"/>
            <w:vAlign w:val="center"/>
            <w:hideMark/>
          </w:tcPr>
          <w:p w14:paraId="5B8AFB4B"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Foerster, Heinz von (1981): </w:t>
            </w:r>
            <w:proofErr w:type="spellStart"/>
            <w:r w:rsidRPr="0050473A">
              <w:rPr>
                <w:rFonts w:ascii="Times New Roman" w:eastAsia="Times New Roman" w:hAnsi="Times New Roman"/>
                <w:i/>
                <w:iCs/>
                <w:szCs w:val="24"/>
                <w:lang w:eastAsia="de-DE"/>
              </w:rPr>
              <w:t>Observing</w:t>
            </w:r>
            <w:proofErr w:type="spellEnd"/>
            <w:r w:rsidRPr="0050473A">
              <w:rPr>
                <w:rFonts w:ascii="Times New Roman" w:eastAsia="Times New Roman" w:hAnsi="Times New Roman"/>
                <w:i/>
                <w:iCs/>
                <w:szCs w:val="24"/>
                <w:lang w:eastAsia="de-DE"/>
              </w:rPr>
              <w:t xml:space="preserve"> Systems</w:t>
            </w:r>
            <w:r w:rsidRPr="0050473A">
              <w:rPr>
                <w:rFonts w:ascii="Times New Roman" w:eastAsia="Times New Roman" w:hAnsi="Times New Roman"/>
                <w:szCs w:val="24"/>
                <w:lang w:eastAsia="de-DE"/>
              </w:rPr>
              <w:t>. Intersystems Publications.</w:t>
            </w:r>
          </w:p>
        </w:tc>
      </w:tr>
      <w:tr w:rsidR="0050473A" w:rsidRPr="0050473A" w14:paraId="2910B731" w14:textId="77777777" w:rsidTr="0050473A">
        <w:trPr>
          <w:tblCellSpacing w:w="15" w:type="dxa"/>
        </w:trPr>
        <w:tc>
          <w:tcPr>
            <w:tcW w:w="0" w:type="auto"/>
            <w:vAlign w:val="center"/>
            <w:hideMark/>
          </w:tcPr>
          <w:p w14:paraId="492C6EB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[43]</w:t>
            </w:r>
          </w:p>
        </w:tc>
        <w:tc>
          <w:tcPr>
            <w:tcW w:w="0" w:type="auto"/>
            <w:vAlign w:val="center"/>
            <w:hideMark/>
          </w:tcPr>
          <w:p w14:paraId="489F79CE"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Bratman</w:t>
            </w:r>
            <w:proofErr w:type="spellEnd"/>
            <w:r w:rsidRPr="0050473A">
              <w:rPr>
                <w:rFonts w:ascii="Times New Roman" w:eastAsia="Times New Roman" w:hAnsi="Times New Roman"/>
                <w:szCs w:val="24"/>
                <w:lang w:eastAsia="de-DE"/>
              </w:rPr>
              <w:t xml:space="preserve">, Michael (1992): </w:t>
            </w:r>
            <w:proofErr w:type="spellStart"/>
            <w:r w:rsidRPr="0050473A">
              <w:rPr>
                <w:rFonts w:ascii="Times New Roman" w:eastAsia="Times New Roman" w:hAnsi="Times New Roman"/>
                <w:i/>
                <w:iCs/>
                <w:szCs w:val="24"/>
                <w:lang w:eastAsia="de-DE"/>
              </w:rPr>
              <w:t>Planning</w:t>
            </w:r>
            <w:proofErr w:type="spellEnd"/>
            <w:r w:rsidRPr="0050473A">
              <w:rPr>
                <w:rFonts w:ascii="Times New Roman" w:eastAsia="Times New Roman" w:hAnsi="Times New Roman"/>
                <w:i/>
                <w:iCs/>
                <w:szCs w:val="24"/>
                <w:lang w:eastAsia="de-DE"/>
              </w:rPr>
              <w:t xml:space="preserve"> and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Stability</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Intention</w:t>
            </w:r>
            <w:r w:rsidRPr="0050473A">
              <w:rPr>
                <w:rFonts w:ascii="Times New Roman" w:eastAsia="Times New Roman" w:hAnsi="Times New Roman"/>
                <w:szCs w:val="24"/>
                <w:lang w:eastAsia="de-DE"/>
              </w:rPr>
              <w:t xml:space="preserve">. In: </w:t>
            </w:r>
            <w:proofErr w:type="spellStart"/>
            <w:r w:rsidRPr="0050473A">
              <w:rPr>
                <w:rFonts w:ascii="Times New Roman" w:eastAsia="Times New Roman" w:hAnsi="Times New Roman"/>
                <w:i/>
                <w:iCs/>
                <w:szCs w:val="24"/>
                <w:lang w:eastAsia="de-DE"/>
              </w:rPr>
              <w:t>Mind</w:t>
            </w:r>
            <w:proofErr w:type="spellEnd"/>
            <w:r w:rsidRPr="0050473A">
              <w:rPr>
                <w:rFonts w:ascii="Times New Roman" w:eastAsia="Times New Roman" w:hAnsi="Times New Roman"/>
                <w:i/>
                <w:iCs/>
                <w:szCs w:val="24"/>
                <w:lang w:eastAsia="de-DE"/>
              </w:rPr>
              <w:t xml:space="preserve"> &amp; Language</w:t>
            </w:r>
            <w:r w:rsidRPr="0050473A">
              <w:rPr>
                <w:rFonts w:ascii="Times New Roman" w:eastAsia="Times New Roman" w:hAnsi="Times New Roman"/>
                <w:szCs w:val="24"/>
                <w:lang w:eastAsia="de-DE"/>
              </w:rPr>
              <w:t>, 7(1), 1–17.</w:t>
            </w:r>
          </w:p>
        </w:tc>
      </w:tr>
      <w:tr w:rsidR="0050473A" w:rsidRPr="0050473A" w14:paraId="0FA291BC" w14:textId="77777777" w:rsidTr="0050473A">
        <w:trPr>
          <w:tblCellSpacing w:w="15" w:type="dxa"/>
        </w:trPr>
        <w:tc>
          <w:tcPr>
            <w:tcW w:w="0" w:type="auto"/>
            <w:vAlign w:val="center"/>
            <w:hideMark/>
          </w:tcPr>
          <w:p w14:paraId="0150A71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[44]</w:t>
            </w:r>
          </w:p>
        </w:tc>
        <w:tc>
          <w:tcPr>
            <w:tcW w:w="0" w:type="auto"/>
            <w:vAlign w:val="center"/>
            <w:hideMark/>
          </w:tcPr>
          <w:p w14:paraId="0E272AD3"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Sfard</w:t>
            </w:r>
            <w:proofErr w:type="spellEnd"/>
            <w:r w:rsidRPr="0050473A">
              <w:rPr>
                <w:rFonts w:ascii="Times New Roman" w:eastAsia="Times New Roman" w:hAnsi="Times New Roman"/>
                <w:szCs w:val="24"/>
                <w:lang w:eastAsia="de-DE"/>
              </w:rPr>
              <w:t xml:space="preserve">, Anna (1998): </w:t>
            </w:r>
            <w:r w:rsidRPr="0050473A">
              <w:rPr>
                <w:rFonts w:ascii="Times New Roman" w:eastAsia="Times New Roman" w:hAnsi="Times New Roman"/>
                <w:i/>
                <w:iCs/>
                <w:szCs w:val="24"/>
                <w:lang w:eastAsia="de-DE"/>
              </w:rPr>
              <w:t xml:space="preserve">On </w:t>
            </w:r>
            <w:proofErr w:type="spellStart"/>
            <w:r w:rsidRPr="0050473A">
              <w:rPr>
                <w:rFonts w:ascii="Times New Roman" w:eastAsia="Times New Roman" w:hAnsi="Times New Roman"/>
                <w:i/>
                <w:iCs/>
                <w:szCs w:val="24"/>
                <w:lang w:eastAsia="de-DE"/>
              </w:rPr>
              <w:t>Two</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Metaphors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for</w:t>
            </w:r>
            <w:proofErr w:type="spellEnd"/>
            <w:r w:rsidRPr="0050473A">
              <w:rPr>
                <w:rFonts w:ascii="Times New Roman" w:eastAsia="Times New Roman" w:hAnsi="Times New Roman"/>
                <w:i/>
                <w:iCs/>
                <w:szCs w:val="24"/>
                <w:lang w:eastAsia="de-DE"/>
              </w:rPr>
              <w:t xml:space="preserve"> Learning and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Dangers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Choosing</w:t>
            </w:r>
            <w:proofErr w:type="spellEnd"/>
            <w:r w:rsidRPr="0050473A">
              <w:rPr>
                <w:rFonts w:ascii="Times New Roman" w:eastAsia="Times New Roman" w:hAnsi="Times New Roman"/>
                <w:i/>
                <w:iCs/>
                <w:szCs w:val="24"/>
                <w:lang w:eastAsia="de-DE"/>
              </w:rPr>
              <w:t xml:space="preserve"> Just </w:t>
            </w:r>
            <w:proofErr w:type="spellStart"/>
            <w:r w:rsidRPr="0050473A">
              <w:rPr>
                <w:rFonts w:ascii="Times New Roman" w:eastAsia="Times New Roman" w:hAnsi="Times New Roman"/>
                <w:i/>
                <w:iCs/>
                <w:szCs w:val="24"/>
                <w:lang w:eastAsia="de-DE"/>
              </w:rPr>
              <w:t>One</w:t>
            </w:r>
            <w:proofErr w:type="spellEnd"/>
            <w:r w:rsidRPr="0050473A">
              <w:rPr>
                <w:rFonts w:ascii="Times New Roman" w:eastAsia="Times New Roman" w:hAnsi="Times New Roman"/>
                <w:szCs w:val="24"/>
                <w:lang w:eastAsia="de-DE"/>
              </w:rPr>
              <w:t xml:space="preserve">. In: </w:t>
            </w:r>
            <w:r w:rsidRPr="0050473A">
              <w:rPr>
                <w:rFonts w:ascii="Times New Roman" w:eastAsia="Times New Roman" w:hAnsi="Times New Roman"/>
                <w:i/>
                <w:iCs/>
                <w:szCs w:val="24"/>
                <w:lang w:eastAsia="de-DE"/>
              </w:rPr>
              <w:t>Educational Researcher</w:t>
            </w:r>
            <w:r w:rsidRPr="0050473A">
              <w:rPr>
                <w:rFonts w:ascii="Times New Roman" w:eastAsia="Times New Roman" w:hAnsi="Times New Roman"/>
                <w:szCs w:val="24"/>
                <w:lang w:eastAsia="de-DE"/>
              </w:rPr>
              <w:t>, 27(2), 4–13.</w:t>
            </w:r>
          </w:p>
        </w:tc>
      </w:tr>
      <w:tr w:rsidR="0050473A" w:rsidRPr="0050473A" w14:paraId="00F56004" w14:textId="77777777" w:rsidTr="0050473A">
        <w:trPr>
          <w:tblCellSpacing w:w="15" w:type="dxa"/>
        </w:trPr>
        <w:tc>
          <w:tcPr>
            <w:tcW w:w="0" w:type="auto"/>
            <w:vAlign w:val="center"/>
            <w:hideMark/>
          </w:tcPr>
          <w:p w14:paraId="6ABD974C"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[45]</w:t>
            </w:r>
          </w:p>
        </w:tc>
        <w:tc>
          <w:tcPr>
            <w:tcW w:w="0" w:type="auto"/>
            <w:vAlign w:val="center"/>
            <w:hideMark/>
          </w:tcPr>
          <w:p w14:paraId="0662376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Kuhn, Thomas S. (1962): </w:t>
            </w:r>
            <w:r w:rsidRPr="0050473A">
              <w:rPr>
                <w:rFonts w:ascii="Times New Roman" w:eastAsia="Times New Roman" w:hAnsi="Times New Roman"/>
                <w:i/>
                <w:iCs/>
                <w:szCs w:val="24"/>
                <w:lang w:eastAsia="de-DE"/>
              </w:rPr>
              <w:t xml:space="preserve">The </w:t>
            </w:r>
            <w:proofErr w:type="spellStart"/>
            <w:r w:rsidRPr="0050473A">
              <w:rPr>
                <w:rFonts w:ascii="Times New Roman" w:eastAsia="Times New Roman" w:hAnsi="Times New Roman"/>
                <w:i/>
                <w:iCs/>
                <w:szCs w:val="24"/>
                <w:lang w:eastAsia="de-DE"/>
              </w:rPr>
              <w:t>Structure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Scientific </w:t>
            </w:r>
            <w:proofErr w:type="spellStart"/>
            <w:r w:rsidRPr="0050473A">
              <w:rPr>
                <w:rFonts w:ascii="Times New Roman" w:eastAsia="Times New Roman" w:hAnsi="Times New Roman"/>
                <w:i/>
                <w:iCs/>
                <w:szCs w:val="24"/>
                <w:lang w:eastAsia="de-DE"/>
              </w:rPr>
              <w:t>Revolutions</w:t>
            </w:r>
            <w:proofErr w:type="spellEnd"/>
            <w:r w:rsidRPr="0050473A">
              <w:rPr>
                <w:rFonts w:ascii="Times New Roman" w:eastAsia="Times New Roman" w:hAnsi="Times New Roman"/>
                <w:szCs w:val="24"/>
                <w:lang w:eastAsia="de-DE"/>
              </w:rPr>
              <w:t xml:space="preserve">. University </w:t>
            </w:r>
            <w:proofErr w:type="spellStart"/>
            <w:r w:rsidRPr="0050473A">
              <w:rPr>
                <w:rFonts w:ascii="Times New Roman" w:eastAsia="Times New Roman" w:hAnsi="Times New Roman"/>
                <w:szCs w:val="24"/>
                <w:lang w:eastAsia="de-DE"/>
              </w:rPr>
              <w:t>of</w:t>
            </w:r>
            <w:proofErr w:type="spellEnd"/>
            <w:r w:rsidRPr="0050473A">
              <w:rPr>
                <w:rFonts w:ascii="Times New Roman" w:eastAsia="Times New Roman" w:hAnsi="Times New Roman"/>
                <w:szCs w:val="24"/>
                <w:lang w:eastAsia="de-DE"/>
              </w:rPr>
              <w:t xml:space="preserve"> Chicago Press.</w:t>
            </w:r>
          </w:p>
        </w:tc>
      </w:tr>
      <w:tr w:rsidR="0050473A" w:rsidRPr="0050473A" w14:paraId="54929C3B" w14:textId="77777777" w:rsidTr="0050473A">
        <w:trPr>
          <w:tblCellSpacing w:w="15" w:type="dxa"/>
        </w:trPr>
        <w:tc>
          <w:tcPr>
            <w:tcW w:w="0" w:type="auto"/>
            <w:vAlign w:val="center"/>
            <w:hideMark/>
          </w:tcPr>
          <w:p w14:paraId="60711FE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[46]</w:t>
            </w:r>
          </w:p>
        </w:tc>
        <w:tc>
          <w:tcPr>
            <w:tcW w:w="0" w:type="auto"/>
            <w:vAlign w:val="center"/>
            <w:hideMark/>
          </w:tcPr>
          <w:p w14:paraId="6EE14EA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Geertz, Clifford (1973): </w:t>
            </w:r>
            <w:r w:rsidRPr="0050473A">
              <w:rPr>
                <w:rFonts w:ascii="Times New Roman" w:eastAsia="Times New Roman" w:hAnsi="Times New Roman"/>
                <w:i/>
                <w:iCs/>
                <w:szCs w:val="24"/>
                <w:lang w:eastAsia="de-DE"/>
              </w:rPr>
              <w:t xml:space="preserve">The Interpretation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Cultures</w:t>
            </w:r>
            <w:r w:rsidRPr="0050473A">
              <w:rPr>
                <w:rFonts w:ascii="Times New Roman" w:eastAsia="Times New Roman" w:hAnsi="Times New Roman"/>
                <w:szCs w:val="24"/>
                <w:lang w:eastAsia="de-DE"/>
              </w:rPr>
              <w:t>. Basic Books.</w:t>
            </w:r>
          </w:p>
        </w:tc>
      </w:tr>
      <w:tr w:rsidR="0050473A" w:rsidRPr="0050473A" w14:paraId="7DFFCAA4" w14:textId="77777777" w:rsidTr="0050473A">
        <w:trPr>
          <w:tblCellSpacing w:w="15" w:type="dxa"/>
        </w:trPr>
        <w:tc>
          <w:tcPr>
            <w:tcW w:w="0" w:type="auto"/>
            <w:vAlign w:val="center"/>
            <w:hideMark/>
          </w:tcPr>
          <w:p w14:paraId="1780552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[47]</w:t>
            </w:r>
          </w:p>
        </w:tc>
        <w:tc>
          <w:tcPr>
            <w:tcW w:w="0" w:type="auto"/>
            <w:vAlign w:val="center"/>
            <w:hideMark/>
          </w:tcPr>
          <w:p w14:paraId="3150A61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Luhmann, Niklas (1997): </w:t>
            </w:r>
            <w:r w:rsidRPr="0050473A">
              <w:rPr>
                <w:rFonts w:ascii="Times New Roman" w:eastAsia="Times New Roman" w:hAnsi="Times New Roman"/>
                <w:i/>
                <w:iCs/>
                <w:szCs w:val="24"/>
                <w:lang w:eastAsia="de-DE"/>
              </w:rPr>
              <w:t>Die Gesellschaft der Gesellschaft</w:t>
            </w:r>
            <w:r w:rsidRPr="0050473A">
              <w:rPr>
                <w:rFonts w:ascii="Times New Roman" w:eastAsia="Times New Roman" w:hAnsi="Times New Roman"/>
                <w:szCs w:val="24"/>
                <w:lang w:eastAsia="de-DE"/>
              </w:rPr>
              <w:t>. Suhrkamp.</w:t>
            </w:r>
          </w:p>
        </w:tc>
      </w:tr>
      <w:tr w:rsidR="0050473A" w:rsidRPr="0050473A" w14:paraId="04217CEB" w14:textId="77777777" w:rsidTr="0050473A">
        <w:trPr>
          <w:tblCellSpacing w:w="15" w:type="dxa"/>
        </w:trPr>
        <w:tc>
          <w:tcPr>
            <w:tcW w:w="0" w:type="auto"/>
            <w:vAlign w:val="center"/>
            <w:hideMark/>
          </w:tcPr>
          <w:p w14:paraId="590DE811"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[48]</w:t>
            </w:r>
          </w:p>
        </w:tc>
        <w:tc>
          <w:tcPr>
            <w:tcW w:w="0" w:type="auto"/>
            <w:vAlign w:val="center"/>
            <w:hideMark/>
          </w:tcPr>
          <w:p w14:paraId="058CC300"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Arthur, W. Brian (2009): </w:t>
            </w:r>
            <w:r w:rsidRPr="0050473A">
              <w:rPr>
                <w:rFonts w:ascii="Times New Roman" w:eastAsia="Times New Roman" w:hAnsi="Times New Roman"/>
                <w:i/>
                <w:iCs/>
                <w:szCs w:val="24"/>
                <w:lang w:eastAsia="de-DE"/>
              </w:rPr>
              <w:t xml:space="preserve">The Nature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Technology: </w:t>
            </w:r>
            <w:proofErr w:type="spellStart"/>
            <w:r w:rsidRPr="0050473A">
              <w:rPr>
                <w:rFonts w:ascii="Times New Roman" w:eastAsia="Times New Roman" w:hAnsi="Times New Roman"/>
                <w:i/>
                <w:iCs/>
                <w:szCs w:val="24"/>
                <w:lang w:eastAsia="de-DE"/>
              </w:rPr>
              <w:t>What</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It</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Is</w:t>
            </w:r>
            <w:proofErr w:type="spellEnd"/>
            <w:r w:rsidRPr="0050473A">
              <w:rPr>
                <w:rFonts w:ascii="Times New Roman" w:eastAsia="Times New Roman" w:hAnsi="Times New Roman"/>
                <w:i/>
                <w:iCs/>
                <w:szCs w:val="24"/>
                <w:lang w:eastAsia="de-DE"/>
              </w:rPr>
              <w:t xml:space="preserve"> and </w:t>
            </w:r>
            <w:proofErr w:type="spellStart"/>
            <w:r w:rsidRPr="0050473A">
              <w:rPr>
                <w:rFonts w:ascii="Times New Roman" w:eastAsia="Times New Roman" w:hAnsi="Times New Roman"/>
                <w:i/>
                <w:iCs/>
                <w:szCs w:val="24"/>
                <w:lang w:eastAsia="de-DE"/>
              </w:rPr>
              <w:t>How</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It</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Evolves</w:t>
            </w:r>
            <w:proofErr w:type="spellEnd"/>
            <w:r w:rsidRPr="0050473A">
              <w:rPr>
                <w:rFonts w:ascii="Times New Roman" w:eastAsia="Times New Roman" w:hAnsi="Times New Roman"/>
                <w:szCs w:val="24"/>
                <w:lang w:eastAsia="de-DE"/>
              </w:rPr>
              <w:t>. Free Press.</w:t>
            </w:r>
          </w:p>
        </w:tc>
      </w:tr>
      <w:tr w:rsidR="0050473A" w:rsidRPr="0050473A" w14:paraId="249D8B49" w14:textId="77777777" w:rsidTr="0050473A">
        <w:trPr>
          <w:tblCellSpacing w:w="15" w:type="dxa"/>
        </w:trPr>
        <w:tc>
          <w:tcPr>
            <w:tcW w:w="0" w:type="auto"/>
            <w:vAlign w:val="center"/>
            <w:hideMark/>
          </w:tcPr>
          <w:p w14:paraId="13C1F367"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[49]</w:t>
            </w:r>
          </w:p>
        </w:tc>
        <w:tc>
          <w:tcPr>
            <w:tcW w:w="0" w:type="auto"/>
            <w:vAlign w:val="center"/>
            <w:hideMark/>
          </w:tcPr>
          <w:p w14:paraId="12A37A75"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Gabora</w:t>
            </w:r>
            <w:proofErr w:type="spellEnd"/>
            <w:r w:rsidRPr="0050473A">
              <w:rPr>
                <w:rFonts w:ascii="Times New Roman" w:eastAsia="Times New Roman" w:hAnsi="Times New Roman"/>
                <w:szCs w:val="24"/>
                <w:lang w:eastAsia="de-DE"/>
              </w:rPr>
              <w:t xml:space="preserve">, Liane (2006): </w:t>
            </w:r>
            <w:r w:rsidRPr="0050473A">
              <w:rPr>
                <w:rFonts w:ascii="Times New Roman" w:eastAsia="Times New Roman" w:hAnsi="Times New Roman"/>
                <w:i/>
                <w:iCs/>
                <w:szCs w:val="24"/>
                <w:lang w:eastAsia="de-DE"/>
              </w:rPr>
              <w:t xml:space="preserve">The </w:t>
            </w:r>
            <w:proofErr w:type="spellStart"/>
            <w:r w:rsidRPr="0050473A">
              <w:rPr>
                <w:rFonts w:ascii="Times New Roman" w:eastAsia="Times New Roman" w:hAnsi="Times New Roman"/>
                <w:i/>
                <w:iCs/>
                <w:szCs w:val="24"/>
                <w:lang w:eastAsia="de-DE"/>
              </w:rPr>
              <w:t>fate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evolutionary</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archaeology</w:t>
            </w:r>
            <w:proofErr w:type="spellEnd"/>
            <w:r w:rsidRPr="0050473A">
              <w:rPr>
                <w:rFonts w:ascii="Times New Roman" w:eastAsia="Times New Roman" w:hAnsi="Times New Roman"/>
                <w:i/>
                <w:iCs/>
                <w:szCs w:val="24"/>
                <w:lang w:eastAsia="de-DE"/>
              </w:rPr>
              <w:t xml:space="preserve">: Survival </w:t>
            </w:r>
            <w:proofErr w:type="spellStart"/>
            <w:r w:rsidRPr="0050473A">
              <w:rPr>
                <w:rFonts w:ascii="Times New Roman" w:eastAsia="Times New Roman" w:hAnsi="Times New Roman"/>
                <w:i/>
                <w:iCs/>
                <w:szCs w:val="24"/>
                <w:lang w:eastAsia="de-DE"/>
              </w:rPr>
              <w:t>or</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extinction</w:t>
            </w:r>
            <w:proofErr w:type="spellEnd"/>
            <w:r w:rsidRPr="0050473A">
              <w:rPr>
                <w:rFonts w:ascii="Times New Roman" w:eastAsia="Times New Roman" w:hAnsi="Times New Roman"/>
                <w:i/>
                <w:iCs/>
                <w:szCs w:val="24"/>
                <w:lang w:eastAsia="de-DE"/>
              </w:rPr>
              <w:t>?</w:t>
            </w:r>
            <w:r w:rsidRPr="0050473A">
              <w:rPr>
                <w:rFonts w:ascii="Times New Roman" w:eastAsia="Times New Roman" w:hAnsi="Times New Roman"/>
                <w:szCs w:val="24"/>
                <w:lang w:eastAsia="de-DE"/>
              </w:rPr>
              <w:t xml:space="preserve"> In: </w:t>
            </w:r>
            <w:r w:rsidRPr="0050473A">
              <w:rPr>
                <w:rFonts w:ascii="Times New Roman" w:eastAsia="Times New Roman" w:hAnsi="Times New Roman"/>
                <w:i/>
                <w:iCs/>
                <w:szCs w:val="24"/>
                <w:lang w:eastAsia="de-DE"/>
              </w:rPr>
              <w:t xml:space="preserve">World </w:t>
            </w:r>
            <w:proofErr w:type="spellStart"/>
            <w:r w:rsidRPr="0050473A">
              <w:rPr>
                <w:rFonts w:ascii="Times New Roman" w:eastAsia="Times New Roman" w:hAnsi="Times New Roman"/>
                <w:i/>
                <w:iCs/>
                <w:szCs w:val="24"/>
                <w:lang w:eastAsia="de-DE"/>
              </w:rPr>
              <w:t>Archaeology</w:t>
            </w:r>
            <w:proofErr w:type="spellEnd"/>
            <w:r w:rsidRPr="0050473A">
              <w:rPr>
                <w:rFonts w:ascii="Times New Roman" w:eastAsia="Times New Roman" w:hAnsi="Times New Roman"/>
                <w:szCs w:val="24"/>
                <w:lang w:eastAsia="de-DE"/>
              </w:rPr>
              <w:t>, 38(4), 690–696.</w:t>
            </w:r>
          </w:p>
        </w:tc>
      </w:tr>
      <w:tr w:rsidR="0050473A" w:rsidRPr="0050473A" w14:paraId="7752D233" w14:textId="77777777" w:rsidTr="0050473A">
        <w:trPr>
          <w:tblCellSpacing w:w="15" w:type="dxa"/>
        </w:trPr>
        <w:tc>
          <w:tcPr>
            <w:tcW w:w="0" w:type="auto"/>
            <w:vAlign w:val="center"/>
            <w:hideMark/>
          </w:tcPr>
          <w:p w14:paraId="4AF52C83"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[50]</w:t>
            </w:r>
          </w:p>
        </w:tc>
        <w:tc>
          <w:tcPr>
            <w:tcW w:w="0" w:type="auto"/>
            <w:vAlign w:val="center"/>
            <w:hideMark/>
          </w:tcPr>
          <w:p w14:paraId="3AB971E3"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Nissen, Matthias (2019): </w:t>
            </w:r>
            <w:r w:rsidRPr="0050473A">
              <w:rPr>
                <w:rFonts w:ascii="Times New Roman" w:eastAsia="Times New Roman" w:hAnsi="Times New Roman"/>
                <w:i/>
                <w:iCs/>
                <w:szCs w:val="24"/>
                <w:lang w:eastAsia="de-DE"/>
              </w:rPr>
              <w:t>Ko-Evolutionärer Wandel zwischen Technik, Organisation und Kultur</w:t>
            </w:r>
            <w:r w:rsidRPr="0050473A">
              <w:rPr>
                <w:rFonts w:ascii="Times New Roman" w:eastAsia="Times New Roman" w:hAnsi="Times New Roman"/>
                <w:szCs w:val="24"/>
                <w:lang w:eastAsia="de-DE"/>
              </w:rPr>
              <w:t xml:space="preserve">. In: </w:t>
            </w:r>
            <w:r w:rsidRPr="0050473A">
              <w:rPr>
                <w:rFonts w:ascii="Times New Roman" w:eastAsia="Times New Roman" w:hAnsi="Times New Roman"/>
                <w:i/>
                <w:iCs/>
                <w:szCs w:val="24"/>
                <w:lang w:eastAsia="de-DE"/>
              </w:rPr>
              <w:t>Technikfolgenabschätzung – Theorie und Praxis</w:t>
            </w:r>
            <w:r w:rsidRPr="0050473A">
              <w:rPr>
                <w:rFonts w:ascii="Times New Roman" w:eastAsia="Times New Roman" w:hAnsi="Times New Roman"/>
                <w:szCs w:val="24"/>
                <w:lang w:eastAsia="de-DE"/>
              </w:rPr>
              <w:t>, 28(1), 4–10.</w:t>
            </w:r>
          </w:p>
        </w:tc>
      </w:tr>
      <w:tr w:rsidR="0050473A" w:rsidRPr="0050473A" w14:paraId="3B10B011" w14:textId="77777777" w:rsidTr="0050473A">
        <w:trPr>
          <w:tblCellSpacing w:w="15" w:type="dxa"/>
        </w:trPr>
        <w:tc>
          <w:tcPr>
            <w:tcW w:w="0" w:type="auto"/>
            <w:vAlign w:val="center"/>
            <w:hideMark/>
          </w:tcPr>
          <w:p w14:paraId="3F56EC55"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[51]</w:t>
            </w:r>
          </w:p>
        </w:tc>
        <w:tc>
          <w:tcPr>
            <w:tcW w:w="0" w:type="auto"/>
            <w:vAlign w:val="center"/>
            <w:hideMark/>
          </w:tcPr>
          <w:p w14:paraId="04B551D3"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Coeckelbergh</w:t>
            </w:r>
            <w:proofErr w:type="spellEnd"/>
            <w:r w:rsidRPr="0050473A">
              <w:rPr>
                <w:rFonts w:ascii="Times New Roman" w:eastAsia="Times New Roman" w:hAnsi="Times New Roman"/>
                <w:szCs w:val="24"/>
                <w:lang w:eastAsia="de-DE"/>
              </w:rPr>
              <w:t xml:space="preserve">, Mark (2017): </w:t>
            </w:r>
            <w:proofErr w:type="spellStart"/>
            <w:r w:rsidRPr="0050473A">
              <w:rPr>
                <w:rFonts w:ascii="Times New Roman" w:eastAsia="Times New Roman" w:hAnsi="Times New Roman"/>
                <w:i/>
                <w:iCs/>
                <w:szCs w:val="24"/>
                <w:lang w:eastAsia="de-DE"/>
              </w:rPr>
              <w:t>Using</w:t>
            </w:r>
            <w:proofErr w:type="spellEnd"/>
            <w:r w:rsidRPr="0050473A">
              <w:rPr>
                <w:rFonts w:ascii="Times New Roman" w:eastAsia="Times New Roman" w:hAnsi="Times New Roman"/>
                <w:i/>
                <w:iCs/>
                <w:szCs w:val="24"/>
                <w:lang w:eastAsia="de-DE"/>
              </w:rPr>
              <w:t xml:space="preserve"> Words and Things: Language and Philosophy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Technology</w:t>
            </w:r>
            <w:r w:rsidRPr="0050473A">
              <w:rPr>
                <w:rFonts w:ascii="Times New Roman" w:eastAsia="Times New Roman" w:hAnsi="Times New Roman"/>
                <w:szCs w:val="24"/>
                <w:lang w:eastAsia="de-DE"/>
              </w:rPr>
              <w:t>. Routledge.</w:t>
            </w:r>
          </w:p>
        </w:tc>
      </w:tr>
      <w:tr w:rsidR="0050473A" w:rsidRPr="0050473A" w14:paraId="101AC67E" w14:textId="77777777" w:rsidTr="0050473A">
        <w:trPr>
          <w:tblCellSpacing w:w="15" w:type="dxa"/>
        </w:trPr>
        <w:tc>
          <w:tcPr>
            <w:tcW w:w="0" w:type="auto"/>
            <w:vAlign w:val="center"/>
            <w:hideMark/>
          </w:tcPr>
          <w:p w14:paraId="0A3F60A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[52]</w:t>
            </w:r>
          </w:p>
        </w:tc>
        <w:tc>
          <w:tcPr>
            <w:tcW w:w="0" w:type="auto"/>
            <w:vAlign w:val="center"/>
            <w:hideMark/>
          </w:tcPr>
          <w:p w14:paraId="3C6BD6C3"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Giere, Ronald (2006): </w:t>
            </w:r>
            <w:r w:rsidRPr="0050473A">
              <w:rPr>
                <w:rFonts w:ascii="Times New Roman" w:eastAsia="Times New Roman" w:hAnsi="Times New Roman"/>
                <w:i/>
                <w:iCs/>
                <w:szCs w:val="24"/>
                <w:lang w:eastAsia="de-DE"/>
              </w:rPr>
              <w:t xml:space="preserve">Scientific </w:t>
            </w:r>
            <w:proofErr w:type="spellStart"/>
            <w:r w:rsidRPr="0050473A">
              <w:rPr>
                <w:rFonts w:ascii="Times New Roman" w:eastAsia="Times New Roman" w:hAnsi="Times New Roman"/>
                <w:i/>
                <w:iCs/>
                <w:szCs w:val="24"/>
                <w:lang w:eastAsia="de-DE"/>
              </w:rPr>
              <w:t>Perspectivism</w:t>
            </w:r>
            <w:proofErr w:type="spellEnd"/>
            <w:r w:rsidRPr="0050473A">
              <w:rPr>
                <w:rFonts w:ascii="Times New Roman" w:eastAsia="Times New Roman" w:hAnsi="Times New Roman"/>
                <w:szCs w:val="24"/>
                <w:lang w:eastAsia="de-DE"/>
              </w:rPr>
              <w:t xml:space="preserve">. University </w:t>
            </w:r>
            <w:proofErr w:type="spellStart"/>
            <w:r w:rsidRPr="0050473A">
              <w:rPr>
                <w:rFonts w:ascii="Times New Roman" w:eastAsia="Times New Roman" w:hAnsi="Times New Roman"/>
                <w:szCs w:val="24"/>
                <w:lang w:eastAsia="de-DE"/>
              </w:rPr>
              <w:t>of</w:t>
            </w:r>
            <w:proofErr w:type="spellEnd"/>
            <w:r w:rsidRPr="0050473A">
              <w:rPr>
                <w:rFonts w:ascii="Times New Roman" w:eastAsia="Times New Roman" w:hAnsi="Times New Roman"/>
                <w:szCs w:val="24"/>
                <w:lang w:eastAsia="de-DE"/>
              </w:rPr>
              <w:t xml:space="preserve"> Chicago Press.</w:t>
            </w:r>
          </w:p>
        </w:tc>
      </w:tr>
      <w:tr w:rsidR="0050473A" w:rsidRPr="0050473A" w14:paraId="009AA380" w14:textId="77777777" w:rsidTr="0050473A">
        <w:trPr>
          <w:tblCellSpacing w:w="15" w:type="dxa"/>
        </w:trPr>
        <w:tc>
          <w:tcPr>
            <w:tcW w:w="0" w:type="auto"/>
            <w:vAlign w:val="center"/>
            <w:hideMark/>
          </w:tcPr>
          <w:p w14:paraId="6E3D8678"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[53]</w:t>
            </w:r>
          </w:p>
        </w:tc>
        <w:tc>
          <w:tcPr>
            <w:tcW w:w="0" w:type="auto"/>
            <w:vAlign w:val="center"/>
            <w:hideMark/>
          </w:tcPr>
          <w:p w14:paraId="495C9A5C"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Floridi</w:t>
            </w:r>
            <w:proofErr w:type="spellEnd"/>
            <w:r w:rsidRPr="0050473A">
              <w:rPr>
                <w:rFonts w:ascii="Times New Roman" w:eastAsia="Times New Roman" w:hAnsi="Times New Roman"/>
                <w:szCs w:val="24"/>
                <w:lang w:eastAsia="de-DE"/>
              </w:rPr>
              <w:t xml:space="preserve">, Luciano et al. (2018): </w:t>
            </w:r>
            <w:r w:rsidRPr="0050473A">
              <w:rPr>
                <w:rFonts w:ascii="Times New Roman" w:eastAsia="Times New Roman" w:hAnsi="Times New Roman"/>
                <w:i/>
                <w:iCs/>
                <w:szCs w:val="24"/>
                <w:lang w:eastAsia="de-DE"/>
              </w:rPr>
              <w:t xml:space="preserve">AI4People – An </w:t>
            </w:r>
            <w:proofErr w:type="spellStart"/>
            <w:r w:rsidRPr="0050473A">
              <w:rPr>
                <w:rFonts w:ascii="Times New Roman" w:eastAsia="Times New Roman" w:hAnsi="Times New Roman"/>
                <w:i/>
                <w:iCs/>
                <w:szCs w:val="24"/>
                <w:lang w:eastAsia="de-DE"/>
              </w:rPr>
              <w:t>Ethical</w:t>
            </w:r>
            <w:proofErr w:type="spellEnd"/>
            <w:r w:rsidRPr="0050473A">
              <w:rPr>
                <w:rFonts w:ascii="Times New Roman" w:eastAsia="Times New Roman" w:hAnsi="Times New Roman"/>
                <w:i/>
                <w:iCs/>
                <w:szCs w:val="24"/>
                <w:lang w:eastAsia="de-DE"/>
              </w:rPr>
              <w:t xml:space="preserve"> Framework </w:t>
            </w:r>
            <w:proofErr w:type="spellStart"/>
            <w:r w:rsidRPr="0050473A">
              <w:rPr>
                <w:rFonts w:ascii="Times New Roman" w:eastAsia="Times New Roman" w:hAnsi="Times New Roman"/>
                <w:i/>
                <w:iCs/>
                <w:szCs w:val="24"/>
                <w:lang w:eastAsia="de-DE"/>
              </w:rPr>
              <w:t>for</w:t>
            </w:r>
            <w:proofErr w:type="spellEnd"/>
            <w:r w:rsidRPr="0050473A">
              <w:rPr>
                <w:rFonts w:ascii="Times New Roman" w:eastAsia="Times New Roman" w:hAnsi="Times New Roman"/>
                <w:i/>
                <w:iCs/>
                <w:szCs w:val="24"/>
                <w:lang w:eastAsia="de-DE"/>
              </w:rPr>
              <w:t xml:space="preserve"> a </w:t>
            </w:r>
            <w:proofErr w:type="spellStart"/>
            <w:r w:rsidRPr="0050473A">
              <w:rPr>
                <w:rFonts w:ascii="Times New Roman" w:eastAsia="Times New Roman" w:hAnsi="Times New Roman"/>
                <w:i/>
                <w:iCs/>
                <w:szCs w:val="24"/>
                <w:lang w:eastAsia="de-DE"/>
              </w:rPr>
              <w:t>Good</w:t>
            </w:r>
            <w:proofErr w:type="spellEnd"/>
            <w:r w:rsidRPr="0050473A">
              <w:rPr>
                <w:rFonts w:ascii="Times New Roman" w:eastAsia="Times New Roman" w:hAnsi="Times New Roman"/>
                <w:i/>
                <w:iCs/>
                <w:szCs w:val="24"/>
                <w:lang w:eastAsia="de-DE"/>
              </w:rPr>
              <w:t xml:space="preserve"> AI Society</w:t>
            </w:r>
            <w:r w:rsidRPr="0050473A">
              <w:rPr>
                <w:rFonts w:ascii="Times New Roman" w:eastAsia="Times New Roman" w:hAnsi="Times New Roman"/>
                <w:szCs w:val="24"/>
                <w:lang w:eastAsia="de-DE"/>
              </w:rPr>
              <w:t>. Minds and Machines, 28(4), 689–707.</w:t>
            </w:r>
          </w:p>
        </w:tc>
      </w:tr>
      <w:tr w:rsidR="0050473A" w:rsidRPr="0050473A" w14:paraId="3AAB0FE6" w14:textId="77777777" w:rsidTr="0050473A">
        <w:trPr>
          <w:tblCellSpacing w:w="15" w:type="dxa"/>
        </w:trPr>
        <w:tc>
          <w:tcPr>
            <w:tcW w:w="0" w:type="auto"/>
            <w:vAlign w:val="center"/>
            <w:hideMark/>
          </w:tcPr>
          <w:p w14:paraId="477F2471"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[54]</w:t>
            </w:r>
          </w:p>
        </w:tc>
        <w:tc>
          <w:tcPr>
            <w:tcW w:w="0" w:type="auto"/>
            <w:vAlign w:val="center"/>
            <w:hideMark/>
          </w:tcPr>
          <w:p w14:paraId="73A5CCB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Mittelstadt, Brent D. (2019): </w:t>
            </w:r>
            <w:proofErr w:type="spellStart"/>
            <w:r w:rsidRPr="0050473A">
              <w:rPr>
                <w:rFonts w:ascii="Times New Roman" w:eastAsia="Times New Roman" w:hAnsi="Times New Roman"/>
                <w:i/>
                <w:iCs/>
                <w:szCs w:val="24"/>
                <w:lang w:eastAsia="de-DE"/>
              </w:rPr>
              <w:t>Principles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alone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cannot</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guarantee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ethical</w:t>
            </w:r>
            <w:proofErr w:type="spellEnd"/>
            <w:r w:rsidRPr="0050473A">
              <w:rPr>
                <w:rFonts w:ascii="Times New Roman" w:eastAsia="Times New Roman" w:hAnsi="Times New Roman"/>
                <w:i/>
                <w:iCs/>
                <w:szCs w:val="24"/>
                <w:lang w:eastAsia="de-DE"/>
              </w:rPr>
              <w:t xml:space="preserve"> AI</w:t>
            </w:r>
            <w:r w:rsidRPr="0050473A">
              <w:rPr>
                <w:rFonts w:ascii="Times New Roman" w:eastAsia="Times New Roman" w:hAnsi="Times New Roman"/>
                <w:szCs w:val="24"/>
                <w:lang w:eastAsia="de-DE"/>
              </w:rPr>
              <w:t xml:space="preserve">. Nature </w:t>
            </w:r>
            <w:proofErr w:type="spellStart"/>
            <w:r w:rsidRPr="0050473A">
              <w:rPr>
                <w:rFonts w:ascii="Times New Roman" w:eastAsia="Times New Roman" w:hAnsi="Times New Roman"/>
                <w:szCs w:val="24"/>
                <w:lang w:eastAsia="de-DE"/>
              </w:rPr>
              <w:t>Machine</w:t>
            </w:r>
            <w:proofErr w:type="spellEnd"/>
            <w:r w:rsidRPr="0050473A">
              <w:rPr>
                <w:rFonts w:ascii="Times New Roman" w:eastAsia="Times New Roman" w:hAnsi="Times New Roman"/>
                <w:szCs w:val="24"/>
                <w:lang w:eastAsia="de-DE"/>
              </w:rPr>
              <w:t xml:space="preserve"> </w:t>
            </w:r>
            <w:proofErr w:type="spellStart"/>
            <w:r w:rsidRPr="0050473A">
              <w:rPr>
                <w:rFonts w:ascii="Times New Roman" w:eastAsia="Times New Roman" w:hAnsi="Times New Roman"/>
                <w:szCs w:val="24"/>
                <w:lang w:eastAsia="de-DE"/>
              </w:rPr>
              <w:t>Intelligence</w:t>
            </w:r>
            <w:proofErr w:type="spellEnd"/>
            <w:r w:rsidRPr="0050473A">
              <w:rPr>
                <w:rFonts w:ascii="Times New Roman" w:eastAsia="Times New Roman" w:hAnsi="Times New Roman"/>
                <w:szCs w:val="24"/>
                <w:lang w:eastAsia="de-DE"/>
              </w:rPr>
              <w:t>, 1, 501–507.</w:t>
            </w:r>
          </w:p>
        </w:tc>
      </w:tr>
      <w:tr w:rsidR="0050473A" w:rsidRPr="0050473A" w14:paraId="044A020E" w14:textId="77777777" w:rsidTr="0050473A">
        <w:trPr>
          <w:tblCellSpacing w:w="15" w:type="dxa"/>
        </w:trPr>
        <w:tc>
          <w:tcPr>
            <w:tcW w:w="0" w:type="auto"/>
            <w:vAlign w:val="center"/>
            <w:hideMark/>
          </w:tcPr>
          <w:p w14:paraId="4F8DC3CB"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[55]</w:t>
            </w:r>
          </w:p>
        </w:tc>
        <w:tc>
          <w:tcPr>
            <w:tcW w:w="0" w:type="auto"/>
            <w:vAlign w:val="center"/>
            <w:hideMark/>
          </w:tcPr>
          <w:p w14:paraId="0C9D2967"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Coeckelbergh</w:t>
            </w:r>
            <w:proofErr w:type="spellEnd"/>
            <w:r w:rsidRPr="0050473A">
              <w:rPr>
                <w:rFonts w:ascii="Times New Roman" w:eastAsia="Times New Roman" w:hAnsi="Times New Roman"/>
                <w:szCs w:val="24"/>
                <w:lang w:eastAsia="de-DE"/>
              </w:rPr>
              <w:t xml:space="preserve">, Mark (2021): </w:t>
            </w:r>
            <w:r w:rsidRPr="0050473A">
              <w:rPr>
                <w:rFonts w:ascii="Times New Roman" w:eastAsia="Times New Roman" w:hAnsi="Times New Roman"/>
                <w:i/>
                <w:iCs/>
                <w:szCs w:val="24"/>
                <w:lang w:eastAsia="de-DE"/>
              </w:rPr>
              <w:t xml:space="preserve">Narrative </w:t>
            </w:r>
            <w:proofErr w:type="spellStart"/>
            <w:r w:rsidRPr="0050473A">
              <w:rPr>
                <w:rFonts w:ascii="Times New Roman" w:eastAsia="Times New Roman" w:hAnsi="Times New Roman"/>
                <w:i/>
                <w:iCs/>
                <w:szCs w:val="24"/>
                <w:lang w:eastAsia="de-DE"/>
              </w:rPr>
              <w:t>responsibility</w:t>
            </w:r>
            <w:proofErr w:type="spellEnd"/>
            <w:r w:rsidRPr="0050473A">
              <w:rPr>
                <w:rFonts w:ascii="Times New Roman" w:eastAsia="Times New Roman" w:hAnsi="Times New Roman"/>
                <w:i/>
                <w:iCs/>
                <w:szCs w:val="24"/>
                <w:lang w:eastAsia="de-DE"/>
              </w:rPr>
              <w:t xml:space="preserve"> and </w:t>
            </w:r>
            <w:proofErr w:type="spellStart"/>
            <w:r w:rsidRPr="0050473A">
              <w:rPr>
                <w:rFonts w:ascii="Times New Roman" w:eastAsia="Times New Roman" w:hAnsi="Times New Roman"/>
                <w:i/>
                <w:iCs/>
                <w:szCs w:val="24"/>
                <w:lang w:eastAsia="de-DE"/>
              </w:rPr>
              <w:t>artificial</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intelligence</w:t>
            </w:r>
            <w:proofErr w:type="spellEnd"/>
            <w:r w:rsidRPr="0050473A">
              <w:rPr>
                <w:rFonts w:ascii="Times New Roman" w:eastAsia="Times New Roman" w:hAnsi="Times New Roman"/>
                <w:szCs w:val="24"/>
                <w:lang w:eastAsia="de-DE"/>
              </w:rPr>
              <w:t>. AI &amp; Society, 36, 623–634.</w:t>
            </w:r>
          </w:p>
        </w:tc>
      </w:tr>
      <w:tr w:rsidR="0050473A" w:rsidRPr="0050473A" w14:paraId="7E48DB41" w14:textId="77777777" w:rsidTr="0050473A">
        <w:trPr>
          <w:tblCellSpacing w:w="15" w:type="dxa"/>
        </w:trPr>
        <w:tc>
          <w:tcPr>
            <w:tcW w:w="0" w:type="auto"/>
            <w:vAlign w:val="center"/>
            <w:hideMark/>
          </w:tcPr>
          <w:p w14:paraId="263D77F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[56]</w:t>
            </w:r>
          </w:p>
        </w:tc>
        <w:tc>
          <w:tcPr>
            <w:tcW w:w="0" w:type="auto"/>
            <w:vAlign w:val="center"/>
            <w:hideMark/>
          </w:tcPr>
          <w:p w14:paraId="1F2F8D35"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Mokander</w:t>
            </w:r>
            <w:proofErr w:type="spellEnd"/>
            <w:r w:rsidRPr="0050473A">
              <w:rPr>
                <w:rFonts w:ascii="Times New Roman" w:eastAsia="Times New Roman" w:hAnsi="Times New Roman"/>
                <w:szCs w:val="24"/>
                <w:lang w:eastAsia="de-DE"/>
              </w:rPr>
              <w:t xml:space="preserve">, Jakob / </w:t>
            </w:r>
            <w:proofErr w:type="spellStart"/>
            <w:r w:rsidRPr="0050473A">
              <w:rPr>
                <w:rFonts w:ascii="Times New Roman" w:eastAsia="Times New Roman" w:hAnsi="Times New Roman"/>
                <w:szCs w:val="24"/>
                <w:lang w:eastAsia="de-DE"/>
              </w:rPr>
              <w:t>Floridi</w:t>
            </w:r>
            <w:proofErr w:type="spellEnd"/>
            <w:r w:rsidRPr="0050473A">
              <w:rPr>
                <w:rFonts w:ascii="Times New Roman" w:eastAsia="Times New Roman" w:hAnsi="Times New Roman"/>
                <w:szCs w:val="24"/>
                <w:lang w:eastAsia="de-DE"/>
              </w:rPr>
              <w:t xml:space="preserve">, Luciano (2021): </w:t>
            </w:r>
            <w:proofErr w:type="spellStart"/>
            <w:r w:rsidRPr="0050473A">
              <w:rPr>
                <w:rFonts w:ascii="Times New Roman" w:eastAsia="Times New Roman" w:hAnsi="Times New Roman"/>
                <w:i/>
                <w:iCs/>
                <w:szCs w:val="24"/>
                <w:lang w:eastAsia="de-DE"/>
              </w:rPr>
              <w:t>Ethics-based</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audit</w:t>
            </w:r>
            <w:proofErr w:type="spellEnd"/>
          </w:p>
        </w:tc>
      </w:tr>
    </w:tbl>
    <w:p w14:paraId="7B21A9F4" w14:textId="77777777" w:rsidR="00106528" w:rsidRPr="00121132" w:rsidRDefault="00106528" w:rsidP="00121132">
      <w:pPr>
        <w:rPr>
          <w:rStyle w:val="IntensiveHervorhebung"/>
          <w:i w:val="0"/>
          <w:iCs w:val="0"/>
          <w:color w:val="auto"/>
        </w:rPr>
      </w:pPr>
    </w:p>
    <w:sectPr w:rsidR="00106528" w:rsidRPr="0012113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C960AF"/>
    <w:multiLevelType w:val="multilevel"/>
    <w:tmpl w:val="AC84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935"/>
    <w:rsid w:val="000467F2"/>
    <w:rsid w:val="00082214"/>
    <w:rsid w:val="00106528"/>
    <w:rsid w:val="00121132"/>
    <w:rsid w:val="001830F2"/>
    <w:rsid w:val="0019229D"/>
    <w:rsid w:val="00433ECB"/>
    <w:rsid w:val="00436FC4"/>
    <w:rsid w:val="00500020"/>
    <w:rsid w:val="0050473A"/>
    <w:rsid w:val="005454E6"/>
    <w:rsid w:val="005B35B4"/>
    <w:rsid w:val="005B5EFD"/>
    <w:rsid w:val="006016DC"/>
    <w:rsid w:val="0062001A"/>
    <w:rsid w:val="00723F92"/>
    <w:rsid w:val="007B7DE7"/>
    <w:rsid w:val="007E333F"/>
    <w:rsid w:val="008871CF"/>
    <w:rsid w:val="008B0C43"/>
    <w:rsid w:val="008C4935"/>
    <w:rsid w:val="009032D7"/>
    <w:rsid w:val="00A307C9"/>
    <w:rsid w:val="00A972C1"/>
    <w:rsid w:val="00AA4222"/>
    <w:rsid w:val="00AF6392"/>
    <w:rsid w:val="00B53EE0"/>
    <w:rsid w:val="00B873C2"/>
    <w:rsid w:val="00BA664A"/>
    <w:rsid w:val="00CB6546"/>
    <w:rsid w:val="00CD2089"/>
    <w:rsid w:val="00CE2E9F"/>
    <w:rsid w:val="00D30F48"/>
    <w:rsid w:val="00D33BDA"/>
    <w:rsid w:val="00D44FE7"/>
    <w:rsid w:val="00D542C6"/>
    <w:rsid w:val="00D80CC8"/>
    <w:rsid w:val="00DD5A28"/>
    <w:rsid w:val="00E6450A"/>
    <w:rsid w:val="00EA1CC2"/>
    <w:rsid w:val="00EC35D8"/>
    <w:rsid w:val="00F00AA2"/>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99AD6"/>
  <w15:chartTrackingRefBased/>
  <w15:docId w15:val="{460417BD-1E6C-480D-8137-C02D27ABE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016DC"/>
    <w:pPr>
      <w:spacing w:after="160" w:line="259" w:lineRule="auto"/>
    </w:pPr>
    <w:rPr>
      <w:sz w:val="24"/>
      <w:szCs w:val="22"/>
      <w:lang w:eastAsia="en-US"/>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eastAsia="Times New Roman"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after="120"/>
      <w:outlineLvl w:val="2"/>
    </w:pPr>
    <w:rPr>
      <w:rFonts w:ascii="Calibri Light" w:eastAsia="Times New Roman" w:hAnsi="Calibri Light"/>
      <w:b/>
      <w:szCs w:val="24"/>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cs="Calibri"/>
      <w:i/>
      <w:color w:val="2F5496"/>
      <w:szCs w:val="24"/>
      <w:lang w:eastAsia="de-DE"/>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cs="Calibri"/>
      <w:b/>
      <w:sz w:val="22"/>
      <w:lang w:eastAsia="de-DE"/>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cs="Calibri"/>
      <w:b/>
      <w:sz w:val="20"/>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A307C9"/>
    <w:pPr>
      <w:keepNext/>
      <w:keepLines/>
      <w:spacing w:before="480" w:after="120"/>
    </w:pPr>
    <w:rPr>
      <w:rFonts w:cs="Calibri"/>
      <w:b/>
      <w:sz w:val="72"/>
      <w:szCs w:val="72"/>
      <w:lang w:eastAsia="de-DE"/>
    </w:rPr>
  </w:style>
  <w:style w:type="character" w:customStyle="1" w:styleId="TitelZchn">
    <w:name w:val="Titel Zchn"/>
    <w:link w:val="Titel"/>
    <w:uiPriority w:val="10"/>
    <w:rsid w:val="00A307C9"/>
    <w:rPr>
      <w:rFonts w:ascii="Calibri" w:eastAsia="Calibri" w:hAnsi="Calibri" w:cs="Calibri"/>
      <w:b/>
      <w:sz w:val="72"/>
      <w:szCs w:val="72"/>
      <w:lang w:eastAsia="de-DE"/>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lang w:eastAsia="de-DE"/>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spacing w:after="120" w:line="240" w:lineRule="auto"/>
      <w:ind w:left="714" w:hanging="357"/>
    </w:pPr>
    <w:rPr>
      <w:rFonts w:cs="Calibri"/>
      <w:szCs w:val="24"/>
      <w:lang w:eastAsia="de-DE"/>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uiPriority w:val="29"/>
    <w:qFormat/>
    <w:rsid w:val="000467F2"/>
    <w:pPr>
      <w:tabs>
        <w:tab w:val="left" w:pos="1134"/>
      </w:tabs>
      <w:spacing w:before="200"/>
      <w:ind w:left="1134" w:right="1134"/>
    </w:pPr>
    <w:rPr>
      <w:i/>
      <w:iCs/>
      <w:color w:val="404040"/>
    </w:rPr>
  </w:style>
  <w:style w:type="character" w:customStyle="1" w:styleId="ZitatZchn">
    <w:name w:val="Zitat Zchn"/>
    <w:link w:val="Zitat"/>
    <w:uiPriority w:val="29"/>
    <w:rsid w:val="000467F2"/>
    <w:rPr>
      <w:i/>
      <w:iCs/>
      <w:color w:val="404040"/>
      <w:sz w:val="24"/>
    </w:rPr>
  </w:style>
  <w:style w:type="paragraph" w:customStyle="1" w:styleId="Abbildungsname">
    <w:name w:val="Abbildungsname"/>
    <w:basedOn w:val="Standard"/>
    <w:link w:val="AbbildungsnameZchn"/>
    <w:qFormat/>
    <w:rsid w:val="000467F2"/>
    <w:pPr>
      <w:jc w:val="center"/>
    </w:pPr>
    <w:rPr>
      <w:i/>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0467F2"/>
    <w:rPr>
      <w:i/>
      <w:sz w:val="24"/>
    </w:rPr>
  </w:style>
  <w:style w:type="paragraph" w:styleId="StandardWeb">
    <w:name w:val="Normal (Web)"/>
    <w:basedOn w:val="Standard"/>
    <w:uiPriority w:val="99"/>
    <w:unhideWhenUsed/>
    <w:rsid w:val="001830F2"/>
    <w:pPr>
      <w:spacing w:before="100" w:beforeAutospacing="1" w:after="100" w:afterAutospacing="1" w:line="240" w:lineRule="auto"/>
    </w:pPr>
    <w:rPr>
      <w:rFonts w:ascii="Times New Roman" w:eastAsia="Times New Roman" w:hAnsi="Times New Roman"/>
      <w:szCs w:val="24"/>
      <w:lang w:eastAsia="de-DE"/>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character" w:styleId="Hervorhebung">
    <w:name w:val="Emphasis"/>
    <w:basedOn w:val="Absatz-Standardschriftart"/>
    <w:uiPriority w:val="20"/>
    <w:qFormat/>
    <w:rsid w:val="00DD5A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57894">
      <w:bodyDiv w:val="1"/>
      <w:marLeft w:val="0"/>
      <w:marRight w:val="0"/>
      <w:marTop w:val="0"/>
      <w:marBottom w:val="0"/>
      <w:divBdr>
        <w:top w:val="none" w:sz="0" w:space="0" w:color="auto"/>
        <w:left w:val="none" w:sz="0" w:space="0" w:color="auto"/>
        <w:bottom w:val="none" w:sz="0" w:space="0" w:color="auto"/>
        <w:right w:val="none" w:sz="0" w:space="0" w:color="auto"/>
      </w:divBdr>
      <w:divsChild>
        <w:div w:id="334918307">
          <w:marLeft w:val="0"/>
          <w:marRight w:val="0"/>
          <w:marTop w:val="0"/>
          <w:marBottom w:val="0"/>
          <w:divBdr>
            <w:top w:val="none" w:sz="0" w:space="0" w:color="auto"/>
            <w:left w:val="none" w:sz="0" w:space="0" w:color="auto"/>
            <w:bottom w:val="none" w:sz="0" w:space="0" w:color="auto"/>
            <w:right w:val="none" w:sz="0" w:space="0" w:color="auto"/>
          </w:divBdr>
          <w:divsChild>
            <w:div w:id="77306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13254577">
      <w:bodyDiv w:val="1"/>
      <w:marLeft w:val="0"/>
      <w:marRight w:val="0"/>
      <w:marTop w:val="0"/>
      <w:marBottom w:val="0"/>
      <w:divBdr>
        <w:top w:val="none" w:sz="0" w:space="0" w:color="auto"/>
        <w:left w:val="none" w:sz="0" w:space="0" w:color="auto"/>
        <w:bottom w:val="none" w:sz="0" w:space="0" w:color="auto"/>
        <w:right w:val="none" w:sz="0" w:space="0" w:color="auto"/>
      </w:divBdr>
      <w:divsChild>
        <w:div w:id="575868842">
          <w:marLeft w:val="0"/>
          <w:marRight w:val="0"/>
          <w:marTop w:val="0"/>
          <w:marBottom w:val="0"/>
          <w:divBdr>
            <w:top w:val="none" w:sz="0" w:space="0" w:color="auto"/>
            <w:left w:val="none" w:sz="0" w:space="0" w:color="auto"/>
            <w:bottom w:val="none" w:sz="0" w:space="0" w:color="auto"/>
            <w:right w:val="none" w:sz="0" w:space="0" w:color="auto"/>
          </w:divBdr>
          <w:divsChild>
            <w:div w:id="58584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574780102">
      <w:bodyDiv w:val="1"/>
      <w:marLeft w:val="0"/>
      <w:marRight w:val="0"/>
      <w:marTop w:val="0"/>
      <w:marBottom w:val="0"/>
      <w:divBdr>
        <w:top w:val="none" w:sz="0" w:space="0" w:color="auto"/>
        <w:left w:val="none" w:sz="0" w:space="0" w:color="auto"/>
        <w:bottom w:val="none" w:sz="0" w:space="0" w:color="auto"/>
        <w:right w:val="none" w:sz="0" w:space="0" w:color="auto"/>
      </w:divBdr>
      <w:divsChild>
        <w:div w:id="464006705">
          <w:marLeft w:val="0"/>
          <w:marRight w:val="0"/>
          <w:marTop w:val="0"/>
          <w:marBottom w:val="0"/>
          <w:divBdr>
            <w:top w:val="none" w:sz="0" w:space="0" w:color="auto"/>
            <w:left w:val="none" w:sz="0" w:space="0" w:color="auto"/>
            <w:bottom w:val="none" w:sz="0" w:space="0" w:color="auto"/>
            <w:right w:val="none" w:sz="0" w:space="0" w:color="auto"/>
          </w:divBdr>
          <w:divsChild>
            <w:div w:id="104074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60560">
      <w:bodyDiv w:val="1"/>
      <w:marLeft w:val="0"/>
      <w:marRight w:val="0"/>
      <w:marTop w:val="0"/>
      <w:marBottom w:val="0"/>
      <w:divBdr>
        <w:top w:val="none" w:sz="0" w:space="0" w:color="auto"/>
        <w:left w:val="none" w:sz="0" w:space="0" w:color="auto"/>
        <w:bottom w:val="none" w:sz="0" w:space="0" w:color="auto"/>
        <w:right w:val="none" w:sz="0" w:space="0" w:color="auto"/>
      </w:divBdr>
      <w:divsChild>
        <w:div w:id="1437211868">
          <w:marLeft w:val="0"/>
          <w:marRight w:val="0"/>
          <w:marTop w:val="0"/>
          <w:marBottom w:val="0"/>
          <w:divBdr>
            <w:top w:val="none" w:sz="0" w:space="0" w:color="auto"/>
            <w:left w:val="none" w:sz="0" w:space="0" w:color="auto"/>
            <w:bottom w:val="none" w:sz="0" w:space="0" w:color="auto"/>
            <w:right w:val="none" w:sz="0" w:space="0" w:color="auto"/>
          </w:divBdr>
          <w:divsChild>
            <w:div w:id="78207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880424">
      <w:bodyDiv w:val="1"/>
      <w:marLeft w:val="0"/>
      <w:marRight w:val="0"/>
      <w:marTop w:val="0"/>
      <w:marBottom w:val="0"/>
      <w:divBdr>
        <w:top w:val="none" w:sz="0" w:space="0" w:color="auto"/>
        <w:left w:val="none" w:sz="0" w:space="0" w:color="auto"/>
        <w:bottom w:val="none" w:sz="0" w:space="0" w:color="auto"/>
        <w:right w:val="none" w:sz="0" w:space="0" w:color="auto"/>
      </w:divBdr>
      <w:divsChild>
        <w:div w:id="1719355365">
          <w:marLeft w:val="0"/>
          <w:marRight w:val="0"/>
          <w:marTop w:val="0"/>
          <w:marBottom w:val="0"/>
          <w:divBdr>
            <w:top w:val="none" w:sz="0" w:space="0" w:color="auto"/>
            <w:left w:val="none" w:sz="0" w:space="0" w:color="auto"/>
            <w:bottom w:val="none" w:sz="0" w:space="0" w:color="auto"/>
            <w:right w:val="none" w:sz="0" w:space="0" w:color="auto"/>
          </w:divBdr>
          <w:divsChild>
            <w:div w:id="36074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65980">
      <w:bodyDiv w:val="1"/>
      <w:marLeft w:val="0"/>
      <w:marRight w:val="0"/>
      <w:marTop w:val="0"/>
      <w:marBottom w:val="0"/>
      <w:divBdr>
        <w:top w:val="none" w:sz="0" w:space="0" w:color="auto"/>
        <w:left w:val="none" w:sz="0" w:space="0" w:color="auto"/>
        <w:bottom w:val="none" w:sz="0" w:space="0" w:color="auto"/>
        <w:right w:val="none" w:sz="0" w:space="0" w:color="auto"/>
      </w:divBdr>
      <w:divsChild>
        <w:div w:id="1471746531">
          <w:marLeft w:val="0"/>
          <w:marRight w:val="0"/>
          <w:marTop w:val="0"/>
          <w:marBottom w:val="0"/>
          <w:divBdr>
            <w:top w:val="none" w:sz="0" w:space="0" w:color="auto"/>
            <w:left w:val="none" w:sz="0" w:space="0" w:color="auto"/>
            <w:bottom w:val="none" w:sz="0" w:space="0" w:color="auto"/>
            <w:right w:val="none" w:sz="0" w:space="0" w:color="auto"/>
          </w:divBdr>
          <w:divsChild>
            <w:div w:id="104714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43002319">
      <w:bodyDiv w:val="1"/>
      <w:marLeft w:val="0"/>
      <w:marRight w:val="0"/>
      <w:marTop w:val="0"/>
      <w:marBottom w:val="0"/>
      <w:divBdr>
        <w:top w:val="none" w:sz="0" w:space="0" w:color="auto"/>
        <w:left w:val="none" w:sz="0" w:space="0" w:color="auto"/>
        <w:bottom w:val="none" w:sz="0" w:space="0" w:color="auto"/>
        <w:right w:val="none" w:sz="0" w:space="0" w:color="auto"/>
      </w:divBdr>
    </w:div>
    <w:div w:id="952519020">
      <w:bodyDiv w:val="1"/>
      <w:marLeft w:val="0"/>
      <w:marRight w:val="0"/>
      <w:marTop w:val="0"/>
      <w:marBottom w:val="0"/>
      <w:divBdr>
        <w:top w:val="none" w:sz="0" w:space="0" w:color="auto"/>
        <w:left w:val="none" w:sz="0" w:space="0" w:color="auto"/>
        <w:bottom w:val="none" w:sz="0" w:space="0" w:color="auto"/>
        <w:right w:val="none" w:sz="0" w:space="0" w:color="auto"/>
      </w:divBdr>
      <w:divsChild>
        <w:div w:id="585841736">
          <w:marLeft w:val="0"/>
          <w:marRight w:val="0"/>
          <w:marTop w:val="0"/>
          <w:marBottom w:val="0"/>
          <w:divBdr>
            <w:top w:val="none" w:sz="0" w:space="0" w:color="auto"/>
            <w:left w:val="none" w:sz="0" w:space="0" w:color="auto"/>
            <w:bottom w:val="none" w:sz="0" w:space="0" w:color="auto"/>
            <w:right w:val="none" w:sz="0" w:space="0" w:color="auto"/>
          </w:divBdr>
          <w:divsChild>
            <w:div w:id="200920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788384">
      <w:bodyDiv w:val="1"/>
      <w:marLeft w:val="0"/>
      <w:marRight w:val="0"/>
      <w:marTop w:val="0"/>
      <w:marBottom w:val="0"/>
      <w:divBdr>
        <w:top w:val="none" w:sz="0" w:space="0" w:color="auto"/>
        <w:left w:val="none" w:sz="0" w:space="0" w:color="auto"/>
        <w:bottom w:val="none" w:sz="0" w:space="0" w:color="auto"/>
        <w:right w:val="none" w:sz="0" w:space="0" w:color="auto"/>
      </w:divBdr>
    </w:div>
    <w:div w:id="1060128416">
      <w:bodyDiv w:val="1"/>
      <w:marLeft w:val="0"/>
      <w:marRight w:val="0"/>
      <w:marTop w:val="0"/>
      <w:marBottom w:val="0"/>
      <w:divBdr>
        <w:top w:val="none" w:sz="0" w:space="0" w:color="auto"/>
        <w:left w:val="none" w:sz="0" w:space="0" w:color="auto"/>
        <w:bottom w:val="none" w:sz="0" w:space="0" w:color="auto"/>
        <w:right w:val="none" w:sz="0" w:space="0" w:color="auto"/>
      </w:divBdr>
      <w:divsChild>
        <w:div w:id="107088361">
          <w:marLeft w:val="0"/>
          <w:marRight w:val="0"/>
          <w:marTop w:val="0"/>
          <w:marBottom w:val="0"/>
          <w:divBdr>
            <w:top w:val="none" w:sz="0" w:space="0" w:color="auto"/>
            <w:left w:val="none" w:sz="0" w:space="0" w:color="auto"/>
            <w:bottom w:val="none" w:sz="0" w:space="0" w:color="auto"/>
            <w:right w:val="none" w:sz="0" w:space="0" w:color="auto"/>
          </w:divBdr>
          <w:divsChild>
            <w:div w:id="212788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536013">
      <w:bodyDiv w:val="1"/>
      <w:marLeft w:val="0"/>
      <w:marRight w:val="0"/>
      <w:marTop w:val="0"/>
      <w:marBottom w:val="0"/>
      <w:divBdr>
        <w:top w:val="none" w:sz="0" w:space="0" w:color="auto"/>
        <w:left w:val="none" w:sz="0" w:space="0" w:color="auto"/>
        <w:bottom w:val="none" w:sz="0" w:space="0" w:color="auto"/>
        <w:right w:val="none" w:sz="0" w:space="0" w:color="auto"/>
      </w:divBdr>
      <w:divsChild>
        <w:div w:id="888762141">
          <w:marLeft w:val="0"/>
          <w:marRight w:val="0"/>
          <w:marTop w:val="0"/>
          <w:marBottom w:val="0"/>
          <w:divBdr>
            <w:top w:val="none" w:sz="0" w:space="0" w:color="auto"/>
            <w:left w:val="none" w:sz="0" w:space="0" w:color="auto"/>
            <w:bottom w:val="none" w:sz="0" w:space="0" w:color="auto"/>
            <w:right w:val="none" w:sz="0" w:space="0" w:color="auto"/>
          </w:divBdr>
          <w:divsChild>
            <w:div w:id="51800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999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6323</Words>
  <Characters>39837</Characters>
  <Application>Microsoft Office Word</Application>
  <DocSecurity>0</DocSecurity>
  <Lines>331</Lines>
  <Paragraphs>92</Paragraphs>
  <ScaleCrop>false</ScaleCrop>
  <HeadingPairs>
    <vt:vector size="4" baseType="variant">
      <vt:variant>
        <vt:lpstr>Titel</vt:lpstr>
      </vt:variant>
      <vt:variant>
        <vt:i4>1</vt:i4>
      </vt:variant>
      <vt:variant>
        <vt:lpstr>Überschriften</vt:lpstr>
      </vt:variant>
      <vt:variant>
        <vt:i4>21</vt:i4>
      </vt:variant>
    </vt:vector>
  </HeadingPairs>
  <TitlesOfParts>
    <vt:vector size="22" baseType="lpstr">
      <vt:lpstr/>
      <vt:lpstr>4. Vorhersagen des  Funktionales Raum-Zeit-Kohärenzsystem (FRZK)</vt:lpstr>
      <vt:lpstr>4.1 Emergenz von Realität durch funktionale Zuweisungen</vt:lpstr>
      <vt:lpstr>    4.1 Emergenz von Realität durch funktionale Zuweisungen</vt:lpstr>
      <vt:lpstr>        4.1.1 Ontologische Zurückhaltung als Modellprinzip</vt:lpstr>
      <vt:lpstr>        4.1.2 Initialpunkt und strukturloser Zustand (∅)</vt:lpstr>
      <vt:lpstr>        4.1.3 Funktionale Entstehung von Raum und Zeit</vt:lpstr>
      <vt:lpstr>        4.1.4 Konsistenz mit physikalischen Emergenztheorien</vt:lpstr>
      <vt:lpstr>        4.1.5 Epistemische Position der Vorhersage</vt:lpstr>
      <vt:lpstr>4.2 Hierarchische und emergente Struktur von Gleichungstypen</vt:lpstr>
      <vt:lpstr>        4.2 Hierarchische und emergente Struktur von Gleichungstypen</vt:lpstr>
      <vt:lpstr>4.3 Rekursivität und Selbstbezüglichkeit von Beobachtung</vt:lpstr>
      <vt:lpstr>4.4 Funktionale Abhängigkeit von Kausalität und Energie</vt:lpstr>
      <vt:lpstr>4.5 Dynamische und anpassungsfähige Bedeutungsfelder</vt:lpstr>
      <vt:lpstr>4.6 Transformierbarkeit symbolischer Ordnungen durch Reflexion</vt:lpstr>
      <vt:lpstr>        4.6 Transformierbarkeit symbolischer Ordnungen durch Reflexion</vt:lpstr>
      <vt:lpstr>4.7 Ko-evolutionäre Natur von semantischer und kultureller Entwicklung</vt:lpstr>
      <vt:lpstr>        4.7 Ko-evolutionäre Natur von semantischer und kultureller Entwicklung</vt:lpstr>
      <vt:lpstr>    4.8 Ethische Implikationen der Modellwahl</vt:lpstr>
      <vt:lpstr>        4.8 Ethische Implikationen der Modellwahl</vt:lpstr>
      <vt:lpstr>    4.9 Zusammenfassung</vt:lpstr>
      <vt:lpstr>        Quellenverzeichnis für Kapitel 4</vt:lpstr>
    </vt:vector>
  </TitlesOfParts>
  <Company/>
  <LinksUpToDate>false</LinksUpToDate>
  <CharactersWithSpaces>46068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2025-07-05T01:35:00Z</dcterms:created>
  <dcterms:modified xsi:type="dcterms:W3CDTF">2025-07-05T01:35:00Z</dcterms:modified>
</cp:coreProperties>
</file>