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A2FBF" w14:textId="77777777" w:rsidR="00931184" w:rsidRDefault="00931184" w:rsidP="00931184">
      <w:pPr>
        <w:pStyle w:val="berschrift2"/>
        <w:rPr>
          <w:sz w:val="36"/>
          <w:szCs w:val="36"/>
        </w:rPr>
      </w:pPr>
      <w:r>
        <w:t>5.4 Forschungsfelder und empirische Anwendungen</w:t>
      </w:r>
    </w:p>
    <w:p w14:paraId="688661F7" w14:textId="77777777" w:rsidR="00931184" w:rsidRDefault="00931184" w:rsidP="00931184">
      <w:pPr>
        <w:pStyle w:val="StandardWeb"/>
      </w:pPr>
      <w:r>
        <w:t xml:space="preserve">Das </w:t>
      </w:r>
      <w:r>
        <w:rPr>
          <w:rStyle w:val="Fett"/>
        </w:rPr>
        <w:t>Funktionale Raum-Zeit-Kohärenzsystem (FRZK)</w:t>
      </w:r>
      <w:r>
        <w:t xml:space="preserve"> bietet eine interdisziplinäre Grundlage für die </w:t>
      </w:r>
      <w:r>
        <w:rPr>
          <w:rStyle w:val="Fett"/>
        </w:rPr>
        <w:t>modellhafte Beschreibung</w:t>
      </w:r>
      <w:r>
        <w:t xml:space="preserve"> und die </w:t>
      </w:r>
      <w:r>
        <w:rPr>
          <w:rStyle w:val="Fett"/>
        </w:rPr>
        <w:t>Empirische Validierung</w:t>
      </w:r>
      <w:r>
        <w:t xml:space="preserve"> von </w:t>
      </w:r>
      <w:r>
        <w:rPr>
          <w:rStyle w:val="Fett"/>
        </w:rPr>
        <w:t>dynamischen, relationalen Systemen</w:t>
      </w:r>
      <w:r>
        <w:t xml:space="preserve">. In diesem Abschnitt werden spezifische </w:t>
      </w:r>
      <w:r>
        <w:rPr>
          <w:rStyle w:val="Fett"/>
        </w:rPr>
        <w:t>Forschungsfelder</w:t>
      </w:r>
      <w:r>
        <w:t xml:space="preserve"> vorgestellt, in denen das FRZK seine </w:t>
      </w:r>
      <w:r>
        <w:rPr>
          <w:rStyle w:val="Fett"/>
        </w:rPr>
        <w:t>praktische Relevanz</w:t>
      </w:r>
      <w:r>
        <w:t xml:space="preserve"> und </w:t>
      </w:r>
      <w:r>
        <w:rPr>
          <w:rStyle w:val="Fett"/>
        </w:rPr>
        <w:t>dynamische Kohärenz</w:t>
      </w:r>
      <w:r>
        <w:t xml:space="preserve"> unter Beweis stellen kann. Insbesondere die Felder der </w:t>
      </w:r>
      <w:r>
        <w:rPr>
          <w:rStyle w:val="Fett"/>
        </w:rPr>
        <w:t>Künstlichen Intelligenz (KI)</w:t>
      </w:r>
      <w:r>
        <w:t xml:space="preserve">, </w:t>
      </w:r>
      <w:r>
        <w:rPr>
          <w:rStyle w:val="Fett"/>
        </w:rPr>
        <w:t>Bildungsforschung</w:t>
      </w:r>
      <w:r>
        <w:t xml:space="preserve"> und </w:t>
      </w:r>
      <w:r>
        <w:rPr>
          <w:rStyle w:val="Fett"/>
        </w:rPr>
        <w:t>Ökologie</w:t>
      </w:r>
      <w:r>
        <w:t xml:space="preserve"> werden durch exemplarische Szenarien und experimentelle Anwendungen beleuchtet, die die </w:t>
      </w:r>
      <w:r>
        <w:rPr>
          <w:rStyle w:val="Fett"/>
        </w:rPr>
        <w:t>validierenden Eigenschaften</w:t>
      </w:r>
      <w:r>
        <w:t xml:space="preserve"> des Modells in realen, komplexen Systemen verdeutlichen.</w:t>
      </w:r>
    </w:p>
    <w:p w14:paraId="066927B0" w14:textId="77777777" w:rsidR="00931184" w:rsidRDefault="00931184" w:rsidP="00931184">
      <w:r>
        <w:pict w14:anchorId="148B1D40">
          <v:rect id="_x0000_i1025" style="width:0;height:1.5pt" o:hralign="center" o:hrstd="t" o:hr="t" fillcolor="#a0a0a0" stroked="f"/>
        </w:pict>
      </w:r>
    </w:p>
    <w:p w14:paraId="0B242E15" w14:textId="77777777" w:rsidR="00931184" w:rsidRDefault="00931184" w:rsidP="00931184">
      <w:pPr>
        <w:pStyle w:val="berschrift3"/>
      </w:pPr>
      <w:r>
        <w:t>5.4.1 Künstliche Intelligenz (KI)</w:t>
      </w:r>
    </w:p>
    <w:p w14:paraId="06089660" w14:textId="77777777" w:rsidR="00931184" w:rsidRDefault="00931184" w:rsidP="00931184">
      <w:pPr>
        <w:pStyle w:val="StandardWeb"/>
      </w:pPr>
      <w:r>
        <w:t xml:space="preserve">In der </w:t>
      </w:r>
      <w:r>
        <w:rPr>
          <w:rStyle w:val="Fett"/>
        </w:rPr>
        <w:t>Künstlichen Intelligenz (KI)</w:t>
      </w:r>
      <w:r>
        <w:t xml:space="preserve"> bietet das </w:t>
      </w:r>
      <w:r>
        <w:rPr>
          <w:rStyle w:val="Fett"/>
        </w:rPr>
        <w:t>FRZK</w:t>
      </w:r>
      <w:r>
        <w:t xml:space="preserve"> eine fundierte Basis zur Modellierung von </w:t>
      </w:r>
      <w:r>
        <w:rPr>
          <w:rStyle w:val="Fett"/>
        </w:rPr>
        <w:t>intelligenten Agenten</w:t>
      </w:r>
      <w:r>
        <w:t xml:space="preserve"> und deren </w:t>
      </w:r>
      <w:r>
        <w:rPr>
          <w:rStyle w:val="Fett"/>
        </w:rPr>
        <w:t>Interaktionen</w:t>
      </w:r>
      <w:r>
        <w:t xml:space="preserve"> mit der Umwelt. Das Modell wird insbesondere in der </w:t>
      </w:r>
      <w:r>
        <w:rPr>
          <w:rStyle w:val="Fett"/>
        </w:rPr>
        <w:t>Multi-Agenten-Modellierung</w:t>
      </w:r>
      <w:r>
        <w:t xml:space="preserve"> verwendet, um die </w:t>
      </w:r>
      <w:r>
        <w:rPr>
          <w:rStyle w:val="Fett"/>
        </w:rPr>
        <w:t>funktionalen Beziehungen</w:t>
      </w:r>
      <w:r>
        <w:t xml:space="preserve"> zwischen den Agenten und deren </w:t>
      </w:r>
      <w:r>
        <w:rPr>
          <w:rStyle w:val="Fett"/>
        </w:rPr>
        <w:t>Anpassungsprozessen</w:t>
      </w:r>
      <w:r>
        <w:t xml:space="preserve"> innerhalb dynamischer Umgebungen zu beschreiben.</w:t>
      </w:r>
    </w:p>
    <w:p w14:paraId="127DA3F0" w14:textId="77777777" w:rsidR="00931184" w:rsidRDefault="00931184" w:rsidP="00931184">
      <w:pPr>
        <w:pStyle w:val="StandardWeb"/>
      </w:pPr>
      <w:r>
        <w:t xml:space="preserve">Ein </w:t>
      </w:r>
      <w:r>
        <w:rPr>
          <w:rStyle w:val="Fett"/>
        </w:rPr>
        <w:t>praktisches Szenario</w:t>
      </w:r>
      <w:r>
        <w:t xml:space="preserve"> ist die Anwendung des FRZK auf </w:t>
      </w:r>
      <w:r>
        <w:rPr>
          <w:rStyle w:val="Fett"/>
        </w:rPr>
        <w:t>Reinforcement Learning</w:t>
      </w:r>
      <w:r>
        <w:t xml:space="preserve"> (RL), einem populären Bereich der KI, der auf </w:t>
      </w:r>
      <w:r>
        <w:rPr>
          <w:rStyle w:val="Fett"/>
        </w:rPr>
        <w:t>belohnungsbasiertem Lernen</w:t>
      </w:r>
      <w:r>
        <w:t xml:space="preserve"> basiert. Hierbei wird das FRZK eingesetzt, um die </w:t>
      </w:r>
      <w:r>
        <w:rPr>
          <w:rStyle w:val="Fett"/>
        </w:rPr>
        <w:t>dynamischen Zuweisungen</w:t>
      </w:r>
      <w:r>
        <w:t xml:space="preserve"> zwischen </w:t>
      </w:r>
      <w:r>
        <w:rPr>
          <w:rStyle w:val="Fett"/>
        </w:rPr>
        <w:t>Agenten</w:t>
      </w:r>
      <w:r>
        <w:t xml:space="preserve"> und ihrer </w:t>
      </w:r>
      <w:r>
        <w:rPr>
          <w:rStyle w:val="Fett"/>
        </w:rPr>
        <w:t>Umwelt</w:t>
      </w:r>
      <w:r>
        <w:t xml:space="preserve"> zu modellieren. Das Modell bietet eine </w:t>
      </w:r>
      <w:r>
        <w:rPr>
          <w:rStyle w:val="Fett"/>
        </w:rPr>
        <w:t>strukturierte Beschreibung der Rückkopplungsschleifen</w:t>
      </w:r>
      <w:r>
        <w:t xml:space="preserve"> zwischen </w:t>
      </w:r>
      <w:r>
        <w:rPr>
          <w:rStyle w:val="Fett"/>
        </w:rPr>
        <w:t>Aktion, Belohnung und Anpassung</w:t>
      </w:r>
      <w:r>
        <w:t xml:space="preserve">, die im </w:t>
      </w:r>
      <w:r>
        <w:rPr>
          <w:rStyle w:val="Fett"/>
        </w:rPr>
        <w:t>Lernprozess</w:t>
      </w:r>
      <w:r>
        <w:t xml:space="preserve"> eines Agenten auftreten. Dies hilft, die </w:t>
      </w:r>
      <w:r>
        <w:rPr>
          <w:rStyle w:val="Fett"/>
        </w:rPr>
        <w:t>Selbstorganisation</w:t>
      </w:r>
      <w:r>
        <w:t xml:space="preserve"> und </w:t>
      </w:r>
      <w:r>
        <w:rPr>
          <w:rStyle w:val="Fett"/>
        </w:rPr>
        <w:t>dynamische Kohärenz</w:t>
      </w:r>
      <w:r>
        <w:t xml:space="preserve"> von KI-Systemen zu überprüfen und zu validieren. In einem praktischen Beispiel könnten </w:t>
      </w:r>
      <w:r>
        <w:rPr>
          <w:rStyle w:val="Fett"/>
        </w:rPr>
        <w:t>Agenten</w:t>
      </w:r>
      <w:r>
        <w:t xml:space="preserve"> innerhalb eines simulierten </w:t>
      </w:r>
      <w:r>
        <w:rPr>
          <w:rStyle w:val="Fett"/>
        </w:rPr>
        <w:t>Spielszenarios</w:t>
      </w:r>
      <w:r>
        <w:t xml:space="preserve"> lernen, ihre </w:t>
      </w:r>
      <w:r>
        <w:rPr>
          <w:rStyle w:val="Fett"/>
        </w:rPr>
        <w:t>Strategien</w:t>
      </w:r>
      <w:r>
        <w:t xml:space="preserve"> kontinuierlich zu verbessern, indem sie ihre </w:t>
      </w:r>
      <w:r>
        <w:rPr>
          <w:rStyle w:val="Fett"/>
        </w:rPr>
        <w:t>Umweltbeobachtungen</w:t>
      </w:r>
      <w:r>
        <w:t xml:space="preserve"> und </w:t>
      </w:r>
      <w:r>
        <w:rPr>
          <w:rStyle w:val="Fett"/>
        </w:rPr>
        <w:t>Interaktionen</w:t>
      </w:r>
      <w:r>
        <w:t xml:space="preserve"> reflektieren (vgl. Schmidhuber, </w:t>
      </w:r>
      <w:r>
        <w:rPr>
          <w:rStyle w:val="Hervorhebung"/>
        </w:rPr>
        <w:t xml:space="preserve">Deep Learning in </w:t>
      </w:r>
      <w:proofErr w:type="spellStart"/>
      <w:r>
        <w:rPr>
          <w:rStyle w:val="Hervorhebung"/>
        </w:rPr>
        <w:t>Neural</w:t>
      </w:r>
      <w:proofErr w:type="spellEnd"/>
      <w:r>
        <w:rPr>
          <w:rStyle w:val="Hervorhebung"/>
        </w:rPr>
        <w:t xml:space="preserve"> Networks</w:t>
      </w:r>
      <w:r>
        <w:t xml:space="preserve">, 2015 [17]; Russell &amp; </w:t>
      </w:r>
      <w:proofErr w:type="spellStart"/>
      <w:r>
        <w:t>Norvig</w:t>
      </w:r>
      <w:proofErr w:type="spellEnd"/>
      <w:r>
        <w:t xml:space="preserve">, </w:t>
      </w:r>
      <w:proofErr w:type="spellStart"/>
      <w:r>
        <w:rPr>
          <w:rStyle w:val="Hervorhebung"/>
        </w:rPr>
        <w:t>Artificial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Intelligence</w:t>
      </w:r>
      <w:proofErr w:type="spellEnd"/>
      <w:r>
        <w:rPr>
          <w:rStyle w:val="Hervorhebung"/>
        </w:rPr>
        <w:t>: A Modern Approach</w:t>
      </w:r>
      <w:r>
        <w:t>, 2010 [16]).</w:t>
      </w:r>
    </w:p>
    <w:p w14:paraId="7906F777" w14:textId="77777777" w:rsidR="00931184" w:rsidRDefault="00931184" w:rsidP="00931184">
      <w:pPr>
        <w:pStyle w:val="StandardWeb"/>
      </w:pPr>
      <w:r>
        <w:t xml:space="preserve">Das FRZK ermöglicht es, die </w:t>
      </w:r>
      <w:r>
        <w:rPr>
          <w:rStyle w:val="Fett"/>
        </w:rPr>
        <w:t>komplexen Interaktionen</w:t>
      </w:r>
      <w:r>
        <w:t xml:space="preserve"> zwischen den </w:t>
      </w:r>
      <w:r>
        <w:rPr>
          <w:rStyle w:val="Fett"/>
        </w:rPr>
        <w:t>Agenten</w:t>
      </w:r>
      <w:r>
        <w:t xml:space="preserve"> und den </w:t>
      </w:r>
      <w:r>
        <w:rPr>
          <w:rStyle w:val="Fett"/>
        </w:rPr>
        <w:t>Variablen ihrer Umgebung</w:t>
      </w:r>
      <w:r>
        <w:t xml:space="preserve"> in einem kohärenten Modell zu simulieren und zu untersuchen. Diese Simulationen tragen dazu bei, die </w:t>
      </w:r>
      <w:r>
        <w:rPr>
          <w:rStyle w:val="Fett"/>
        </w:rPr>
        <w:t>Anpassungsfähigkeit</w:t>
      </w:r>
      <w:r>
        <w:t xml:space="preserve"> und </w:t>
      </w:r>
      <w:r>
        <w:rPr>
          <w:rStyle w:val="Fett"/>
        </w:rPr>
        <w:t>Evolutionsfähigkeit</w:t>
      </w:r>
      <w:r>
        <w:t xml:space="preserve"> von intelligenten Agenten in realen Systemen zu überprüfen.</w:t>
      </w:r>
    </w:p>
    <w:p w14:paraId="1B5082CC" w14:textId="77777777" w:rsidR="00931184" w:rsidRDefault="00931184" w:rsidP="00931184">
      <w:r>
        <w:pict w14:anchorId="37EDE32A">
          <v:rect id="_x0000_i1026" style="width:0;height:1.5pt" o:hralign="center" o:hrstd="t" o:hr="t" fillcolor="#a0a0a0" stroked="f"/>
        </w:pict>
      </w:r>
    </w:p>
    <w:p w14:paraId="7AB69B9B" w14:textId="77777777" w:rsidR="00931184" w:rsidRDefault="00931184" w:rsidP="00931184">
      <w:pPr>
        <w:pStyle w:val="berschrift3"/>
      </w:pPr>
      <w:r>
        <w:t>5.4.2 Bildungsforschung</w:t>
      </w:r>
    </w:p>
    <w:p w14:paraId="4A7C7ECC" w14:textId="77777777" w:rsidR="00931184" w:rsidRDefault="00931184" w:rsidP="00931184">
      <w:pPr>
        <w:pStyle w:val="StandardWeb"/>
      </w:pPr>
      <w:r>
        <w:t xml:space="preserve">Im Bereich der </w:t>
      </w:r>
      <w:r>
        <w:rPr>
          <w:rStyle w:val="Fett"/>
        </w:rPr>
        <w:t>Bildungsforschung</w:t>
      </w:r>
      <w:r>
        <w:t xml:space="preserve"> wird das </w:t>
      </w:r>
      <w:r>
        <w:rPr>
          <w:rStyle w:val="Fett"/>
        </w:rPr>
        <w:t>FRZK</w:t>
      </w:r>
      <w:r>
        <w:t xml:space="preserve"> zur Modellierung von </w:t>
      </w:r>
      <w:r>
        <w:rPr>
          <w:rStyle w:val="Fett"/>
        </w:rPr>
        <w:t>Lernprozessen</w:t>
      </w:r>
      <w:r>
        <w:t xml:space="preserve"> eingesetzt, die durch </w:t>
      </w:r>
      <w:r>
        <w:rPr>
          <w:rStyle w:val="Fett"/>
        </w:rPr>
        <w:t>dynamische, relationale Zuweisungen</w:t>
      </w:r>
      <w:r>
        <w:t xml:space="preserve"> geprägt sind. Hier wird das Lernen als ein </w:t>
      </w:r>
      <w:r>
        <w:rPr>
          <w:rStyle w:val="Fett"/>
        </w:rPr>
        <w:t>emergentes Phänomen</w:t>
      </w:r>
      <w:r>
        <w:t xml:space="preserve"> verstanden, das durch die </w:t>
      </w:r>
      <w:r>
        <w:rPr>
          <w:rStyle w:val="Fett"/>
        </w:rPr>
        <w:t>Interaktion von Lernenden, Lehrenden und Lernmaterialien</w:t>
      </w:r>
      <w:r>
        <w:t xml:space="preserve"> erzeugt wird. Das FRZK bietet ein </w:t>
      </w:r>
      <w:r>
        <w:rPr>
          <w:rStyle w:val="Fett"/>
        </w:rPr>
        <w:t>dynamisches Modell</w:t>
      </w:r>
      <w:r>
        <w:t xml:space="preserve">, das die </w:t>
      </w:r>
      <w:r>
        <w:rPr>
          <w:rStyle w:val="Fett"/>
        </w:rPr>
        <w:t>differenzierten funktionalen Beziehungen</w:t>
      </w:r>
      <w:r>
        <w:t xml:space="preserve"> zwischen diesen Komponenten berücksichtigt und dabei den </w:t>
      </w:r>
      <w:r>
        <w:rPr>
          <w:rStyle w:val="Fett"/>
        </w:rPr>
        <w:t>selbstorganisierenden Prozess des Lernens</w:t>
      </w:r>
      <w:r>
        <w:t xml:space="preserve"> beschreibt.</w:t>
      </w:r>
    </w:p>
    <w:p w14:paraId="25192AC2" w14:textId="77777777" w:rsidR="00931184" w:rsidRDefault="00931184" w:rsidP="00931184">
      <w:pPr>
        <w:pStyle w:val="StandardWeb"/>
      </w:pPr>
      <w:r>
        <w:lastRenderedPageBreak/>
        <w:t xml:space="preserve">Ein Beispiel für die Anwendung des FRZK in der </w:t>
      </w:r>
      <w:r>
        <w:rPr>
          <w:rStyle w:val="Fett"/>
        </w:rPr>
        <w:t>Bildungsforschung</w:t>
      </w:r>
      <w:r>
        <w:t xml:space="preserve"> könnte ein </w:t>
      </w:r>
      <w:r>
        <w:rPr>
          <w:rStyle w:val="Fett"/>
        </w:rPr>
        <w:t>Projekt zur Konzeptentwicklung</w:t>
      </w:r>
      <w:r>
        <w:t xml:space="preserve"> im Bereich </w:t>
      </w:r>
      <w:r>
        <w:rPr>
          <w:rStyle w:val="Fett"/>
        </w:rPr>
        <w:t>Design-</w:t>
      </w:r>
      <w:proofErr w:type="spellStart"/>
      <w:r>
        <w:rPr>
          <w:rStyle w:val="Fett"/>
        </w:rPr>
        <w:t>Based</w:t>
      </w:r>
      <w:proofErr w:type="spellEnd"/>
      <w:r>
        <w:rPr>
          <w:rStyle w:val="Fett"/>
        </w:rPr>
        <w:t xml:space="preserve"> Research (DBR)</w:t>
      </w:r>
      <w:r>
        <w:t xml:space="preserve"> sein. DBR verfolgt einen </w:t>
      </w:r>
      <w:r>
        <w:rPr>
          <w:rStyle w:val="Fett"/>
        </w:rPr>
        <w:t>iterativen</w:t>
      </w:r>
      <w:r>
        <w:t xml:space="preserve"> und </w:t>
      </w:r>
      <w:r>
        <w:rPr>
          <w:rStyle w:val="Fett"/>
        </w:rPr>
        <w:t>reflexiven Ansatz</w:t>
      </w:r>
      <w:r>
        <w:t xml:space="preserve"> zur Gestaltung von Lernumgebungen, </w:t>
      </w:r>
      <w:proofErr w:type="gramStart"/>
      <w:r>
        <w:t xml:space="preserve">in dem </w:t>
      </w:r>
      <w:r>
        <w:rPr>
          <w:rStyle w:val="Fett"/>
        </w:rPr>
        <w:t>Lernziele</w:t>
      </w:r>
      <w:proofErr w:type="gramEnd"/>
      <w:r>
        <w:t xml:space="preserve">, </w:t>
      </w:r>
      <w:r>
        <w:rPr>
          <w:rStyle w:val="Fett"/>
        </w:rPr>
        <w:t>Aufgabenstellungen</w:t>
      </w:r>
      <w:r>
        <w:t xml:space="preserve"> und </w:t>
      </w:r>
      <w:r>
        <w:rPr>
          <w:rStyle w:val="Fett"/>
        </w:rPr>
        <w:t>Medien</w:t>
      </w:r>
      <w:r>
        <w:t xml:space="preserve"> so aufeinander abgestimmt werden, dass sie dynamische Zuweisungen fördern. In einem solchen Szenario könnte das FRZK als Modell dienen, um die </w:t>
      </w:r>
      <w:r>
        <w:rPr>
          <w:rStyle w:val="Fett"/>
        </w:rPr>
        <w:t>Interaktionen</w:t>
      </w:r>
      <w:r>
        <w:t xml:space="preserve"> und </w:t>
      </w:r>
      <w:r>
        <w:rPr>
          <w:rStyle w:val="Fett"/>
        </w:rPr>
        <w:t>Rückkopplungseffekte</w:t>
      </w:r>
      <w:r>
        <w:t xml:space="preserve"> innerhalb der Lernumgebung zu analysieren. Ein konkretes Beispiel könnte die </w:t>
      </w:r>
      <w:r>
        <w:rPr>
          <w:rStyle w:val="Fett"/>
        </w:rPr>
        <w:t>Gruppe von Studierenden</w:t>
      </w:r>
      <w:r>
        <w:t xml:space="preserve"> sein, die eine komplexe Aufgabe bearbeitet, bei der sie ständig ihre </w:t>
      </w:r>
      <w:r>
        <w:rPr>
          <w:rStyle w:val="Fett"/>
        </w:rPr>
        <w:t>strategischen Entscheidungen</w:t>
      </w:r>
      <w:r>
        <w:t xml:space="preserve"> anpassen, um die Aufgabe zu lösen (vgl. </w:t>
      </w:r>
      <w:proofErr w:type="spellStart"/>
      <w:r>
        <w:t>Dohn</w:t>
      </w:r>
      <w:proofErr w:type="spellEnd"/>
      <w:r>
        <w:t xml:space="preserve">, </w:t>
      </w:r>
      <w:r>
        <w:rPr>
          <w:rStyle w:val="Hervorhebung"/>
        </w:rPr>
        <w:t xml:space="preserve">Design </w:t>
      </w:r>
      <w:proofErr w:type="spellStart"/>
      <w:r>
        <w:rPr>
          <w:rStyle w:val="Hervorhebung"/>
        </w:rPr>
        <w:t>for</w:t>
      </w:r>
      <w:proofErr w:type="spellEnd"/>
      <w:r>
        <w:rPr>
          <w:rStyle w:val="Hervorhebung"/>
        </w:rPr>
        <w:t xml:space="preserve"> Learning in a Multimodal Environment</w:t>
      </w:r>
      <w:r>
        <w:t xml:space="preserve">, 2018 [10]; Reinmann, </w:t>
      </w:r>
      <w:r>
        <w:rPr>
          <w:rStyle w:val="Hervorhebung"/>
        </w:rPr>
        <w:t>Offenheit als didaktisches Prinzip</w:t>
      </w:r>
      <w:r>
        <w:t>, 2012 [5]).</w:t>
      </w:r>
    </w:p>
    <w:p w14:paraId="518A155D" w14:textId="77777777" w:rsidR="00931184" w:rsidRDefault="00931184" w:rsidP="00931184">
      <w:pPr>
        <w:pStyle w:val="StandardWeb"/>
      </w:pPr>
      <w:r>
        <w:t xml:space="preserve">Ein weiteres Beispiel könnte die </w:t>
      </w:r>
      <w:r>
        <w:rPr>
          <w:rStyle w:val="Fett"/>
        </w:rPr>
        <w:t>Selbstbewertung von Lernprozessen</w:t>
      </w:r>
      <w:r>
        <w:t xml:space="preserve"> innerhalb eines </w:t>
      </w:r>
      <w:r>
        <w:rPr>
          <w:rStyle w:val="Fett"/>
        </w:rPr>
        <w:t>Lernnetzwerks</w:t>
      </w:r>
      <w:r>
        <w:t xml:space="preserve"> sein, das mithilfe des FRZK auf </w:t>
      </w:r>
      <w:r>
        <w:rPr>
          <w:rStyle w:val="Fett"/>
        </w:rPr>
        <w:t>reflexive, funktionale Beziehungen</w:t>
      </w:r>
      <w:r>
        <w:t xml:space="preserve"> zwischen den Lernenden hin untersucht wird. Hier wird das Lernen als ein </w:t>
      </w:r>
      <w:r>
        <w:rPr>
          <w:rStyle w:val="Fett"/>
        </w:rPr>
        <w:t>konstruktiver</w:t>
      </w:r>
      <w:r>
        <w:t xml:space="preserve"> Prozess gesehen, der durch </w:t>
      </w:r>
      <w:r>
        <w:rPr>
          <w:rStyle w:val="Fett"/>
        </w:rPr>
        <w:t>feedback-basierte Anpassungen</w:t>
      </w:r>
      <w:r>
        <w:t xml:space="preserve"> ständig weiterentwickelt wird. In der Praxis könnte dies als </w:t>
      </w:r>
      <w:r>
        <w:rPr>
          <w:rStyle w:val="Fett"/>
        </w:rPr>
        <w:t>feedback-orientiertes Lernsystem</w:t>
      </w:r>
      <w:r>
        <w:t xml:space="preserve"> in einem </w:t>
      </w:r>
      <w:r>
        <w:rPr>
          <w:rStyle w:val="Fett"/>
        </w:rPr>
        <w:t>digitalen Klassenzimmer</w:t>
      </w:r>
      <w:r>
        <w:t xml:space="preserve"> integriert werden.</w:t>
      </w:r>
    </w:p>
    <w:p w14:paraId="3962762A" w14:textId="77777777" w:rsidR="00931184" w:rsidRDefault="00931184" w:rsidP="00931184">
      <w:r>
        <w:pict w14:anchorId="3C30891A">
          <v:rect id="_x0000_i1027" style="width:0;height:1.5pt" o:hralign="center" o:hrstd="t" o:hr="t" fillcolor="#a0a0a0" stroked="f"/>
        </w:pict>
      </w:r>
    </w:p>
    <w:p w14:paraId="115BF9E2" w14:textId="77777777" w:rsidR="00931184" w:rsidRDefault="00931184" w:rsidP="00931184">
      <w:pPr>
        <w:pStyle w:val="berschrift3"/>
      </w:pPr>
      <w:r>
        <w:t>5.4.3 Ökologie</w:t>
      </w:r>
    </w:p>
    <w:p w14:paraId="108E17AA" w14:textId="77777777" w:rsidR="00931184" w:rsidRDefault="00931184" w:rsidP="00931184">
      <w:pPr>
        <w:pStyle w:val="StandardWeb"/>
      </w:pPr>
      <w:r>
        <w:t xml:space="preserve">Das </w:t>
      </w:r>
      <w:r>
        <w:rPr>
          <w:rStyle w:val="Fett"/>
        </w:rPr>
        <w:t>FRZK</w:t>
      </w:r>
      <w:r>
        <w:t xml:space="preserve"> wird auch in der </w:t>
      </w:r>
      <w:r>
        <w:rPr>
          <w:rStyle w:val="Fett"/>
        </w:rPr>
        <w:t>Ökologie</w:t>
      </w:r>
      <w:r>
        <w:t xml:space="preserve"> zur Modellierung von </w:t>
      </w:r>
      <w:r>
        <w:rPr>
          <w:rStyle w:val="Fett"/>
        </w:rPr>
        <w:t>ökologischen Netzwerken</w:t>
      </w:r>
      <w:r>
        <w:t xml:space="preserve"> eingesetzt, um die </w:t>
      </w:r>
      <w:r>
        <w:rPr>
          <w:rStyle w:val="Fett"/>
        </w:rPr>
        <w:t>dynamischen Beziehungen</w:t>
      </w:r>
      <w:r>
        <w:t xml:space="preserve"> zwischen </w:t>
      </w:r>
      <w:r>
        <w:rPr>
          <w:rStyle w:val="Fett"/>
        </w:rPr>
        <w:t>Lebewesen und ihrer Umwelt</w:t>
      </w:r>
      <w:r>
        <w:t xml:space="preserve"> zu beschreiben. In diesem Kontext wird das Modell verwendet, um die </w:t>
      </w:r>
      <w:r>
        <w:rPr>
          <w:rStyle w:val="Fett"/>
        </w:rPr>
        <w:t>Wechselwirkungen zwischen Arten</w:t>
      </w:r>
      <w:r>
        <w:t xml:space="preserve">, ihre </w:t>
      </w:r>
      <w:r>
        <w:rPr>
          <w:rStyle w:val="Fett"/>
        </w:rPr>
        <w:t>Umweltfaktoren</w:t>
      </w:r>
      <w:r>
        <w:t xml:space="preserve"> und die </w:t>
      </w:r>
      <w:r>
        <w:rPr>
          <w:rStyle w:val="Fett"/>
        </w:rPr>
        <w:t>Selbstorganisation</w:t>
      </w:r>
      <w:r>
        <w:t xml:space="preserve"> innerhalb des Ökosystems zu analysieren.</w:t>
      </w:r>
    </w:p>
    <w:p w14:paraId="362E8FF4" w14:textId="77777777" w:rsidR="00931184" w:rsidRDefault="00931184" w:rsidP="00931184">
      <w:pPr>
        <w:pStyle w:val="StandardWeb"/>
      </w:pPr>
      <w:r>
        <w:t xml:space="preserve">Ein praktisches Beispiel ist die </w:t>
      </w:r>
      <w:r>
        <w:rPr>
          <w:rStyle w:val="Fett"/>
        </w:rPr>
        <w:t>Simulation eines Nahrungsnetzes</w:t>
      </w:r>
      <w:r>
        <w:t xml:space="preserve">, bei dem das FRZK verwendet wird, um zu untersuchen, wie sich die </w:t>
      </w:r>
      <w:r>
        <w:rPr>
          <w:rStyle w:val="Fett"/>
        </w:rPr>
        <w:t>Beziehungen zwischen Räuber und Beute</w:t>
      </w:r>
      <w:r>
        <w:t xml:space="preserve"> im Laufe der Zeit entwickeln und wie </w:t>
      </w:r>
      <w:r>
        <w:rPr>
          <w:rStyle w:val="Fett"/>
        </w:rPr>
        <w:t>ökologische Gleichgewichte</w:t>
      </w:r>
      <w:r>
        <w:t xml:space="preserve"> durch die </w:t>
      </w:r>
      <w:r>
        <w:rPr>
          <w:rStyle w:val="Fett"/>
        </w:rPr>
        <w:t>dynamische Anpassung</w:t>
      </w:r>
      <w:r>
        <w:t xml:space="preserve"> der Arten zueinander verändert werden. In einem solchen Modell werden die </w:t>
      </w:r>
      <w:r>
        <w:rPr>
          <w:rStyle w:val="Fett"/>
        </w:rPr>
        <w:t>funktionalen Zuweisungen</w:t>
      </w:r>
      <w:r>
        <w:t xml:space="preserve"> zwischen den Organismen und ihrer Umwelt fortlaufend angepasst und reflektieren die </w:t>
      </w:r>
      <w:r>
        <w:rPr>
          <w:rStyle w:val="Fett"/>
        </w:rPr>
        <w:t>Kohärenz</w:t>
      </w:r>
      <w:r>
        <w:t xml:space="preserve"> des gesamten Ökosystems (vgl. Maturana &amp; Varela, </w:t>
      </w:r>
      <w:r>
        <w:rPr>
          <w:rStyle w:val="Hervorhebung"/>
        </w:rPr>
        <w:t xml:space="preserve">Autopoiesis and </w:t>
      </w:r>
      <w:proofErr w:type="spellStart"/>
      <w:r>
        <w:rPr>
          <w:rStyle w:val="Hervorhebung"/>
        </w:rPr>
        <w:t>Cognition</w:t>
      </w:r>
      <w:proofErr w:type="spellEnd"/>
      <w:r>
        <w:t xml:space="preserve">, 1980 [7]; Newman, </w:t>
      </w:r>
      <w:r>
        <w:rPr>
          <w:rStyle w:val="Hervorhebung"/>
        </w:rPr>
        <w:t xml:space="preserve">Networks: An </w:t>
      </w:r>
      <w:proofErr w:type="spellStart"/>
      <w:r>
        <w:rPr>
          <w:rStyle w:val="Hervorhebung"/>
        </w:rPr>
        <w:t>Introduction</w:t>
      </w:r>
      <w:proofErr w:type="spellEnd"/>
      <w:r>
        <w:t>, 2010 [11]).</w:t>
      </w:r>
    </w:p>
    <w:p w14:paraId="33554A26" w14:textId="77777777" w:rsidR="00931184" w:rsidRDefault="00931184" w:rsidP="00931184">
      <w:pPr>
        <w:pStyle w:val="StandardWeb"/>
      </w:pPr>
      <w:r>
        <w:t xml:space="preserve">Ein weiteres Beispiel für die </w:t>
      </w:r>
      <w:r>
        <w:rPr>
          <w:rStyle w:val="Fett"/>
        </w:rPr>
        <w:t>Anwendung des FRZK in der Ökologie</w:t>
      </w:r>
      <w:r>
        <w:t xml:space="preserve"> könnte die </w:t>
      </w:r>
      <w:r>
        <w:rPr>
          <w:rStyle w:val="Fett"/>
        </w:rPr>
        <w:t>Simulation von Klimawandel-Effekten</w:t>
      </w:r>
      <w:r>
        <w:t xml:space="preserve"> auf </w:t>
      </w:r>
      <w:r>
        <w:rPr>
          <w:rStyle w:val="Fett"/>
        </w:rPr>
        <w:t>biologische Netzwerke</w:t>
      </w:r>
      <w:r>
        <w:t xml:space="preserve"> sein, bei der das Modell untersucht, wie sich die </w:t>
      </w:r>
      <w:r>
        <w:rPr>
          <w:rStyle w:val="Fett"/>
        </w:rPr>
        <w:t>dynamischen Zuweisungen</w:t>
      </w:r>
      <w:r>
        <w:t xml:space="preserve"> im Kontext von </w:t>
      </w:r>
      <w:r>
        <w:rPr>
          <w:rStyle w:val="Fett"/>
        </w:rPr>
        <w:t>umweltbedingten Veränderungen</w:t>
      </w:r>
      <w:r>
        <w:t xml:space="preserve"> entwickeln. Hier wird das FRZK verwendet, um die </w:t>
      </w:r>
      <w:r>
        <w:rPr>
          <w:rStyle w:val="Fett"/>
        </w:rPr>
        <w:t>Kohärenz</w:t>
      </w:r>
      <w:r>
        <w:t xml:space="preserve"> der systemischen </w:t>
      </w:r>
      <w:r>
        <w:rPr>
          <w:rStyle w:val="Fett"/>
        </w:rPr>
        <w:t>Anpassung</w:t>
      </w:r>
      <w:r>
        <w:t xml:space="preserve"> an Umweltveränderungen zu validieren und die Auswirkungen auf die </w:t>
      </w:r>
      <w:r>
        <w:rPr>
          <w:rStyle w:val="Fett"/>
        </w:rPr>
        <w:t>Struktur von Ökosystemen</w:t>
      </w:r>
      <w:r>
        <w:t xml:space="preserve"> zu testen.</w:t>
      </w:r>
    </w:p>
    <w:p w14:paraId="6A0A6AB8" w14:textId="77777777" w:rsidR="00931184" w:rsidRDefault="00931184" w:rsidP="00931184">
      <w:r>
        <w:pict w14:anchorId="2D088D81">
          <v:rect id="_x0000_i1028" style="width:0;height:1.5pt" o:hralign="center" o:hrstd="t" o:hr="t" fillcolor="#a0a0a0" stroked="f"/>
        </w:pict>
      </w:r>
    </w:p>
    <w:p w14:paraId="2CAD09A9" w14:textId="77777777" w:rsidR="00931184" w:rsidRDefault="00931184" w:rsidP="00931184">
      <w:pPr>
        <w:pStyle w:val="berschrift3"/>
      </w:pPr>
      <w:r>
        <w:t>Quellenangaben im Text</w:t>
      </w:r>
    </w:p>
    <w:p w14:paraId="055852B1" w14:textId="77777777" w:rsidR="00931184" w:rsidRDefault="00931184" w:rsidP="00931184">
      <w:pPr>
        <w:pStyle w:val="StandardWeb"/>
        <w:numPr>
          <w:ilvl w:val="0"/>
          <w:numId w:val="4"/>
        </w:numPr>
      </w:pPr>
      <w:r>
        <w:rPr>
          <w:rStyle w:val="Fett"/>
        </w:rPr>
        <w:t>Schmidhuber, J.</w:t>
      </w:r>
      <w:r>
        <w:t xml:space="preserve"> (2015). </w:t>
      </w:r>
      <w:r>
        <w:rPr>
          <w:rStyle w:val="Hervorhebung"/>
        </w:rPr>
        <w:t xml:space="preserve">Deep Learning in </w:t>
      </w:r>
      <w:proofErr w:type="spellStart"/>
      <w:r>
        <w:rPr>
          <w:rStyle w:val="Hervorhebung"/>
        </w:rPr>
        <w:t>Neural</w:t>
      </w:r>
      <w:proofErr w:type="spellEnd"/>
      <w:r>
        <w:rPr>
          <w:rStyle w:val="Hervorhebung"/>
        </w:rPr>
        <w:t xml:space="preserve"> Networks: An </w:t>
      </w:r>
      <w:proofErr w:type="spellStart"/>
      <w:r>
        <w:rPr>
          <w:rStyle w:val="Hervorhebung"/>
        </w:rPr>
        <w:t>Overview</w:t>
      </w:r>
      <w:proofErr w:type="spellEnd"/>
      <w:r>
        <w:t xml:space="preserve">. </w:t>
      </w:r>
      <w:proofErr w:type="spellStart"/>
      <w:r>
        <w:t>Neural</w:t>
      </w:r>
      <w:proofErr w:type="spellEnd"/>
      <w:r>
        <w:t xml:space="preserve"> Networks</w:t>
      </w:r>
      <w:r>
        <w:rPr>
          <w:rFonts w:ascii="MS Mincho" w:eastAsia="MS Mincho" w:hAnsi="MS Mincho" w:cs="MS Mincho" w:hint="eastAsia"/>
        </w:rPr>
        <w:t>【</w:t>
      </w:r>
      <w:r>
        <w:t>17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28690FEB" w14:textId="77777777" w:rsidR="00931184" w:rsidRDefault="00931184" w:rsidP="00931184">
      <w:pPr>
        <w:pStyle w:val="StandardWeb"/>
        <w:numPr>
          <w:ilvl w:val="0"/>
          <w:numId w:val="4"/>
        </w:numPr>
      </w:pPr>
      <w:r>
        <w:rPr>
          <w:rStyle w:val="Fett"/>
        </w:rPr>
        <w:t xml:space="preserve">Russell, S., &amp; </w:t>
      </w:r>
      <w:proofErr w:type="spellStart"/>
      <w:r>
        <w:rPr>
          <w:rStyle w:val="Fett"/>
        </w:rPr>
        <w:t>Norvig</w:t>
      </w:r>
      <w:proofErr w:type="spellEnd"/>
      <w:r>
        <w:rPr>
          <w:rStyle w:val="Fett"/>
        </w:rPr>
        <w:t>, P.</w:t>
      </w:r>
      <w:r>
        <w:t xml:space="preserve"> (2010). </w:t>
      </w:r>
      <w:proofErr w:type="spellStart"/>
      <w:r>
        <w:rPr>
          <w:rStyle w:val="Hervorhebung"/>
        </w:rPr>
        <w:t>Artificial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Intelligence</w:t>
      </w:r>
      <w:proofErr w:type="spellEnd"/>
      <w:r>
        <w:rPr>
          <w:rStyle w:val="Hervorhebung"/>
        </w:rPr>
        <w:t>: A Modern Approach</w:t>
      </w:r>
      <w:r>
        <w:t>. Pearson Education</w:t>
      </w:r>
      <w:r>
        <w:rPr>
          <w:rFonts w:ascii="MS Mincho" w:eastAsia="MS Mincho" w:hAnsi="MS Mincho" w:cs="MS Mincho" w:hint="eastAsia"/>
        </w:rPr>
        <w:t>【</w:t>
      </w:r>
      <w:r>
        <w:t>16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61946603" w14:textId="77777777" w:rsidR="00931184" w:rsidRDefault="00931184" w:rsidP="00931184">
      <w:pPr>
        <w:pStyle w:val="StandardWeb"/>
        <w:numPr>
          <w:ilvl w:val="0"/>
          <w:numId w:val="4"/>
        </w:numPr>
      </w:pPr>
      <w:proofErr w:type="spellStart"/>
      <w:r>
        <w:rPr>
          <w:rStyle w:val="Fett"/>
        </w:rPr>
        <w:t>Dohn</w:t>
      </w:r>
      <w:proofErr w:type="spellEnd"/>
      <w:r>
        <w:rPr>
          <w:rStyle w:val="Fett"/>
        </w:rPr>
        <w:t>, N. B.</w:t>
      </w:r>
      <w:r>
        <w:t xml:space="preserve"> (2018). </w:t>
      </w:r>
      <w:r>
        <w:rPr>
          <w:rStyle w:val="Hervorhebung"/>
        </w:rPr>
        <w:t xml:space="preserve">Design </w:t>
      </w:r>
      <w:proofErr w:type="spellStart"/>
      <w:r>
        <w:rPr>
          <w:rStyle w:val="Hervorhebung"/>
        </w:rPr>
        <w:t>for</w:t>
      </w:r>
      <w:proofErr w:type="spellEnd"/>
      <w:r>
        <w:rPr>
          <w:rStyle w:val="Hervorhebung"/>
        </w:rPr>
        <w:t xml:space="preserve"> Learning in a Multimodal Environment</w:t>
      </w:r>
      <w:r>
        <w:t>. Routledge</w:t>
      </w:r>
      <w:r>
        <w:rPr>
          <w:rFonts w:ascii="MS Mincho" w:eastAsia="MS Mincho" w:hAnsi="MS Mincho" w:cs="MS Mincho" w:hint="eastAsia"/>
        </w:rPr>
        <w:t>【</w:t>
      </w:r>
      <w:r>
        <w:t>10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151A7169" w14:textId="77777777" w:rsidR="00931184" w:rsidRDefault="00931184" w:rsidP="00931184">
      <w:pPr>
        <w:pStyle w:val="StandardWeb"/>
        <w:numPr>
          <w:ilvl w:val="0"/>
          <w:numId w:val="4"/>
        </w:numPr>
      </w:pPr>
      <w:r>
        <w:rPr>
          <w:rStyle w:val="Fett"/>
        </w:rPr>
        <w:t>Reinmann, G.</w:t>
      </w:r>
      <w:r>
        <w:t xml:space="preserve"> (2012). </w:t>
      </w:r>
      <w:r>
        <w:rPr>
          <w:rStyle w:val="Hervorhebung"/>
        </w:rPr>
        <w:t>Offenheit als didaktisches Prinzip</w:t>
      </w:r>
      <w:r>
        <w:t>. Springer</w:t>
      </w:r>
      <w:r>
        <w:rPr>
          <w:rFonts w:ascii="MS Mincho" w:eastAsia="MS Mincho" w:hAnsi="MS Mincho" w:cs="MS Mincho" w:hint="eastAsia"/>
        </w:rPr>
        <w:t>【</w:t>
      </w:r>
      <w:r>
        <w:t>5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327D8756" w14:textId="77777777" w:rsidR="00931184" w:rsidRDefault="00931184" w:rsidP="00931184">
      <w:pPr>
        <w:pStyle w:val="StandardWeb"/>
        <w:numPr>
          <w:ilvl w:val="0"/>
          <w:numId w:val="4"/>
        </w:numPr>
      </w:pPr>
      <w:r>
        <w:rPr>
          <w:rStyle w:val="Fett"/>
        </w:rPr>
        <w:t>Maturana, H., &amp; Varela, F.</w:t>
      </w:r>
      <w:r>
        <w:t xml:space="preserve"> (1980). </w:t>
      </w:r>
      <w:r>
        <w:rPr>
          <w:rStyle w:val="Hervorhebung"/>
        </w:rPr>
        <w:t xml:space="preserve">Autopoiesis and </w:t>
      </w:r>
      <w:proofErr w:type="spellStart"/>
      <w:r>
        <w:rPr>
          <w:rStyle w:val="Hervorhebung"/>
        </w:rPr>
        <w:t>Cognition</w:t>
      </w:r>
      <w:proofErr w:type="spellEnd"/>
      <w:r>
        <w:rPr>
          <w:rStyle w:val="Hervorhebung"/>
        </w:rPr>
        <w:t xml:space="preserve">: The </w:t>
      </w:r>
      <w:proofErr w:type="spellStart"/>
      <w:r>
        <w:rPr>
          <w:rStyle w:val="Hervorhebung"/>
        </w:rPr>
        <w:t>Realization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Living</w:t>
      </w:r>
      <w:r>
        <w:t>. Reidel</w:t>
      </w:r>
      <w:r>
        <w:rPr>
          <w:rFonts w:ascii="MS Mincho" w:eastAsia="MS Mincho" w:hAnsi="MS Mincho" w:cs="MS Mincho" w:hint="eastAsia"/>
        </w:rPr>
        <w:t>【</w:t>
      </w:r>
      <w:r>
        <w:t>7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14BDBEF1" w14:textId="77777777" w:rsidR="00931184" w:rsidRDefault="00931184" w:rsidP="00931184">
      <w:pPr>
        <w:pStyle w:val="StandardWeb"/>
        <w:numPr>
          <w:ilvl w:val="0"/>
          <w:numId w:val="4"/>
        </w:numPr>
      </w:pPr>
      <w:r>
        <w:rPr>
          <w:rStyle w:val="Fett"/>
        </w:rPr>
        <w:t>Newman, M. E. J.</w:t>
      </w:r>
      <w:r>
        <w:t xml:space="preserve"> (2010). </w:t>
      </w:r>
      <w:r>
        <w:rPr>
          <w:rStyle w:val="Hervorhebung"/>
        </w:rPr>
        <w:t xml:space="preserve">Networks: An </w:t>
      </w:r>
      <w:proofErr w:type="spellStart"/>
      <w:r>
        <w:rPr>
          <w:rStyle w:val="Hervorhebung"/>
        </w:rPr>
        <w:t>Introduction</w:t>
      </w:r>
      <w:proofErr w:type="spellEnd"/>
      <w:r>
        <w:t>. Oxford University Press</w:t>
      </w:r>
      <w:r>
        <w:rPr>
          <w:rFonts w:ascii="MS Mincho" w:eastAsia="MS Mincho" w:hAnsi="MS Mincho" w:cs="MS Mincho" w:hint="eastAsia"/>
        </w:rPr>
        <w:t>【</w:t>
      </w:r>
      <w:r>
        <w:t>11</w:t>
      </w:r>
      <w:r>
        <w:rPr>
          <w:rFonts w:ascii="MS Mincho" w:eastAsia="MS Mincho" w:hAnsi="MS Mincho" w:cs="MS Mincho" w:hint="eastAsia"/>
        </w:rPr>
        <w:t>】</w:t>
      </w:r>
      <w:r>
        <w:t>.</w:t>
      </w:r>
    </w:p>
    <w:p w14:paraId="4E52EF14" w14:textId="77777777" w:rsidR="00931184" w:rsidRDefault="00931184" w:rsidP="00931184">
      <w:r>
        <w:pict w14:anchorId="3C294649">
          <v:rect id="_x0000_i1029" style="width:0;height:1.5pt" o:hralign="center" o:hrstd="t" o:hr="t" fillcolor="#a0a0a0" stroked="f"/>
        </w:pict>
      </w:r>
    </w:p>
    <w:p w14:paraId="5EAAAFB3" w14:textId="77777777" w:rsidR="00931184" w:rsidRDefault="00931184" w:rsidP="00931184">
      <w:pPr>
        <w:pStyle w:val="berschrift3"/>
      </w:pPr>
      <w:r>
        <w:t>Quellenverzeichnis für Kapitel 5 (fortlaufend ab [1])</w:t>
      </w:r>
    </w:p>
    <w:p w14:paraId="55235346" w14:textId="77777777" w:rsidR="00931184" w:rsidRDefault="00931184" w:rsidP="00931184">
      <w:pPr>
        <w:pStyle w:val="StandardWeb"/>
      </w:pPr>
      <w:r>
        <w:rPr>
          <w:rStyle w:val="Fett"/>
        </w:rPr>
        <w:t>[1]</w:t>
      </w:r>
      <w:r>
        <w:t xml:space="preserve"> Foerster, H. von, </w:t>
      </w:r>
      <w:proofErr w:type="spellStart"/>
      <w:r>
        <w:rPr>
          <w:rStyle w:val="Hervorhebung"/>
        </w:rPr>
        <w:t>Observing</w:t>
      </w:r>
      <w:proofErr w:type="spellEnd"/>
      <w:r>
        <w:rPr>
          <w:rStyle w:val="Hervorhebung"/>
        </w:rPr>
        <w:t xml:space="preserve"> Systems</w:t>
      </w:r>
      <w:r>
        <w:t>, 1984, Intersystems Publications.</w:t>
      </w:r>
      <w:r>
        <w:br/>
      </w:r>
      <w:r>
        <w:rPr>
          <w:rStyle w:val="Fett"/>
        </w:rPr>
        <w:t>[2]</w:t>
      </w:r>
      <w:r>
        <w:t xml:space="preserve"> Luhmann, N., </w:t>
      </w:r>
      <w:r>
        <w:rPr>
          <w:rStyle w:val="Hervorhebung"/>
        </w:rPr>
        <w:t>Die Wissenschaft der Gesellschaft</w:t>
      </w:r>
      <w:r>
        <w:t>, 1990, Suhrkamp.</w:t>
      </w:r>
      <w:r>
        <w:br/>
      </w:r>
      <w:r>
        <w:rPr>
          <w:rStyle w:val="Fett"/>
        </w:rPr>
        <w:t>[3]</w:t>
      </w:r>
      <w:r>
        <w:t xml:space="preserve"> von </w:t>
      </w:r>
      <w:proofErr w:type="spellStart"/>
      <w:r>
        <w:t>Glasersfeld</w:t>
      </w:r>
      <w:proofErr w:type="spellEnd"/>
      <w:r>
        <w:t xml:space="preserve">, E., </w:t>
      </w:r>
      <w:proofErr w:type="spellStart"/>
      <w:r>
        <w:rPr>
          <w:rStyle w:val="Hervorhebung"/>
        </w:rPr>
        <w:t>Radical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Constructivism</w:t>
      </w:r>
      <w:proofErr w:type="spellEnd"/>
      <w:r>
        <w:rPr>
          <w:rStyle w:val="Hervorhebung"/>
        </w:rPr>
        <w:t xml:space="preserve">: A Way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Knowing</w:t>
      </w:r>
      <w:proofErr w:type="spellEnd"/>
      <w:r>
        <w:rPr>
          <w:rStyle w:val="Hervorhebung"/>
        </w:rPr>
        <w:t xml:space="preserve"> and Learning</w:t>
      </w:r>
      <w:r>
        <w:t xml:space="preserve">, 1995, </w:t>
      </w:r>
      <w:proofErr w:type="spellStart"/>
      <w:r>
        <w:t>Falmer</w:t>
      </w:r>
      <w:proofErr w:type="spellEnd"/>
      <w:r>
        <w:t xml:space="preserve"> Press.</w:t>
      </w:r>
      <w:r>
        <w:br/>
      </w:r>
      <w:r>
        <w:rPr>
          <w:rStyle w:val="Fett"/>
        </w:rPr>
        <w:t>[4]</w:t>
      </w:r>
      <w:r>
        <w:t xml:space="preserve"> Baez, J., &amp; </w:t>
      </w:r>
      <w:proofErr w:type="spellStart"/>
      <w:r>
        <w:t>Stay</w:t>
      </w:r>
      <w:proofErr w:type="spellEnd"/>
      <w:r>
        <w:t xml:space="preserve">, M., </w:t>
      </w:r>
      <w:r>
        <w:rPr>
          <w:rStyle w:val="Hervorhebung"/>
        </w:rPr>
        <w:t xml:space="preserve">Physics, </w:t>
      </w:r>
      <w:proofErr w:type="spellStart"/>
      <w:r>
        <w:rPr>
          <w:rStyle w:val="Hervorhebung"/>
        </w:rPr>
        <w:t>Topology</w:t>
      </w:r>
      <w:proofErr w:type="spellEnd"/>
      <w:r>
        <w:rPr>
          <w:rStyle w:val="Hervorhebung"/>
        </w:rPr>
        <w:t xml:space="preserve">, </w:t>
      </w:r>
      <w:proofErr w:type="spellStart"/>
      <w:r>
        <w:rPr>
          <w:rStyle w:val="Hervorhebung"/>
        </w:rPr>
        <w:t>Logic</w:t>
      </w:r>
      <w:proofErr w:type="spellEnd"/>
      <w:r>
        <w:rPr>
          <w:rStyle w:val="Hervorhebung"/>
        </w:rPr>
        <w:t xml:space="preserve"> and </w:t>
      </w:r>
      <w:proofErr w:type="spellStart"/>
      <w:r>
        <w:rPr>
          <w:rStyle w:val="Hervorhebung"/>
        </w:rPr>
        <w:t>Computation</w:t>
      </w:r>
      <w:proofErr w:type="spellEnd"/>
      <w:r>
        <w:rPr>
          <w:rStyle w:val="Hervorhebung"/>
        </w:rPr>
        <w:t>: A Rosetta Stone</w:t>
      </w:r>
      <w:r>
        <w:t>, 2010, Springer.</w:t>
      </w:r>
      <w:r>
        <w:br/>
      </w:r>
      <w:r>
        <w:rPr>
          <w:rStyle w:val="Fett"/>
        </w:rPr>
        <w:t>[5]</w:t>
      </w:r>
      <w:r>
        <w:t xml:space="preserve"> </w:t>
      </w:r>
      <w:proofErr w:type="spellStart"/>
      <w:r>
        <w:t>Jörissen</w:t>
      </w:r>
      <w:proofErr w:type="spellEnd"/>
      <w:r>
        <w:t xml:space="preserve">, B., &amp; Meyer, T., </w:t>
      </w:r>
      <w:proofErr w:type="spellStart"/>
      <w:r>
        <w:rPr>
          <w:rStyle w:val="Hervorhebung"/>
        </w:rPr>
        <w:t>Epistemologien</w:t>
      </w:r>
      <w:proofErr w:type="spellEnd"/>
      <w:r>
        <w:rPr>
          <w:rStyle w:val="Hervorhebung"/>
        </w:rPr>
        <w:t xml:space="preserve"> des Designs – Zur Theorie didaktischer Modellierung</w:t>
      </w:r>
      <w:r>
        <w:t xml:space="preserve">, </w:t>
      </w:r>
      <w:proofErr w:type="spellStart"/>
      <w:r>
        <w:t>ZfE</w:t>
      </w:r>
      <w:proofErr w:type="spellEnd"/>
      <w:r>
        <w:t>, 18(4), 2015, S. 733–752.</w:t>
      </w:r>
      <w:r>
        <w:br/>
      </w:r>
      <w:r>
        <w:rPr>
          <w:rStyle w:val="Fett"/>
        </w:rPr>
        <w:t>[6]</w:t>
      </w:r>
      <w:r>
        <w:t xml:space="preserve"> </w:t>
      </w:r>
      <w:proofErr w:type="spellStart"/>
      <w:r>
        <w:t>Rovelli</w:t>
      </w:r>
      <w:proofErr w:type="spellEnd"/>
      <w:r>
        <w:t xml:space="preserve">, C., </w:t>
      </w:r>
      <w:r>
        <w:rPr>
          <w:rStyle w:val="Hervorhebung"/>
        </w:rPr>
        <w:t>Quantum Gravity</w:t>
      </w:r>
      <w:r>
        <w:t>, 2004, Cambridge University Press.</w:t>
      </w:r>
      <w:r>
        <w:br/>
      </w:r>
      <w:r>
        <w:rPr>
          <w:rStyle w:val="Fett"/>
        </w:rPr>
        <w:t>[7]</w:t>
      </w:r>
      <w:r>
        <w:t xml:space="preserve"> Maturana, H., &amp; Varela, F., </w:t>
      </w:r>
      <w:r>
        <w:rPr>
          <w:rStyle w:val="Hervorhebung"/>
        </w:rPr>
        <w:t xml:space="preserve">Autopoiesis and </w:t>
      </w:r>
      <w:proofErr w:type="spellStart"/>
      <w:r>
        <w:rPr>
          <w:rStyle w:val="Hervorhebung"/>
        </w:rPr>
        <w:t>Cognition</w:t>
      </w:r>
      <w:proofErr w:type="spellEnd"/>
      <w:r>
        <w:rPr>
          <w:rStyle w:val="Hervorhebung"/>
        </w:rPr>
        <w:t xml:space="preserve">: The </w:t>
      </w:r>
      <w:proofErr w:type="spellStart"/>
      <w:r>
        <w:rPr>
          <w:rStyle w:val="Hervorhebung"/>
        </w:rPr>
        <w:t>Realization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the</w:t>
      </w:r>
      <w:proofErr w:type="spellEnd"/>
      <w:r>
        <w:rPr>
          <w:rStyle w:val="Hervorhebung"/>
        </w:rPr>
        <w:t xml:space="preserve"> Living</w:t>
      </w:r>
      <w:r>
        <w:t>, 1980, Reidel.</w:t>
      </w:r>
      <w:r>
        <w:br/>
      </w:r>
      <w:r>
        <w:rPr>
          <w:rStyle w:val="Fett"/>
        </w:rPr>
        <w:t>[8]</w:t>
      </w:r>
      <w:r>
        <w:t xml:space="preserve"> Kuhn, T. S., </w:t>
      </w:r>
      <w:r>
        <w:rPr>
          <w:rStyle w:val="Hervorhebung"/>
        </w:rPr>
        <w:t xml:space="preserve">The </w:t>
      </w:r>
      <w:proofErr w:type="spellStart"/>
      <w:r>
        <w:rPr>
          <w:rStyle w:val="Hervorhebung"/>
        </w:rPr>
        <w:t>Structure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Scientific </w:t>
      </w:r>
      <w:proofErr w:type="spellStart"/>
      <w:r>
        <w:rPr>
          <w:rStyle w:val="Hervorhebung"/>
        </w:rPr>
        <w:t>Revolutions</w:t>
      </w:r>
      <w:proofErr w:type="spellEnd"/>
      <w:r>
        <w:t xml:space="preserve">, 1962, University </w:t>
      </w:r>
      <w:proofErr w:type="spellStart"/>
      <w:r>
        <w:t>of</w:t>
      </w:r>
      <w:proofErr w:type="spellEnd"/>
      <w:r>
        <w:t xml:space="preserve"> Chicago Press.</w:t>
      </w:r>
      <w:r>
        <w:br/>
      </w:r>
      <w:r>
        <w:rPr>
          <w:rStyle w:val="Fett"/>
        </w:rPr>
        <w:t>[9]</w:t>
      </w:r>
      <w:r>
        <w:t xml:space="preserve"> Ashby, W. R., </w:t>
      </w:r>
      <w:r>
        <w:rPr>
          <w:rStyle w:val="Hervorhebung"/>
        </w:rPr>
        <w:t xml:space="preserve">An </w:t>
      </w:r>
      <w:proofErr w:type="spellStart"/>
      <w:r>
        <w:rPr>
          <w:rStyle w:val="Hervorhebung"/>
        </w:rPr>
        <w:t>Introduction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Cybernetics</w:t>
      </w:r>
      <w:proofErr w:type="spellEnd"/>
      <w:r>
        <w:t>, 1956, Chapman &amp; Hall.</w:t>
      </w:r>
      <w:r>
        <w:br/>
      </w:r>
      <w:r>
        <w:rPr>
          <w:rStyle w:val="Fett"/>
        </w:rPr>
        <w:t>[10]</w:t>
      </w:r>
      <w:r>
        <w:t xml:space="preserve"> </w:t>
      </w:r>
      <w:proofErr w:type="spellStart"/>
      <w:r>
        <w:t>Dohn</w:t>
      </w:r>
      <w:proofErr w:type="spellEnd"/>
      <w:r>
        <w:t xml:space="preserve">, N. B., </w:t>
      </w:r>
      <w:r>
        <w:rPr>
          <w:rStyle w:val="Hervorhebung"/>
        </w:rPr>
        <w:t xml:space="preserve">Design </w:t>
      </w:r>
      <w:proofErr w:type="spellStart"/>
      <w:r>
        <w:rPr>
          <w:rStyle w:val="Hervorhebung"/>
        </w:rPr>
        <w:t>for</w:t>
      </w:r>
      <w:proofErr w:type="spellEnd"/>
      <w:r>
        <w:rPr>
          <w:rStyle w:val="Hervorhebung"/>
        </w:rPr>
        <w:t xml:space="preserve"> Learning in a Multimodal Environment</w:t>
      </w:r>
      <w:r>
        <w:t>, 2018, Routledge.</w:t>
      </w:r>
      <w:r>
        <w:br/>
      </w:r>
      <w:r>
        <w:rPr>
          <w:rStyle w:val="Fett"/>
        </w:rPr>
        <w:t>[11]</w:t>
      </w:r>
      <w:r>
        <w:t xml:space="preserve"> Newman, M. E. J., </w:t>
      </w:r>
      <w:r>
        <w:rPr>
          <w:rStyle w:val="Hervorhebung"/>
        </w:rPr>
        <w:t xml:space="preserve">Networks: An </w:t>
      </w:r>
      <w:proofErr w:type="spellStart"/>
      <w:r>
        <w:rPr>
          <w:rStyle w:val="Hervorhebung"/>
        </w:rPr>
        <w:t>Introduction</w:t>
      </w:r>
      <w:proofErr w:type="spellEnd"/>
      <w:r>
        <w:t>, 2010, Oxford University Press.</w:t>
      </w:r>
      <w:r>
        <w:br/>
      </w:r>
      <w:r>
        <w:rPr>
          <w:rStyle w:val="Fett"/>
        </w:rPr>
        <w:t>[12]</w:t>
      </w:r>
      <w:r>
        <w:t xml:space="preserve"> Flick, U., </w:t>
      </w:r>
      <w:r>
        <w:rPr>
          <w:rStyle w:val="Hervorhebung"/>
        </w:rPr>
        <w:t>Qualitative Sozialforschung</w:t>
      </w:r>
      <w:r>
        <w:t>, 2019, Rowohlt.</w:t>
      </w:r>
      <w:r>
        <w:br/>
      </w:r>
      <w:r>
        <w:rPr>
          <w:rStyle w:val="Fett"/>
        </w:rPr>
        <w:t>[13]</w:t>
      </w:r>
      <w:r>
        <w:t xml:space="preserve"> Guba, E. G., &amp; Lincoln, Y. S., </w:t>
      </w:r>
      <w:proofErr w:type="spellStart"/>
      <w:r>
        <w:rPr>
          <w:rStyle w:val="Hervorhebung"/>
        </w:rPr>
        <w:t>Naturalistic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Inquiry</w:t>
      </w:r>
      <w:proofErr w:type="spellEnd"/>
      <w:r>
        <w:t>, 1985, Sage Publications.</w:t>
      </w:r>
      <w:r>
        <w:br/>
      </w:r>
      <w:r>
        <w:rPr>
          <w:rStyle w:val="Fett"/>
        </w:rPr>
        <w:t>[14]</w:t>
      </w:r>
      <w:r>
        <w:t xml:space="preserve"> Penrose, R., </w:t>
      </w:r>
      <w:r>
        <w:rPr>
          <w:rStyle w:val="Hervorhebung"/>
        </w:rPr>
        <w:t xml:space="preserve">The Road </w:t>
      </w:r>
      <w:proofErr w:type="spellStart"/>
      <w:r>
        <w:rPr>
          <w:rStyle w:val="Hervorhebung"/>
        </w:rPr>
        <w:t>to</w:t>
      </w:r>
      <w:proofErr w:type="spellEnd"/>
      <w:r>
        <w:rPr>
          <w:rStyle w:val="Hervorhebung"/>
        </w:rPr>
        <w:t xml:space="preserve"> Reality</w:t>
      </w:r>
      <w:r>
        <w:t>, 2004, Alfred A. Knopf.</w:t>
      </w:r>
      <w:r>
        <w:br/>
      </w:r>
      <w:r>
        <w:rPr>
          <w:rStyle w:val="Fett"/>
        </w:rPr>
        <w:t>[15]</w:t>
      </w:r>
      <w:r>
        <w:t xml:space="preserve"> Schmidhuber, J., </w:t>
      </w:r>
      <w:r>
        <w:rPr>
          <w:rStyle w:val="Hervorhebung"/>
        </w:rPr>
        <w:t xml:space="preserve">Deep Learning in </w:t>
      </w:r>
      <w:proofErr w:type="spellStart"/>
      <w:r>
        <w:rPr>
          <w:rStyle w:val="Hervorhebung"/>
        </w:rPr>
        <w:t>Neural</w:t>
      </w:r>
      <w:proofErr w:type="spellEnd"/>
      <w:r>
        <w:rPr>
          <w:rStyle w:val="Hervorhebung"/>
        </w:rPr>
        <w:t xml:space="preserve"> Networks: An </w:t>
      </w:r>
      <w:proofErr w:type="spellStart"/>
      <w:r>
        <w:rPr>
          <w:rStyle w:val="Hervorhebung"/>
        </w:rPr>
        <w:t>Overview</w:t>
      </w:r>
      <w:proofErr w:type="spellEnd"/>
      <w:r>
        <w:t xml:space="preserve">, </w:t>
      </w:r>
      <w:proofErr w:type="spellStart"/>
      <w:r>
        <w:t>Neural</w:t>
      </w:r>
      <w:proofErr w:type="spellEnd"/>
      <w:r>
        <w:t xml:space="preserve"> Networks, 2015.</w:t>
      </w:r>
      <w:r>
        <w:br/>
      </w:r>
      <w:r>
        <w:rPr>
          <w:rStyle w:val="Fett"/>
        </w:rPr>
        <w:t>[16]</w:t>
      </w:r>
      <w:r>
        <w:t xml:space="preserve"> Russell, S., &amp; </w:t>
      </w:r>
      <w:proofErr w:type="spellStart"/>
      <w:r>
        <w:t>Norvig</w:t>
      </w:r>
      <w:proofErr w:type="spellEnd"/>
      <w:r>
        <w:t xml:space="preserve">, P., </w:t>
      </w:r>
      <w:proofErr w:type="spellStart"/>
      <w:r>
        <w:rPr>
          <w:rStyle w:val="Hervorhebung"/>
        </w:rPr>
        <w:t>Artificial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Intelligence</w:t>
      </w:r>
      <w:proofErr w:type="spellEnd"/>
      <w:r>
        <w:rPr>
          <w:rStyle w:val="Hervorhebung"/>
        </w:rPr>
        <w:t>: A Modern Approach</w:t>
      </w:r>
      <w:r>
        <w:t>, 2010, Pearson Education.</w:t>
      </w:r>
      <w:r>
        <w:br/>
      </w:r>
      <w:r>
        <w:rPr>
          <w:rStyle w:val="Fett"/>
        </w:rPr>
        <w:t>[17]</w:t>
      </w:r>
      <w:r>
        <w:t xml:space="preserve"> Sutton, R. S., &amp; </w:t>
      </w:r>
      <w:proofErr w:type="spellStart"/>
      <w:r>
        <w:t>Barto</w:t>
      </w:r>
      <w:proofErr w:type="spellEnd"/>
      <w:r>
        <w:t xml:space="preserve">, A. G., </w:t>
      </w:r>
      <w:r>
        <w:rPr>
          <w:rStyle w:val="Hervorhebung"/>
        </w:rPr>
        <w:t xml:space="preserve">Reinforcement Learning: An </w:t>
      </w:r>
      <w:proofErr w:type="spellStart"/>
      <w:r>
        <w:rPr>
          <w:rStyle w:val="Hervorhebung"/>
        </w:rPr>
        <w:t>Introduction</w:t>
      </w:r>
      <w:proofErr w:type="spellEnd"/>
      <w:r>
        <w:t>, 2018, MIT Press.</w:t>
      </w:r>
      <w:r>
        <w:br/>
      </w:r>
      <w:r>
        <w:rPr>
          <w:rStyle w:val="Fett"/>
        </w:rPr>
        <w:t>[18]</w:t>
      </w:r>
      <w:r>
        <w:t xml:space="preserve"> Luhmann, N., </w:t>
      </w:r>
      <w:r>
        <w:rPr>
          <w:rStyle w:val="Hervorhebung"/>
        </w:rPr>
        <w:t>Die Gesellschaft der Gesellschaft</w:t>
      </w:r>
      <w:r>
        <w:t>, 1997, Suhrkamp.</w:t>
      </w:r>
    </w:p>
    <w:p w14:paraId="407C4FC1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3310CF"/>
    <w:multiLevelType w:val="multilevel"/>
    <w:tmpl w:val="0610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84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31184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38B72"/>
  <w15:chartTrackingRefBased/>
  <w15:docId w15:val="{C980F5EC-7129-46E0-840A-9F0A99CD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31184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9311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1044</Words>
  <Characters>6583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2025-07-08T13:21:00Z</dcterms:created>
  <dcterms:modified xsi:type="dcterms:W3CDTF">2025-07-08T13:22:00Z</dcterms:modified>
</cp:coreProperties>
</file>