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8CF2C" w14:textId="77777777" w:rsidR="00541622" w:rsidRPr="00C66549" w:rsidRDefault="00541622" w:rsidP="0054162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66549">
        <w:rPr>
          <w:rFonts w:ascii="Times New Roman" w:hAnsi="Times New Roman"/>
          <w:b/>
          <w:bCs/>
          <w:sz w:val="36"/>
          <w:szCs w:val="36"/>
        </w:rPr>
        <w:t>Anlage 3,6: Beispielhafte Szenarien und Empirische Anwendungen des FRZK</w:t>
      </w:r>
    </w:p>
    <w:p w14:paraId="6D9CE1F0" w14:textId="372338DA" w:rsidR="00106528" w:rsidRPr="00082214" w:rsidRDefault="00541622" w:rsidP="00082214">
      <w:pPr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br w:type="page"/>
      </w: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22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1622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88A1D"/>
  <w15:chartTrackingRefBased/>
  <w15:docId w15:val="{DBAEE1A1-EDC9-48DD-980E-B3AC24DB6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162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10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2025-07-08T19:10:00Z</dcterms:created>
  <dcterms:modified xsi:type="dcterms:W3CDTF">2025-07-08T19:11:00Z</dcterms:modified>
</cp:coreProperties>
</file>