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BCB36" w14:textId="519E3899" w:rsidR="007F7CF7" w:rsidRPr="007F7CF7" w:rsidRDefault="007F7CF7" w:rsidP="007F7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Anlage </w:t>
      </w:r>
      <w:r w:rsidR="004477BD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3.B</w:t>
      </w:r>
      <w:r w:rsidRPr="007F7CF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– Operatorenkaskade intentionaler Systeme</w:t>
      </w:r>
    </w:p>
    <w:p w14:paraId="300FD339" w14:textId="77777777" w:rsidR="007F7CF7" w:rsidRPr="007F7CF7" w:rsidRDefault="004477BD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66A904F">
          <v:rect id="_x0000_i1025" style="width:0;height:1.5pt" o:hralign="center" o:hrstd="t" o:hr="t" fillcolor="#a0a0a0" stroked="f"/>
        </w:pict>
      </w:r>
    </w:p>
    <w:p w14:paraId="6A270E2B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Titel der Anlage</w:t>
      </w:r>
    </w:p>
    <w:p w14:paraId="77576700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Operatorenkaskade intentionaler Systeme als funktionale Beweisstruktur</w:t>
      </w:r>
    </w:p>
    <w:p w14:paraId="6F1773F7" w14:textId="77777777" w:rsidR="007F7CF7" w:rsidRPr="007F7CF7" w:rsidRDefault="004477BD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12EF2C0">
          <v:rect id="_x0000_i1026" style="width:0;height:1.5pt" o:hralign="center" o:hrstd="t" o:hr="t" fillcolor="#a0a0a0" stroked="f"/>
        </w:pict>
      </w:r>
    </w:p>
    <w:p w14:paraId="71C8CC6E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Zuordnung im Haupttext</w:t>
      </w:r>
    </w:p>
    <w:p w14:paraId="3F5781FC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Kapitel 3.17.3, Kapitel 5.3, Bezug zu Kapitel 5.5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(</w:t>
      </w:r>
      <w:r w:rsidRPr="007F7CF7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Verweis auf Emergenzmodell, Beweiskette, funktionale Genese intentionaler Ordnung im FZRK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1B227B4A" w14:textId="77777777" w:rsidR="007F7CF7" w:rsidRPr="007F7CF7" w:rsidRDefault="004477BD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1239799">
          <v:rect id="_x0000_i1027" style="width:0;height:1.5pt" o:hralign="center" o:hrstd="t" o:hr="t" fillcolor="#a0a0a0" stroked="f"/>
        </w:pict>
      </w:r>
    </w:p>
    <w:p w14:paraId="14E07816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Inhaltliche Beschreibung</w:t>
      </w:r>
    </w:p>
    <w:p w14:paraId="026BB24C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Anlage dokumentiert die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 Struktur der Operatorenkaskade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, durch die im FZRK eine intentional strukturierte Ordnung als Emergenzphänomen beschrieben wird. Der zentrale Ausdruck</w:t>
      </w:r>
    </w:p>
    <w:p w14:paraId="78A3B9F7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I(t)=E(R(M(D(S(σ)))</w:t>
      </w:r>
      <w:proofErr w:type="gramStart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))I</w:t>
      </w:r>
      <w:proofErr w:type="gramEnd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(t) = E(R(M(D(S(\sigma)))))I(t)=E(R(M(D(S(σ))))) </w:t>
      </w:r>
    </w:p>
    <w:p w14:paraId="3C2226F4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fasst einen iterativen Operatorprozess zusammen, der auf einem semantischen Ursprungsfeld </w:t>
      </w:r>
      <w:r w:rsidRPr="007F7CF7">
        <w:rPr>
          <w:rFonts w:ascii="Courier New" w:eastAsia="Times New Roman" w:hAnsi="Courier New" w:cs="Courier New"/>
          <w:sz w:val="20"/>
          <w:szCs w:val="20"/>
          <w:lang w:eastAsia="de-DE"/>
        </w:rPr>
        <w:t>σ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basiert und dieses durch symbolische (S), diskursive (D), metareflexive (M), rekursive (R) und emergente (E) Operationen transformiert. Das Resultat ist ein intentional strukturierter Zustand </w:t>
      </w:r>
      <w:r w:rsidRPr="007F7CF7">
        <w:rPr>
          <w:rFonts w:ascii="Courier New" w:eastAsia="Times New Roman" w:hAnsi="Courier New" w:cs="Courier New"/>
          <w:sz w:val="20"/>
          <w:szCs w:val="20"/>
          <w:lang w:eastAsia="de-DE"/>
        </w:rPr>
        <w:t>I(t)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, der in einem dynamischen Koordinatenraum lokalisiert ist.</w:t>
      </w:r>
    </w:p>
    <w:p w14:paraId="053D308B" w14:textId="77777777" w:rsidR="007F7CF7" w:rsidRPr="007F7CF7" w:rsidRDefault="004477BD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D7BBF58">
          <v:rect id="_x0000_i1028" style="width:0;height:1.5pt" o:hralign="center" o:hrstd="t" o:hr="t" fillcolor="#a0a0a0" stroked="f"/>
        </w:pict>
      </w:r>
    </w:p>
    <w:p w14:paraId="177BE611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Ziel und wissenschaftlicher Zweck</w:t>
      </w:r>
    </w:p>
    <w:p w14:paraId="0735DC0B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Operatorenkaskade dient als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theoretischer Beweis für die funktionale und erkenntnistheoretische Tragfähigkeit des FZRK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. Sie zeigt:</w:t>
      </w:r>
    </w:p>
    <w:p w14:paraId="38473883" w14:textId="77777777" w:rsidR="007F7CF7" w:rsidRPr="007F7CF7" w:rsidRDefault="007F7CF7" w:rsidP="007F7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dass Intentionalität nicht aus Inhalten, sondern aus rekursiv geordneten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Funktionen auf semantischen Feldern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entsteht,</w:t>
      </w:r>
    </w:p>
    <w:p w14:paraId="1F4FBB01" w14:textId="77777777" w:rsidR="007F7CF7" w:rsidRPr="007F7CF7" w:rsidRDefault="007F7CF7" w:rsidP="007F7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dass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keine Ebene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Operatoren übersprungen werden kann, ohne die Ordnung zu destabilisieren,</w:t>
      </w:r>
    </w:p>
    <w:p w14:paraId="50C5DECB" w14:textId="77777777" w:rsidR="007F7CF7" w:rsidRPr="007F7CF7" w:rsidRDefault="007F7CF7" w:rsidP="007F7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dass semantische Stabilität, Reflexion und Zielgerichtetheit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nur innerhalb eines funktionalen Bezugssystems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emergieren können.</w:t>
      </w:r>
    </w:p>
    <w:p w14:paraId="5200EBE2" w14:textId="77777777" w:rsidR="007F7CF7" w:rsidRPr="007F7CF7" w:rsidRDefault="004477BD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F6868FC">
          <v:rect id="_x0000_i1029" style="width:0;height:1.5pt" o:hralign="center" o:hrstd="t" o:hr="t" fillcolor="#a0a0a0" stroked="f"/>
        </w:pict>
      </w:r>
    </w:p>
    <w:p w14:paraId="08662AA7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Didaktische und reflexive Verwendungsmöglichkeiten</w:t>
      </w:r>
    </w:p>
    <w:p w14:paraId="527EEB36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Struktur kann genutzt werden:</w:t>
      </w:r>
    </w:p>
    <w:p w14:paraId="6A124657" w14:textId="77777777" w:rsidR="007F7CF7" w:rsidRPr="007F7CF7" w:rsidRDefault="007F7CF7" w:rsidP="007F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zur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Veranschaulichung epistemischer Prozesse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in Ethik, Pädagogik, Philosophie),</w:t>
      </w:r>
    </w:p>
    <w:p w14:paraId="5A215BA2" w14:textId="77777777" w:rsidR="007F7CF7" w:rsidRPr="007F7CF7" w:rsidRDefault="007F7CF7" w:rsidP="007F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als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logischer Aufbau didaktischer Reflexionskompetenz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4CC5427F" w14:textId="77777777" w:rsidR="007F7CF7" w:rsidRPr="007F7CF7" w:rsidRDefault="007F7CF7" w:rsidP="007F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als Grundlage zur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Analyse realer Diskursprozesse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Schule, Hochschule oder Organisation,</w:t>
      </w:r>
    </w:p>
    <w:p w14:paraId="4694EA83" w14:textId="77777777" w:rsidR="007F7CF7" w:rsidRPr="007F7CF7" w:rsidRDefault="007F7CF7" w:rsidP="007F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zur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Entwicklung digitaler Systeme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, die auf selbststrukturierender Bedeutung beruhen.</w:t>
      </w:r>
    </w:p>
    <w:p w14:paraId="59F57E67" w14:textId="77777777" w:rsidR="007F7CF7" w:rsidRPr="007F7CF7" w:rsidRDefault="004477BD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3907977">
          <v:rect id="_x0000_i1030" style="width:0;height:1.5pt" o:hralign="center" o:hrstd="t" o:hr="t" fillcolor="#a0a0a0" stroked="f"/>
        </w:pict>
      </w:r>
    </w:p>
    <w:p w14:paraId="39FF14F4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Anschluss an das FZRK</w:t>
      </w:r>
    </w:p>
    <w:p w14:paraId="09D39ED3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Die fünf Operatoren der Kette S–D–M–R–E entsprechen den Kernachsen des FZRK: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901"/>
        <w:gridCol w:w="3362"/>
      </w:tblGrid>
      <w:tr w:rsidR="007F7CF7" w:rsidRPr="007F7CF7" w14:paraId="7CE969FE" w14:textId="77777777" w:rsidTr="007F7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0B163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221E74C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49B341A0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FZRK-Entsprechung</w:t>
            </w:r>
          </w:p>
        </w:tc>
      </w:tr>
      <w:tr w:rsidR="007F7CF7" w:rsidRPr="007F7CF7" w14:paraId="4F9515EC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316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 (Symbol)</w:t>
            </w:r>
          </w:p>
        </w:tc>
        <w:tc>
          <w:tcPr>
            <w:tcW w:w="0" w:type="auto"/>
            <w:vAlign w:val="center"/>
            <w:hideMark/>
          </w:tcPr>
          <w:p w14:paraId="4D39220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Ordnung, Sprache, Konzepte</w:t>
            </w:r>
          </w:p>
        </w:tc>
        <w:tc>
          <w:tcPr>
            <w:tcW w:w="0" w:type="auto"/>
            <w:vAlign w:val="center"/>
            <w:hideMark/>
          </w:tcPr>
          <w:p w14:paraId="23DC2571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strukturelle Basis semantischer Felder</w:t>
            </w:r>
          </w:p>
        </w:tc>
      </w:tr>
      <w:tr w:rsidR="007F7CF7" w:rsidRPr="007F7CF7" w14:paraId="445F7CB8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EF9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 (Diskurs)</w:t>
            </w:r>
          </w:p>
        </w:tc>
        <w:tc>
          <w:tcPr>
            <w:tcW w:w="0" w:type="auto"/>
            <w:vAlign w:val="center"/>
            <w:hideMark/>
          </w:tcPr>
          <w:p w14:paraId="5ED1C95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Diskursive Aktivierung, Perspektivenvielfalt</w:t>
            </w:r>
          </w:p>
        </w:tc>
        <w:tc>
          <w:tcPr>
            <w:tcW w:w="0" w:type="auto"/>
            <w:vAlign w:val="center"/>
            <w:hideMark/>
          </w:tcPr>
          <w:p w14:paraId="31271BBA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Kontextualisierung, Sozialisierung</w:t>
            </w:r>
          </w:p>
        </w:tc>
      </w:tr>
      <w:tr w:rsidR="007F7CF7" w:rsidRPr="007F7CF7" w14:paraId="71D1ADDB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89FE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 (Metareflexion)</w:t>
            </w:r>
          </w:p>
        </w:tc>
        <w:tc>
          <w:tcPr>
            <w:tcW w:w="0" w:type="auto"/>
            <w:vAlign w:val="center"/>
            <w:hideMark/>
          </w:tcPr>
          <w:p w14:paraId="2CFAA56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Selbstbeobachtung, mentale Steuerung</w:t>
            </w:r>
          </w:p>
        </w:tc>
        <w:tc>
          <w:tcPr>
            <w:tcW w:w="0" w:type="auto"/>
            <w:vAlign w:val="center"/>
            <w:hideMark/>
          </w:tcPr>
          <w:p w14:paraId="26A70E0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reflexive Modulation</w:t>
            </w:r>
          </w:p>
        </w:tc>
      </w:tr>
      <w:tr w:rsidR="007F7CF7" w:rsidRPr="007F7CF7" w14:paraId="30A9F1C8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94C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 (Rekursion)</w:t>
            </w:r>
          </w:p>
        </w:tc>
        <w:tc>
          <w:tcPr>
            <w:tcW w:w="0" w:type="auto"/>
            <w:vAlign w:val="center"/>
            <w:hideMark/>
          </w:tcPr>
          <w:p w14:paraId="01E4928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Rückbezug, Wiederholung, Zirkularität</w:t>
            </w:r>
          </w:p>
        </w:tc>
        <w:tc>
          <w:tcPr>
            <w:tcW w:w="0" w:type="auto"/>
            <w:vAlign w:val="center"/>
            <w:hideMark/>
          </w:tcPr>
          <w:p w14:paraId="38D724C2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Systeminterne Selbstbindung</w:t>
            </w:r>
          </w:p>
        </w:tc>
      </w:tr>
      <w:tr w:rsidR="007F7CF7" w:rsidRPr="007F7CF7" w14:paraId="7A80377E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6532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 (Emergenz)</w:t>
            </w:r>
          </w:p>
        </w:tc>
        <w:tc>
          <w:tcPr>
            <w:tcW w:w="0" w:type="auto"/>
            <w:vAlign w:val="center"/>
            <w:hideMark/>
          </w:tcPr>
          <w:p w14:paraId="510FD2FB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Schwellenübertritt zur intentionalen Ordnung</w:t>
            </w:r>
          </w:p>
        </w:tc>
        <w:tc>
          <w:tcPr>
            <w:tcW w:w="0" w:type="auto"/>
            <w:vAlign w:val="center"/>
            <w:hideMark/>
          </w:tcPr>
          <w:p w14:paraId="671DBA48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Kohärenzbildung, Strukturaktivierung</w:t>
            </w:r>
          </w:p>
        </w:tc>
      </w:tr>
    </w:tbl>
    <w:p w14:paraId="23DDC6B9" w14:textId="77777777" w:rsidR="007F7CF7" w:rsidRPr="007F7CF7" w:rsidRDefault="004477BD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890B60E">
          <v:rect id="_x0000_i1031" style="width:0;height:1.5pt" o:hralign="center" o:hrstd="t" o:hr="t" fillcolor="#a0a0a0" stroked="f"/>
        </w:pict>
      </w:r>
    </w:p>
    <w:p w14:paraId="0E1D7B0E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Parameterübersicht</w:t>
      </w:r>
    </w:p>
    <w:p w14:paraId="1C068561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Operatorenkaskade selbst ist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numerisch parametrierbar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, jedoch konzeptuell abhängig von: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820"/>
        <w:gridCol w:w="4256"/>
      </w:tblGrid>
      <w:tr w:rsidR="007F7CF7" w:rsidRPr="007F7CF7" w14:paraId="3BA45499" w14:textId="77777777" w:rsidTr="007F7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7A40B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E9D109E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Typ / Skala</w:t>
            </w:r>
          </w:p>
        </w:tc>
        <w:tc>
          <w:tcPr>
            <w:tcW w:w="0" w:type="auto"/>
            <w:vAlign w:val="center"/>
            <w:hideMark/>
          </w:tcPr>
          <w:p w14:paraId="3A932FFA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 / Wirkung</w:t>
            </w:r>
          </w:p>
        </w:tc>
      </w:tr>
      <w:tr w:rsidR="007F7CF7" w:rsidRPr="007F7CF7" w14:paraId="62F99180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561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1A486D8B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initiale semantische Konfiguration</w:t>
            </w:r>
          </w:p>
        </w:tc>
        <w:tc>
          <w:tcPr>
            <w:tcW w:w="0" w:type="auto"/>
            <w:vAlign w:val="center"/>
            <w:hideMark/>
          </w:tcPr>
          <w:p w14:paraId="679F3D2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Startpunkt; kann chaotisch oder vorstrukturiert sein</w:t>
            </w:r>
          </w:p>
        </w:tc>
      </w:tr>
      <w:tr w:rsidR="007F7CF7" w:rsidRPr="007F7CF7" w14:paraId="20549C59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CC4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Konsistenzniveau</w:t>
            </w:r>
          </w:p>
        </w:tc>
        <w:tc>
          <w:tcPr>
            <w:tcW w:w="0" w:type="auto"/>
            <w:vAlign w:val="center"/>
            <w:hideMark/>
          </w:tcPr>
          <w:p w14:paraId="5F5C34B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logisch (Bool / Skalar)</w:t>
            </w:r>
          </w:p>
        </w:tc>
        <w:tc>
          <w:tcPr>
            <w:tcW w:w="0" w:type="auto"/>
            <w:vAlign w:val="center"/>
            <w:hideMark/>
          </w:tcPr>
          <w:p w14:paraId="6F5EBBB9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Prüft, ob Zwischenzustände formal gültig bleiben</w:t>
            </w:r>
          </w:p>
        </w:tc>
      </w:tr>
      <w:tr w:rsidR="007F7CF7" w:rsidRPr="007F7CF7" w14:paraId="0A45396C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CAC9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Rekursionstiefe</w:t>
            </w:r>
          </w:p>
        </w:tc>
        <w:tc>
          <w:tcPr>
            <w:tcW w:w="0" w:type="auto"/>
            <w:vAlign w:val="center"/>
            <w:hideMark/>
          </w:tcPr>
          <w:p w14:paraId="11B673AA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Integer (z. B. 1–5)</w:t>
            </w:r>
          </w:p>
        </w:tc>
        <w:tc>
          <w:tcPr>
            <w:tcW w:w="0" w:type="auto"/>
            <w:vAlign w:val="center"/>
            <w:hideMark/>
          </w:tcPr>
          <w:p w14:paraId="1F7FF0CA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Anzahl der Rückkopplungsschritte in R</w:t>
            </w:r>
          </w:p>
        </w:tc>
      </w:tr>
      <w:tr w:rsidR="007F7CF7" w:rsidRPr="007F7CF7" w14:paraId="38951AEE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950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Emergenzschwelle</w:t>
            </w:r>
          </w:p>
        </w:tc>
        <w:tc>
          <w:tcPr>
            <w:tcW w:w="0" w:type="auto"/>
            <w:vAlign w:val="center"/>
            <w:hideMark/>
          </w:tcPr>
          <w:p w14:paraId="70397771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normativ-funktional</w:t>
            </w:r>
          </w:p>
        </w:tc>
        <w:tc>
          <w:tcPr>
            <w:tcW w:w="0" w:type="auto"/>
            <w:vAlign w:val="center"/>
            <w:hideMark/>
          </w:tcPr>
          <w:p w14:paraId="67A824B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Schwelle, ab der </w:t>
            </w: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E</w:t>
            </w: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ein kohärentes System "erkennt"</w:t>
            </w:r>
          </w:p>
        </w:tc>
      </w:tr>
    </w:tbl>
    <w:p w14:paraId="4B36FADF" w14:textId="77777777" w:rsidR="007F7CF7" w:rsidRPr="007F7CF7" w:rsidRDefault="004477BD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2A4F92D">
          <v:rect id="_x0000_i1032" style="width:0;height:1.5pt" o:hralign="center" o:hrstd="t" o:hr="t" fillcolor="#a0a0a0" stroked="f"/>
        </w:pict>
      </w:r>
    </w:p>
    <w:p w14:paraId="174311C2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Raumachsen und semantische Zuordnung</w:t>
      </w:r>
    </w:p>
    <w:p w14:paraId="030D03AA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Operatorprozess lässt sich auf den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Koordinatenraum intentionaler Systeme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7F7CF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I </w:t>
      </w:r>
      <w:r w:rsidRPr="007F7CF7">
        <w:rPr>
          <w:rFonts w:ascii="Cambria Math" w:eastAsia="Times New Roman" w:hAnsi="Cambria Math" w:cs="Cambria Math"/>
          <w:sz w:val="20"/>
          <w:szCs w:val="20"/>
          <w:lang w:eastAsia="de-DE"/>
        </w:rPr>
        <w:t>⊆</w:t>
      </w:r>
      <w:r w:rsidRPr="007F7CF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r w:rsidRPr="007F7CF7">
        <w:rPr>
          <w:rFonts w:ascii="Cambria Math" w:eastAsia="Times New Roman" w:hAnsi="Cambria Math" w:cs="Cambria Math"/>
          <w:sz w:val="20"/>
          <w:szCs w:val="20"/>
          <w:lang w:eastAsia="de-DE"/>
        </w:rPr>
        <w:t>ℝ⁶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abbilden. Jeder Operator beeinflusst eine Dimension: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493"/>
        <w:gridCol w:w="4401"/>
      </w:tblGrid>
      <w:tr w:rsidR="007F7CF7" w:rsidRPr="007F7CF7" w14:paraId="55B4E77C" w14:textId="77777777" w:rsidTr="007F7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24F7A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Achse</w:t>
            </w:r>
          </w:p>
        </w:tc>
        <w:tc>
          <w:tcPr>
            <w:tcW w:w="0" w:type="auto"/>
            <w:vAlign w:val="center"/>
            <w:hideMark/>
          </w:tcPr>
          <w:p w14:paraId="61BFB012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Zugeordneter Operator</w:t>
            </w:r>
          </w:p>
        </w:tc>
        <w:tc>
          <w:tcPr>
            <w:tcW w:w="0" w:type="auto"/>
            <w:vAlign w:val="center"/>
            <w:hideMark/>
          </w:tcPr>
          <w:p w14:paraId="11D28E97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Semantische Interpretation</w:t>
            </w:r>
          </w:p>
        </w:tc>
      </w:tr>
      <w:tr w:rsidR="007F7CF7" w:rsidRPr="007F7CF7" w14:paraId="548FD912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5578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51D892C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σ</w:t>
            </w: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(Ursprungsfeld)</w:t>
            </w:r>
          </w:p>
        </w:tc>
        <w:tc>
          <w:tcPr>
            <w:tcW w:w="0" w:type="auto"/>
            <w:vAlign w:val="center"/>
            <w:hideMark/>
          </w:tcPr>
          <w:p w14:paraId="7C834F8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Inhaltliche Streuung semantischer Potenziale</w:t>
            </w:r>
          </w:p>
        </w:tc>
      </w:tr>
      <w:tr w:rsidR="007F7CF7" w:rsidRPr="007F7CF7" w14:paraId="22990FC5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635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3DFA548C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78A6031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Ordnung (Konzepte, Sprache)</w:t>
            </w:r>
          </w:p>
        </w:tc>
      </w:tr>
      <w:tr w:rsidR="007F7CF7" w:rsidRPr="007F7CF7" w14:paraId="362FA95D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B57B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1A85236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0AADEB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diskursive Dynamik (soziale Kontexte)</w:t>
            </w:r>
          </w:p>
        </w:tc>
      </w:tr>
      <w:tr w:rsidR="007F7CF7" w:rsidRPr="007F7CF7" w14:paraId="5C3814E4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312C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₄</w:t>
            </w:r>
          </w:p>
        </w:tc>
        <w:tc>
          <w:tcPr>
            <w:tcW w:w="0" w:type="auto"/>
            <w:vAlign w:val="center"/>
            <w:hideMark/>
          </w:tcPr>
          <w:p w14:paraId="404848D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02024F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metareflexive Koordination</w:t>
            </w:r>
          </w:p>
        </w:tc>
      </w:tr>
      <w:tr w:rsidR="007F7CF7" w:rsidRPr="007F7CF7" w14:paraId="5A6B0F6B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48E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₅</w:t>
            </w:r>
          </w:p>
        </w:tc>
        <w:tc>
          <w:tcPr>
            <w:tcW w:w="0" w:type="auto"/>
            <w:vAlign w:val="center"/>
            <w:hideMark/>
          </w:tcPr>
          <w:p w14:paraId="30A73968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A5217E3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Systemrekursivität (Iteration, Selbstbindung)</w:t>
            </w:r>
          </w:p>
        </w:tc>
      </w:tr>
      <w:tr w:rsidR="007F7CF7" w:rsidRPr="007F7CF7" w14:paraId="3D76322F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5F4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₆</w:t>
            </w:r>
          </w:p>
        </w:tc>
        <w:tc>
          <w:tcPr>
            <w:tcW w:w="0" w:type="auto"/>
            <w:vAlign w:val="center"/>
            <w:hideMark/>
          </w:tcPr>
          <w:p w14:paraId="78C3E83B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EB128C8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emergente Systemkohärenz</w:t>
            </w:r>
          </w:p>
        </w:tc>
      </w:tr>
    </w:tbl>
    <w:p w14:paraId="7A701162" w14:textId="77777777" w:rsidR="007F7CF7" w:rsidRPr="007F7CF7" w:rsidRDefault="004477BD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DF7EEC4">
          <v:rect id="_x0000_i1033" style="width:0;height:1.5pt" o:hralign="center" o:hrstd="t" o:hr="t" fillcolor="#a0a0a0" stroked="f"/>
        </w:pict>
      </w:r>
    </w:p>
    <w:p w14:paraId="3857D46A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9. Beispielhafte Anwendung (Ethikunterricht)</w:t>
      </w:r>
    </w:p>
    <w:p w14:paraId="1C7CAB12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Schüler steht vor der Frage: </w:t>
      </w:r>
      <w:r w:rsidRPr="007F7CF7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„Darf ich geltende Regeln übertreten, um jemandem zu helfen?“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20"/>
        <w:gridCol w:w="7377"/>
      </w:tblGrid>
      <w:tr w:rsidR="007F7CF7" w:rsidRPr="007F7CF7" w14:paraId="48C5196F" w14:textId="77777777" w:rsidTr="007F7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B8CBB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712CECE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7948BD3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</w:tr>
      <w:tr w:rsidR="007F7CF7" w:rsidRPr="007F7CF7" w14:paraId="021328B9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93DC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CE4547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5E446CEA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persönliche Erfahrung, Vorwissen</w:t>
            </w:r>
          </w:p>
        </w:tc>
      </w:tr>
      <w:tr w:rsidR="007F7CF7" w:rsidRPr="007F7CF7" w14:paraId="4F5FD561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0146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539986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A3571E9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Normen: Gesetz, Moral, Religion</w:t>
            </w:r>
          </w:p>
        </w:tc>
      </w:tr>
      <w:tr w:rsidR="007F7CF7" w:rsidRPr="007F7CF7" w14:paraId="6102F81E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CCF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8A158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3697D9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Diskussion mit Mitschülern</w:t>
            </w:r>
          </w:p>
        </w:tc>
      </w:tr>
      <w:tr w:rsidR="007F7CF7" w:rsidRPr="007F7CF7" w14:paraId="7D08D0E4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8BF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064562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7A0C09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Reflexion: „Was bedeutet Verantwortung für mich?“</w:t>
            </w:r>
          </w:p>
        </w:tc>
      </w:tr>
      <w:tr w:rsidR="007F7CF7" w:rsidRPr="007F7CF7" w14:paraId="1823C6C8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C6F1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D6FF2A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507D28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Rückbindung an eigene Werte</w:t>
            </w:r>
          </w:p>
        </w:tc>
      </w:tr>
      <w:tr w:rsidR="007F7CF7" w:rsidRPr="007F7CF7" w14:paraId="6606E424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9C4E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B2384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E25AA66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Entstehung einer intentional stabilen Haltung (z. B. begründetes moralisches Urteil)</w:t>
            </w:r>
          </w:p>
        </w:tc>
      </w:tr>
    </w:tbl>
    <w:p w14:paraId="316B3828" w14:textId="77777777" w:rsidR="007F7CF7" w:rsidRPr="007F7CF7" w:rsidRDefault="004477BD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B8FB09E">
          <v:rect id="_x0000_i1034" style="width:0;height:1.5pt" o:hralign="center" o:hrstd="t" o:hr="t" fillcolor="#a0a0a0" stroked="f"/>
        </w:pict>
      </w:r>
    </w:p>
    <w:p w14:paraId="795632C4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 Dokumente dieser Anlage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833"/>
        <w:gridCol w:w="4443"/>
      </w:tblGrid>
      <w:tr w:rsidR="007F7CF7" w:rsidRPr="007F7CF7" w14:paraId="3132A4CB" w14:textId="77777777" w:rsidTr="007F7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67A0B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Dateiname</w:t>
            </w:r>
          </w:p>
        </w:tc>
        <w:tc>
          <w:tcPr>
            <w:tcW w:w="0" w:type="auto"/>
            <w:vAlign w:val="center"/>
            <w:hideMark/>
          </w:tcPr>
          <w:p w14:paraId="76E4E71D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6832BC3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</w:tr>
      <w:tr w:rsidR="007F7CF7" w:rsidRPr="007F7CF7" w14:paraId="18E68C29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C82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anlage_A2_operatorenkaskade.pdf</w:t>
            </w:r>
          </w:p>
        </w:tc>
        <w:tc>
          <w:tcPr>
            <w:tcW w:w="0" w:type="auto"/>
            <w:vAlign w:val="center"/>
            <w:hideMark/>
          </w:tcPr>
          <w:p w14:paraId="43525F4C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.pdf</w:t>
            </w:r>
          </w:p>
        </w:tc>
        <w:tc>
          <w:tcPr>
            <w:tcW w:w="0" w:type="auto"/>
            <w:vAlign w:val="center"/>
            <w:hideMark/>
          </w:tcPr>
          <w:p w14:paraId="4A1EC133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Darstellung der Beweiskette mit Erklärung und Diagramm</w:t>
            </w:r>
          </w:p>
        </w:tc>
      </w:tr>
      <w:tr w:rsidR="007F7CF7" w:rsidRPr="007F7CF7" w14:paraId="6651309B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B112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anlage_A2_beispielmatrix.xlsx</w:t>
            </w:r>
          </w:p>
        </w:tc>
        <w:tc>
          <w:tcPr>
            <w:tcW w:w="0" w:type="auto"/>
            <w:vAlign w:val="center"/>
            <w:hideMark/>
          </w:tcPr>
          <w:p w14:paraId="72E4F7D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.xlsx</w:t>
            </w:r>
          </w:p>
        </w:tc>
        <w:tc>
          <w:tcPr>
            <w:tcW w:w="0" w:type="auto"/>
            <w:vAlign w:val="center"/>
            <w:hideMark/>
          </w:tcPr>
          <w:p w14:paraId="55061B46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Tabellenmodell mit Operatoren, Übergängen, Beispielauswertung</w:t>
            </w:r>
          </w:p>
        </w:tc>
      </w:tr>
      <w:tr w:rsidR="007F7CF7" w:rsidRPr="007F7CF7" w14:paraId="44CE691A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A4E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anlage_A2_raumstruktur.svg</w:t>
            </w:r>
          </w:p>
        </w:tc>
        <w:tc>
          <w:tcPr>
            <w:tcW w:w="0" w:type="auto"/>
            <w:vAlign w:val="center"/>
            <w:hideMark/>
          </w:tcPr>
          <w:p w14:paraId="6D3C9EF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.svg</w:t>
            </w:r>
          </w:p>
        </w:tc>
        <w:tc>
          <w:tcPr>
            <w:tcW w:w="0" w:type="auto"/>
            <w:vAlign w:val="center"/>
            <w:hideMark/>
          </w:tcPr>
          <w:p w14:paraId="49AB1EEE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Grafische Visualisierung des Koordinatenraums I(t)</w:t>
            </w:r>
          </w:p>
        </w:tc>
      </w:tr>
    </w:tbl>
    <w:p w14:paraId="3DA2DFB7" w14:textId="77777777" w:rsidR="007F7CF7" w:rsidRPr="007F7CF7" w:rsidRDefault="004477BD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27767F3">
          <v:rect id="_x0000_i1035" style="width:0;height:1.5pt" o:hralign="center" o:hrstd="t" o:hr="t" fillcolor="#a0a0a0" stroked="f"/>
        </w:pict>
      </w:r>
    </w:p>
    <w:p w14:paraId="2C6D3E15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11. Weiterführende Einsatzmöglichkeiten</w:t>
      </w:r>
    </w:p>
    <w:p w14:paraId="75F373DB" w14:textId="77777777" w:rsidR="007F7CF7" w:rsidRPr="007F7CF7" w:rsidRDefault="007F7CF7" w:rsidP="007F7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Analyse realer Denk-, Diskurs- und Entscheidungsprozesse,</w:t>
      </w:r>
    </w:p>
    <w:p w14:paraId="17B09CA9" w14:textId="77777777" w:rsidR="007F7CF7" w:rsidRPr="007F7CF7" w:rsidRDefault="007F7CF7" w:rsidP="007F7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Rückbindung von Urteilsfindung an funktionale Operatorlogik,</w:t>
      </w:r>
    </w:p>
    <w:p w14:paraId="6D76BBDC" w14:textId="77777777" w:rsidR="007F7CF7" w:rsidRPr="007F7CF7" w:rsidRDefault="007F7CF7" w:rsidP="007F7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Visualisierung komplexer kognitiver Abläufe in Unterricht, Führung oder Beratung,</w:t>
      </w:r>
    </w:p>
    <w:p w14:paraId="7F11D729" w14:textId="77777777" w:rsidR="007F7CF7" w:rsidRPr="007F7CF7" w:rsidRDefault="007F7CF7" w:rsidP="007F7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Anwendung in KI-Systemen mit symbolisch-semantischem Selbstbezug.</w:t>
      </w:r>
    </w:p>
    <w:p w14:paraId="7E5BEBD8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E5936"/>
    <w:multiLevelType w:val="multilevel"/>
    <w:tmpl w:val="5BD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15504"/>
    <w:multiLevelType w:val="multilevel"/>
    <w:tmpl w:val="7FC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C114D"/>
    <w:multiLevelType w:val="multilevel"/>
    <w:tmpl w:val="CDE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F7"/>
    <w:rsid w:val="00106528"/>
    <w:rsid w:val="004477BD"/>
    <w:rsid w:val="007F7CF7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26EE3"/>
  <w15:chartTrackingRefBased/>
  <w15:docId w15:val="{BC4BE0A6-B3BA-4A28-92FA-75E2E574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7F7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7F7C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F7CF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F7CF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7F7CF7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7F7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7F7CF7"/>
    <w:rPr>
      <w:i/>
      <w:iCs/>
    </w:rPr>
  </w:style>
  <w:style w:type="character" w:customStyle="1" w:styleId="katex-mathml">
    <w:name w:val="katex-mathml"/>
    <w:basedOn w:val="Absatz-Standardschriftart"/>
    <w:rsid w:val="007F7CF7"/>
  </w:style>
  <w:style w:type="character" w:customStyle="1" w:styleId="mord">
    <w:name w:val="mord"/>
    <w:basedOn w:val="Absatz-Standardschriftart"/>
    <w:rsid w:val="007F7CF7"/>
  </w:style>
  <w:style w:type="character" w:customStyle="1" w:styleId="mopen">
    <w:name w:val="mopen"/>
    <w:basedOn w:val="Absatz-Standardschriftart"/>
    <w:rsid w:val="007F7CF7"/>
  </w:style>
  <w:style w:type="character" w:customStyle="1" w:styleId="mclose">
    <w:name w:val="mclose"/>
    <w:basedOn w:val="Absatz-Standardschriftart"/>
    <w:rsid w:val="007F7CF7"/>
  </w:style>
  <w:style w:type="character" w:customStyle="1" w:styleId="mrel">
    <w:name w:val="mrel"/>
    <w:basedOn w:val="Absatz-Standardschriftart"/>
    <w:rsid w:val="007F7CF7"/>
  </w:style>
  <w:style w:type="character" w:styleId="HTMLCode">
    <w:name w:val="HTML Code"/>
    <w:basedOn w:val="Absatz-Standardschriftart"/>
    <w:uiPriority w:val="99"/>
    <w:semiHidden/>
    <w:unhideWhenUsed/>
    <w:rsid w:val="007F7C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627</Words>
  <Characters>3953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2025-06-06T04:54:00Z</dcterms:created>
  <dcterms:modified xsi:type="dcterms:W3CDTF">2025-06-20T02:48:00Z</dcterms:modified>
</cp:coreProperties>
</file>