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DBC1A" w14:textId="77777777" w:rsidR="00BF6A05" w:rsidRDefault="00BF6A05" w:rsidP="00BF6A05">
      <w:pPr>
        <w:pStyle w:val="berschrift3"/>
        <w:rPr>
          <w:sz w:val="27"/>
          <w:szCs w:val="27"/>
        </w:rPr>
      </w:pPr>
      <w:r>
        <w:t>5.5 Erwartete Ergebnisse und mögliche Erkenntnisse</w:t>
      </w:r>
    </w:p>
    <w:p w14:paraId="25F5ED64" w14:textId="77777777" w:rsidR="00BF6A05" w:rsidRDefault="00BF6A05" w:rsidP="00BF6A05">
      <w:pPr>
        <w:pStyle w:val="berschrift4"/>
      </w:pPr>
      <w:r>
        <w:t>5.5.1 Erwartbare Bestätigungen und Widerlegungen</w:t>
      </w:r>
    </w:p>
    <w:p w14:paraId="66A0D4CA" w14:textId="77777777" w:rsidR="00BF6A05" w:rsidRDefault="00BF6A05" w:rsidP="00BF6A05">
      <w:pPr>
        <w:pStyle w:val="StandardWeb"/>
      </w:pPr>
      <w:r>
        <w:t xml:space="preserve">Die empirische Überprüfung des </w:t>
      </w:r>
      <w:r>
        <w:rPr>
          <w:rStyle w:val="Fett"/>
        </w:rPr>
        <w:t>Funktionalen Raum-Zeit-Kohärenzsystems (FRZK)</w:t>
      </w:r>
      <w:r>
        <w:t xml:space="preserve"> erwartet, dass die </w:t>
      </w:r>
      <w:r>
        <w:rPr>
          <w:rStyle w:val="Fett"/>
        </w:rPr>
        <w:t>dynamischen Zuweisungen</w:t>
      </w:r>
      <w:r>
        <w:t xml:space="preserve"> und </w:t>
      </w:r>
      <w:r>
        <w:rPr>
          <w:rStyle w:val="Fett"/>
        </w:rPr>
        <w:t>selbstorganisierenden Prozesse</w:t>
      </w:r>
      <w:r>
        <w:t xml:space="preserve">, die das Modell beschreibt, in realen Systemen </w:t>
      </w:r>
      <w:r>
        <w:rPr>
          <w:rStyle w:val="Fett"/>
        </w:rPr>
        <w:t>bestätigt</w:t>
      </w:r>
      <w:r>
        <w:t xml:space="preserve"> werden. In verschiedenen Bereichen wie der </w:t>
      </w:r>
      <w:r>
        <w:rPr>
          <w:rStyle w:val="Fett"/>
        </w:rPr>
        <w:t>Künstlichen Intelligenz (KI)</w:t>
      </w:r>
      <w:r>
        <w:t xml:space="preserve">, der </w:t>
      </w:r>
      <w:r>
        <w:rPr>
          <w:rStyle w:val="Fett"/>
        </w:rPr>
        <w:t>Bildungsforschung</w:t>
      </w:r>
      <w:r>
        <w:t xml:space="preserve"> und der </w:t>
      </w:r>
      <w:r>
        <w:rPr>
          <w:rStyle w:val="Fett"/>
        </w:rPr>
        <w:t>Ökologie</w:t>
      </w:r>
      <w:r>
        <w:t xml:space="preserve"> soll das Modell seine Fähigkeit unter Beweis stellen, die </w:t>
      </w:r>
      <w:r>
        <w:rPr>
          <w:rStyle w:val="Fett"/>
        </w:rPr>
        <w:t>interaktiven Prozesse</w:t>
      </w:r>
      <w:r>
        <w:t xml:space="preserve"> und </w:t>
      </w:r>
      <w:r>
        <w:rPr>
          <w:rStyle w:val="Fett"/>
        </w:rPr>
        <w:t>emergente Strukturen</w:t>
      </w:r>
      <w:r>
        <w:t xml:space="preserve"> zu erfassen, die in diesen komplexen Systemen auftreten.</w:t>
      </w:r>
    </w:p>
    <w:p w14:paraId="431043D1" w14:textId="77777777" w:rsidR="00BF6A05" w:rsidRDefault="00BF6A05" w:rsidP="00BF6A05">
      <w:pPr>
        <w:pStyle w:val="StandardWeb"/>
      </w:pPr>
      <w:r>
        <w:t xml:space="preserve">Ein zentraler </w:t>
      </w:r>
      <w:r>
        <w:rPr>
          <w:rStyle w:val="Fett"/>
        </w:rPr>
        <w:t>Bestätigungspunkt</w:t>
      </w:r>
      <w:r>
        <w:t xml:space="preserve"> könnte die Validierung der </w:t>
      </w:r>
      <w:r>
        <w:rPr>
          <w:rStyle w:val="Fett"/>
        </w:rPr>
        <w:t>dynamischen Kohärenz</w:t>
      </w:r>
      <w:r>
        <w:t xml:space="preserve"> des FRZK in </w:t>
      </w:r>
      <w:r>
        <w:rPr>
          <w:rStyle w:val="Fett"/>
        </w:rPr>
        <w:t>lernenden Systemen</w:t>
      </w:r>
      <w:r>
        <w:t xml:space="preserve"> sein. Besonders in der </w:t>
      </w:r>
      <w:r>
        <w:rPr>
          <w:rStyle w:val="Fett"/>
        </w:rPr>
        <w:t>Künstlichen Intelligenz</w:t>
      </w:r>
      <w:r>
        <w:t xml:space="preserve"> könnte das FRZK die </w:t>
      </w:r>
      <w:r>
        <w:rPr>
          <w:rStyle w:val="Fett"/>
        </w:rPr>
        <w:t>Feedback-Schleifen</w:t>
      </w:r>
      <w:r>
        <w:t xml:space="preserve"> und </w:t>
      </w:r>
      <w:r>
        <w:rPr>
          <w:rStyle w:val="Fett"/>
        </w:rPr>
        <w:t>adaptiven Lernprozesse</w:t>
      </w:r>
      <w:r>
        <w:t xml:space="preserve"> korrekt abbilden. In einem </w:t>
      </w:r>
      <w:r>
        <w:rPr>
          <w:rStyle w:val="Fett"/>
        </w:rPr>
        <w:t>Reinforcement Learning</w:t>
      </w:r>
      <w:r>
        <w:t xml:space="preserve">-Modell könnte das System die </w:t>
      </w:r>
      <w:r>
        <w:rPr>
          <w:rStyle w:val="Fett"/>
        </w:rPr>
        <w:t>interaktive Anpassung</w:t>
      </w:r>
      <w:r>
        <w:t xml:space="preserve"> von Agenten an ihre Umgebung nachweisen und so das </w:t>
      </w:r>
      <w:r>
        <w:rPr>
          <w:rStyle w:val="Fett"/>
        </w:rPr>
        <w:t>FRZK</w:t>
      </w:r>
      <w:r>
        <w:t xml:space="preserve"> als valide Methode zur Modellierung dynamischer Lernprozesse bestätigen. Ein weiteres Beispiel könnte die Überprüfung der </w:t>
      </w:r>
      <w:r>
        <w:rPr>
          <w:rStyle w:val="Fett"/>
        </w:rPr>
        <w:t>dynamischen Zuweisungen</w:t>
      </w:r>
      <w:r>
        <w:t xml:space="preserve"> in der </w:t>
      </w:r>
      <w:r>
        <w:rPr>
          <w:rStyle w:val="Fett"/>
        </w:rPr>
        <w:t>Bildungsforschung</w:t>
      </w:r>
      <w:r>
        <w:t xml:space="preserve"> sein, wo das Modell die </w:t>
      </w:r>
      <w:r>
        <w:rPr>
          <w:rStyle w:val="Fett"/>
        </w:rPr>
        <w:t>Beziehungsstrukturen</w:t>
      </w:r>
      <w:r>
        <w:t xml:space="preserve"> zwischen </w:t>
      </w:r>
      <w:r>
        <w:rPr>
          <w:rStyle w:val="Fett"/>
        </w:rPr>
        <w:t>Lernenden</w:t>
      </w:r>
      <w:r>
        <w:t xml:space="preserve">, </w:t>
      </w:r>
      <w:r>
        <w:rPr>
          <w:rStyle w:val="Fett"/>
        </w:rPr>
        <w:t>Lehrenden</w:t>
      </w:r>
      <w:r>
        <w:t xml:space="preserve"> und </w:t>
      </w:r>
      <w:r>
        <w:rPr>
          <w:rStyle w:val="Fett"/>
        </w:rPr>
        <w:t>Lernmaterialien</w:t>
      </w:r>
      <w:r>
        <w:t xml:space="preserve"> validiert.</w:t>
      </w:r>
    </w:p>
    <w:p w14:paraId="62067B1F" w14:textId="77777777" w:rsidR="00BF6A05" w:rsidRDefault="00BF6A05" w:rsidP="00BF6A05">
      <w:pPr>
        <w:pStyle w:val="StandardWeb"/>
      </w:pPr>
      <w:r>
        <w:t xml:space="preserve">Allerdings ist auch mit </w:t>
      </w:r>
      <w:r>
        <w:rPr>
          <w:rStyle w:val="Fett"/>
        </w:rPr>
        <w:t>Widerlegungen</w:t>
      </w:r>
      <w:r>
        <w:t xml:space="preserve"> zu rechnen. In Systemen mit </w:t>
      </w:r>
      <w:r>
        <w:rPr>
          <w:rStyle w:val="Fett"/>
        </w:rPr>
        <w:t>weniger dynamischen</w:t>
      </w:r>
      <w:r>
        <w:t xml:space="preserve"> und </w:t>
      </w:r>
      <w:r>
        <w:rPr>
          <w:rStyle w:val="Fett"/>
        </w:rPr>
        <w:t>nicht adaptiven Prozessen</w:t>
      </w:r>
      <w:r>
        <w:t xml:space="preserve"> könnte das Modell in seiner derzeitigen Form an seine Grenzen stoßen. Insbesondere in </w:t>
      </w:r>
      <w:r>
        <w:rPr>
          <w:rStyle w:val="Fett"/>
        </w:rPr>
        <w:t>mechanischen Systemen</w:t>
      </w:r>
      <w:r>
        <w:t xml:space="preserve"> oder in </w:t>
      </w:r>
      <w:r>
        <w:rPr>
          <w:rStyle w:val="Fett"/>
        </w:rPr>
        <w:t>traditionellen linearen Modellen</w:t>
      </w:r>
      <w:r>
        <w:t xml:space="preserve">, bei denen </w:t>
      </w:r>
      <w:r>
        <w:rPr>
          <w:rStyle w:val="Fett"/>
        </w:rPr>
        <w:t>Zuweisungen</w:t>
      </w:r>
      <w:r>
        <w:t xml:space="preserve"> und </w:t>
      </w:r>
      <w:r>
        <w:rPr>
          <w:rStyle w:val="Fett"/>
        </w:rPr>
        <w:t>Wechselwirkungen</w:t>
      </w:r>
      <w:r>
        <w:t xml:space="preserve"> eher statisch sind, könnte das FRZK seine </w:t>
      </w:r>
      <w:r>
        <w:rPr>
          <w:rStyle w:val="Fett"/>
        </w:rPr>
        <w:t>Gültigkeit</w:t>
      </w:r>
      <w:r>
        <w:t xml:space="preserve"> nicht in der gleichen Weise beweisen wie in dynamischen, adaptiven Systemen. Diese Erkenntnis könnte zu einer </w:t>
      </w:r>
      <w:r>
        <w:rPr>
          <w:rStyle w:val="Fett"/>
        </w:rPr>
        <w:t>weiteren Verfeinerung</w:t>
      </w:r>
      <w:r>
        <w:t xml:space="preserve"> des Modells führen, insbesondere in Bezug auf die Integration von </w:t>
      </w:r>
      <w:r>
        <w:rPr>
          <w:rStyle w:val="Fett"/>
        </w:rPr>
        <w:t>statischen</w:t>
      </w:r>
      <w:r>
        <w:t xml:space="preserve"> und </w:t>
      </w:r>
      <w:r>
        <w:rPr>
          <w:rStyle w:val="Fett"/>
        </w:rPr>
        <w:t>dynamischen Komponenten</w:t>
      </w:r>
      <w:r>
        <w:t xml:space="preserve"> in einem einzigen kohärenten Rahmen.</w:t>
      </w:r>
    </w:p>
    <w:p w14:paraId="2DAE3811" w14:textId="77777777" w:rsidR="00BF6A05" w:rsidRDefault="00BF6A05" w:rsidP="00BF6A05">
      <w:pPr>
        <w:pStyle w:val="berschrift4"/>
      </w:pPr>
      <w:r>
        <w:t>5.5.2 Hinweise auf Modellanpassungen oder Weiterentwicklungen</w:t>
      </w:r>
    </w:p>
    <w:p w14:paraId="0FA9BBEC" w14:textId="77777777" w:rsidR="00BF6A05" w:rsidRDefault="00BF6A05" w:rsidP="00BF6A05">
      <w:pPr>
        <w:pStyle w:val="StandardWeb"/>
      </w:pPr>
      <w:r>
        <w:t xml:space="preserve">Das </w:t>
      </w:r>
      <w:r>
        <w:rPr>
          <w:rStyle w:val="Fett"/>
        </w:rPr>
        <w:t>FRZK</w:t>
      </w:r>
      <w:r>
        <w:t xml:space="preserve"> bietet durch seine </w:t>
      </w:r>
      <w:r>
        <w:rPr>
          <w:rStyle w:val="Fett"/>
        </w:rPr>
        <w:t>dynamische Struktur</w:t>
      </w:r>
      <w:r>
        <w:t xml:space="preserve"> zahlreiche Möglichkeiten zur </w:t>
      </w:r>
      <w:r>
        <w:rPr>
          <w:rStyle w:val="Fett"/>
        </w:rPr>
        <w:t>Weiterentwicklung</w:t>
      </w:r>
      <w:r>
        <w:t xml:space="preserve">. Ein wichtiger Punkt, der sich in der empirischen Untersuchung herauskristallisieren könnte, ist die Notwendigkeit, das Modell an </w:t>
      </w:r>
      <w:r>
        <w:rPr>
          <w:rStyle w:val="Fett"/>
        </w:rPr>
        <w:t>extrem komplexe oder chaotische Systeme</w:t>
      </w:r>
      <w:r>
        <w:t xml:space="preserve"> anzupassen. Das </w:t>
      </w:r>
      <w:r>
        <w:rPr>
          <w:rStyle w:val="Fett"/>
        </w:rPr>
        <w:t>FRZK</w:t>
      </w:r>
      <w:r>
        <w:t xml:space="preserve"> setzt auf eine kontinuierliche </w:t>
      </w:r>
      <w:r>
        <w:rPr>
          <w:rStyle w:val="Fett"/>
        </w:rPr>
        <w:t>Anpassung</w:t>
      </w:r>
      <w:r>
        <w:t xml:space="preserve"> und </w:t>
      </w:r>
      <w:r>
        <w:rPr>
          <w:rStyle w:val="Fett"/>
        </w:rPr>
        <w:t>Rückkopplung</w:t>
      </w:r>
      <w:r>
        <w:t xml:space="preserve">, aber in stark </w:t>
      </w:r>
      <w:r>
        <w:rPr>
          <w:rStyle w:val="Fett"/>
        </w:rPr>
        <w:t>stochastischen</w:t>
      </w:r>
      <w:r>
        <w:t xml:space="preserve"> oder </w:t>
      </w:r>
      <w:r>
        <w:rPr>
          <w:rStyle w:val="Fett"/>
        </w:rPr>
        <w:t>nicht-linearen Systemen</w:t>
      </w:r>
      <w:r>
        <w:t xml:space="preserve"> könnte es sein, dass die </w:t>
      </w:r>
      <w:r>
        <w:rPr>
          <w:rStyle w:val="Fett"/>
        </w:rPr>
        <w:t>Kohärenz</w:t>
      </w:r>
      <w:r>
        <w:t xml:space="preserve"> der Zuweisungen nicht konstant bleibt. In solchen Fällen könnte eine </w:t>
      </w:r>
      <w:r>
        <w:rPr>
          <w:rStyle w:val="Fett"/>
        </w:rPr>
        <w:t>Erweiterung</w:t>
      </w:r>
      <w:r>
        <w:t xml:space="preserve"> des Modells durch die </w:t>
      </w:r>
      <w:r>
        <w:rPr>
          <w:rStyle w:val="Fett"/>
        </w:rPr>
        <w:t>Integration zusätzlicher Parameter</w:t>
      </w:r>
      <w:r>
        <w:t xml:space="preserve"> notwendig werden, um diese Systeme besser zu erfassen.</w:t>
      </w:r>
    </w:p>
    <w:p w14:paraId="7D9AF4BE" w14:textId="77777777" w:rsidR="00BF6A05" w:rsidRDefault="00BF6A05" w:rsidP="00BF6A05">
      <w:pPr>
        <w:pStyle w:val="StandardWeb"/>
      </w:pPr>
      <w:r>
        <w:t xml:space="preserve">Ein weiterer möglicher </w:t>
      </w:r>
      <w:r>
        <w:rPr>
          <w:rStyle w:val="Fett"/>
        </w:rPr>
        <w:t>Anpassungspunkt</w:t>
      </w:r>
      <w:r>
        <w:t xml:space="preserve"> könnte die Berücksichtigung der </w:t>
      </w:r>
      <w:r>
        <w:rPr>
          <w:rStyle w:val="Fett"/>
        </w:rPr>
        <w:t>Meta-Funktionen</w:t>
      </w:r>
      <w:r>
        <w:t xml:space="preserve"> innerhalb des Modells sein. Diese Meta-Funktionen könnten die </w:t>
      </w:r>
      <w:r>
        <w:rPr>
          <w:rStyle w:val="Fett"/>
        </w:rPr>
        <w:t>Beobachtungsprozesse</w:t>
      </w:r>
      <w:r>
        <w:t xml:space="preserve"> des Modells selbst integrieren, sodass das FRZK nicht nur als </w:t>
      </w:r>
      <w:r>
        <w:rPr>
          <w:rStyle w:val="Fett"/>
        </w:rPr>
        <w:t>dynamisches System</w:t>
      </w:r>
      <w:r>
        <w:t xml:space="preserve"> beschrieben wird, sondern auch als </w:t>
      </w:r>
      <w:r>
        <w:rPr>
          <w:rStyle w:val="Fett"/>
        </w:rPr>
        <w:t>beobachtendes System</w:t>
      </w:r>
      <w:r>
        <w:t xml:space="preserve">, das sich </w:t>
      </w:r>
      <w:r>
        <w:rPr>
          <w:rStyle w:val="Fett"/>
        </w:rPr>
        <w:t>selbst beobachtet</w:t>
      </w:r>
      <w:r>
        <w:t xml:space="preserve"> und weiterentwickelt. Dies könnte insbesondere für Anwendungen in der </w:t>
      </w:r>
      <w:r>
        <w:rPr>
          <w:rStyle w:val="Fett"/>
        </w:rPr>
        <w:t>Selbstreflexion</w:t>
      </w:r>
      <w:r>
        <w:t xml:space="preserve"> von </w:t>
      </w:r>
      <w:r>
        <w:rPr>
          <w:rStyle w:val="Fett"/>
        </w:rPr>
        <w:t>lernenden Agenten</w:t>
      </w:r>
      <w:r>
        <w:t xml:space="preserve"> oder in </w:t>
      </w:r>
      <w:r>
        <w:rPr>
          <w:rStyle w:val="Fett"/>
        </w:rPr>
        <w:t>sozialen Systemen</w:t>
      </w:r>
      <w:r>
        <w:t xml:space="preserve"> von Bedeutung sein, wo die </w:t>
      </w:r>
      <w:r>
        <w:rPr>
          <w:rStyle w:val="Fett"/>
        </w:rPr>
        <w:t>Beobachterperspektive</w:t>
      </w:r>
      <w:r>
        <w:t xml:space="preserve"> eine zentrale Rolle spielt (vgl. von Foerster, </w:t>
      </w:r>
      <w:proofErr w:type="spellStart"/>
      <w:r>
        <w:rPr>
          <w:rStyle w:val="Hervorhebung"/>
        </w:rPr>
        <w:t>Observing</w:t>
      </w:r>
      <w:proofErr w:type="spellEnd"/>
      <w:r>
        <w:rPr>
          <w:rStyle w:val="Hervorhebung"/>
        </w:rPr>
        <w:t xml:space="preserve"> Systems</w:t>
      </w:r>
      <w:r>
        <w:t xml:space="preserve">, 1984 [1]; Luhmann, </w:t>
      </w:r>
      <w:r>
        <w:rPr>
          <w:rStyle w:val="Hervorhebung"/>
        </w:rPr>
        <w:t>Die Gesellschaft der Gesellschaft</w:t>
      </w:r>
      <w:r>
        <w:t>, 1997 [18]).</w:t>
      </w:r>
    </w:p>
    <w:p w14:paraId="3CAC1D14" w14:textId="77777777" w:rsidR="00BF6A05" w:rsidRDefault="00BF6A05" w:rsidP="00BF6A05">
      <w:pPr>
        <w:pStyle w:val="berschrift4"/>
      </w:pPr>
      <w:r>
        <w:lastRenderedPageBreak/>
        <w:t xml:space="preserve">5.5.3 Potenzial zur </w:t>
      </w:r>
      <w:proofErr w:type="spellStart"/>
      <w:r>
        <w:t>Transferierbarkeit</w:t>
      </w:r>
      <w:proofErr w:type="spellEnd"/>
      <w:r>
        <w:t xml:space="preserve"> in andere Disziplinen</w:t>
      </w:r>
    </w:p>
    <w:p w14:paraId="31E44C14" w14:textId="77777777" w:rsidR="00BF6A05" w:rsidRDefault="00BF6A05" w:rsidP="00BF6A05">
      <w:pPr>
        <w:pStyle w:val="StandardWeb"/>
      </w:pPr>
      <w:r>
        <w:t xml:space="preserve">Ein herausragendes Merkmal des </w:t>
      </w:r>
      <w:r>
        <w:rPr>
          <w:rStyle w:val="Fett"/>
        </w:rPr>
        <w:t>FRZK</w:t>
      </w:r>
      <w:r>
        <w:t xml:space="preserve"> liegt in seiner </w:t>
      </w:r>
      <w:proofErr w:type="spellStart"/>
      <w:r>
        <w:rPr>
          <w:rStyle w:val="Fett"/>
        </w:rPr>
        <w:t>Transferierbarkeit</w:t>
      </w:r>
      <w:proofErr w:type="spellEnd"/>
      <w:r>
        <w:t xml:space="preserve"> auf </w:t>
      </w:r>
      <w:r>
        <w:rPr>
          <w:rStyle w:val="Fett"/>
        </w:rPr>
        <w:t>verschiedene Disziplinen</w:t>
      </w:r>
      <w:r>
        <w:t xml:space="preserve">, insbesondere auf solche, die sich mit </w:t>
      </w:r>
      <w:r>
        <w:rPr>
          <w:rStyle w:val="Fett"/>
        </w:rPr>
        <w:t>komplexen, adaptiven Systemen</w:t>
      </w:r>
      <w:r>
        <w:t xml:space="preserve"> befassen. Das Modell ist nicht nur auf </w:t>
      </w:r>
      <w:r>
        <w:rPr>
          <w:rStyle w:val="Fett"/>
        </w:rPr>
        <w:t>technische</w:t>
      </w:r>
      <w:r>
        <w:t xml:space="preserve"> und </w:t>
      </w:r>
      <w:r>
        <w:rPr>
          <w:rStyle w:val="Fett"/>
        </w:rPr>
        <w:t>kognitive</w:t>
      </w:r>
      <w:r>
        <w:t xml:space="preserve"> Systeme anwendbar, sondern könnte auch in den Bereichen </w:t>
      </w:r>
      <w:r>
        <w:rPr>
          <w:rStyle w:val="Fett"/>
        </w:rPr>
        <w:t>Sozialwissenschaften</w:t>
      </w:r>
      <w:r>
        <w:t xml:space="preserve">, </w:t>
      </w:r>
      <w:r>
        <w:rPr>
          <w:rStyle w:val="Fett"/>
        </w:rPr>
        <w:t>Ökonomie</w:t>
      </w:r>
      <w:r>
        <w:t xml:space="preserve"> und </w:t>
      </w:r>
      <w:r>
        <w:rPr>
          <w:rStyle w:val="Fett"/>
        </w:rPr>
        <w:t>Ökologie</w:t>
      </w:r>
      <w:r>
        <w:t xml:space="preserve"> weiter genutzt werden, um </w:t>
      </w:r>
      <w:r>
        <w:rPr>
          <w:rStyle w:val="Fett"/>
        </w:rPr>
        <w:t>dynamische, funktionale Beziehungen</w:t>
      </w:r>
      <w:r>
        <w:t xml:space="preserve"> zu modellieren.</w:t>
      </w:r>
    </w:p>
    <w:p w14:paraId="1E475D81" w14:textId="77777777" w:rsidR="00BF6A05" w:rsidRDefault="00BF6A05" w:rsidP="00BF6A05">
      <w:pPr>
        <w:pStyle w:val="StandardWeb"/>
      </w:pPr>
      <w:r>
        <w:t xml:space="preserve">Ein Beispiel für das </w:t>
      </w:r>
      <w:r>
        <w:rPr>
          <w:rStyle w:val="Fett"/>
        </w:rPr>
        <w:t xml:space="preserve">Potenzial zur </w:t>
      </w:r>
      <w:proofErr w:type="spellStart"/>
      <w:r>
        <w:rPr>
          <w:rStyle w:val="Fett"/>
        </w:rPr>
        <w:t>Transferierbarkeit</w:t>
      </w:r>
      <w:proofErr w:type="spellEnd"/>
      <w:r>
        <w:t xml:space="preserve"> des FRZK ist die </w:t>
      </w:r>
      <w:r>
        <w:rPr>
          <w:rStyle w:val="Fett"/>
        </w:rPr>
        <w:t>Anwendung auf ökonomische Modelle</w:t>
      </w:r>
      <w:r>
        <w:t xml:space="preserve">, bei denen das FRZK verwendet werden könnte, um </w:t>
      </w:r>
      <w:r>
        <w:rPr>
          <w:rStyle w:val="Fett"/>
        </w:rPr>
        <w:t>Marktdynamiken</w:t>
      </w:r>
      <w:r>
        <w:t xml:space="preserve">, </w:t>
      </w:r>
      <w:r>
        <w:rPr>
          <w:rStyle w:val="Fett"/>
        </w:rPr>
        <w:t>Wirtschaftsbeziehungen</w:t>
      </w:r>
      <w:r>
        <w:t xml:space="preserve"> und die </w:t>
      </w:r>
      <w:r>
        <w:rPr>
          <w:rStyle w:val="Fett"/>
        </w:rPr>
        <w:t>Interaktion zwischen Marktakteuren</w:t>
      </w:r>
      <w:r>
        <w:t xml:space="preserve"> zu simulieren. Hier könnte das Modell helfen, </w:t>
      </w:r>
      <w:r>
        <w:rPr>
          <w:rStyle w:val="Fett"/>
        </w:rPr>
        <w:t>Komplexität</w:t>
      </w:r>
      <w:r>
        <w:t xml:space="preserve"> und </w:t>
      </w:r>
      <w:r>
        <w:rPr>
          <w:rStyle w:val="Fett"/>
        </w:rPr>
        <w:t>Interdependenzen</w:t>
      </w:r>
      <w:r>
        <w:t xml:space="preserve"> innerhalb von Wirtschaftssystemen zu analysieren und </w:t>
      </w:r>
      <w:r>
        <w:rPr>
          <w:rStyle w:val="Fett"/>
        </w:rPr>
        <w:t>emergente Verhaltensmuster</w:t>
      </w:r>
      <w:r>
        <w:t xml:space="preserve"> in </w:t>
      </w:r>
      <w:r>
        <w:rPr>
          <w:rStyle w:val="Fett"/>
        </w:rPr>
        <w:t>ökonomischen Prozessen</w:t>
      </w:r>
      <w:r>
        <w:t xml:space="preserve"> zu untersuchen.</w:t>
      </w:r>
    </w:p>
    <w:p w14:paraId="32DAE738" w14:textId="77777777" w:rsidR="00BF6A05" w:rsidRDefault="00BF6A05" w:rsidP="00BF6A05">
      <w:pPr>
        <w:pStyle w:val="StandardWeb"/>
      </w:pPr>
      <w:r>
        <w:t xml:space="preserve">In den </w:t>
      </w:r>
      <w:r>
        <w:rPr>
          <w:rStyle w:val="Fett"/>
        </w:rPr>
        <w:t>Sozialwissenschaften</w:t>
      </w:r>
      <w:r>
        <w:t xml:space="preserve"> könnte das </w:t>
      </w:r>
      <w:r>
        <w:rPr>
          <w:rStyle w:val="Fett"/>
        </w:rPr>
        <w:t>FRZK</w:t>
      </w:r>
      <w:r>
        <w:t xml:space="preserve"> zur Modellierung von </w:t>
      </w:r>
      <w:r>
        <w:rPr>
          <w:rStyle w:val="Fett"/>
        </w:rPr>
        <w:t>gesellschaftlichen Systemen</w:t>
      </w:r>
      <w:r>
        <w:t xml:space="preserve"> und </w:t>
      </w:r>
      <w:r>
        <w:rPr>
          <w:rStyle w:val="Fett"/>
        </w:rPr>
        <w:t>kommunikativen Prozessen</w:t>
      </w:r>
      <w:r>
        <w:t xml:space="preserve"> eingesetzt werden. Ein Beispiel hierfür könnte die Analyse von </w:t>
      </w:r>
      <w:r>
        <w:rPr>
          <w:rStyle w:val="Fett"/>
        </w:rPr>
        <w:t>sozialen Netzwerken</w:t>
      </w:r>
      <w:r>
        <w:t xml:space="preserve"> sein, bei der die </w:t>
      </w:r>
      <w:r>
        <w:rPr>
          <w:rStyle w:val="Fett"/>
        </w:rPr>
        <w:t>dynamischen Zuweisungen</w:t>
      </w:r>
      <w:r>
        <w:t xml:space="preserve"> zwischen </w:t>
      </w:r>
      <w:r>
        <w:rPr>
          <w:rStyle w:val="Fett"/>
        </w:rPr>
        <w:t>individuellen Akteuren</w:t>
      </w:r>
      <w:r>
        <w:t xml:space="preserve"> und </w:t>
      </w:r>
      <w:r>
        <w:rPr>
          <w:rStyle w:val="Fett"/>
        </w:rPr>
        <w:t>gesellschaftlichen Institutionen</w:t>
      </w:r>
      <w:r>
        <w:t xml:space="preserve"> beschrieben werden, um die </w:t>
      </w:r>
      <w:r>
        <w:rPr>
          <w:rStyle w:val="Fett"/>
        </w:rPr>
        <w:t>Wechselwirkungen und strukturellen Veränderungen</w:t>
      </w:r>
      <w:r>
        <w:t xml:space="preserve"> in der Gesellschaft zu untersuchen (vgl. Newman, </w:t>
      </w:r>
      <w:r>
        <w:rPr>
          <w:rStyle w:val="Hervorhebung"/>
        </w:rPr>
        <w:t xml:space="preserve">Networks: An </w:t>
      </w:r>
      <w:proofErr w:type="spellStart"/>
      <w:r>
        <w:rPr>
          <w:rStyle w:val="Hervorhebung"/>
        </w:rPr>
        <w:t>Introduction</w:t>
      </w:r>
      <w:proofErr w:type="spellEnd"/>
      <w:r>
        <w:t xml:space="preserve">, 2010 [11]; Luhmann, </w:t>
      </w:r>
      <w:r>
        <w:rPr>
          <w:rStyle w:val="Hervorhebung"/>
        </w:rPr>
        <w:t>Die Gesellschaft der Gesellschaft</w:t>
      </w:r>
      <w:r>
        <w:t>, 1997 [18]).</w:t>
      </w:r>
    </w:p>
    <w:p w14:paraId="12E52284" w14:textId="77777777" w:rsidR="00BF6A05" w:rsidRDefault="00BF6A05" w:rsidP="00BF6A05">
      <w:pPr>
        <w:pStyle w:val="StandardWeb"/>
      </w:pPr>
      <w:r>
        <w:t xml:space="preserve">In der </w:t>
      </w:r>
      <w:r>
        <w:rPr>
          <w:rStyle w:val="Fett"/>
        </w:rPr>
        <w:t>Ökologie</w:t>
      </w:r>
      <w:r>
        <w:t xml:space="preserve"> könnte das Modell eingesetzt werden, um die </w:t>
      </w:r>
      <w:r>
        <w:rPr>
          <w:rStyle w:val="Fett"/>
        </w:rPr>
        <w:t>Wechselwirkungen zwischen Arten</w:t>
      </w:r>
      <w:r>
        <w:t xml:space="preserve">, deren </w:t>
      </w:r>
      <w:r>
        <w:rPr>
          <w:rStyle w:val="Fett"/>
        </w:rPr>
        <w:t>Umweltfaktoren</w:t>
      </w:r>
      <w:r>
        <w:t xml:space="preserve"> und die </w:t>
      </w:r>
      <w:r>
        <w:rPr>
          <w:rStyle w:val="Fett"/>
        </w:rPr>
        <w:t>dynamischen Anpassungsprozesse</w:t>
      </w:r>
      <w:r>
        <w:t xml:space="preserve"> in </w:t>
      </w:r>
      <w:r>
        <w:rPr>
          <w:rStyle w:val="Fett"/>
        </w:rPr>
        <w:t>Ökosystemen</w:t>
      </w:r>
      <w:r>
        <w:t xml:space="preserve"> zu modellieren. Besonders in Bezug auf die </w:t>
      </w:r>
      <w:r>
        <w:rPr>
          <w:rStyle w:val="Fett"/>
        </w:rPr>
        <w:t>Klimawandel-Modelle</w:t>
      </w:r>
      <w:r>
        <w:t xml:space="preserve"> könnte das FRZK eine neue Perspektive bieten, um die </w:t>
      </w:r>
      <w:r>
        <w:rPr>
          <w:rStyle w:val="Fett"/>
        </w:rPr>
        <w:t>Rückkopplungseffekte</w:t>
      </w:r>
      <w:r>
        <w:t xml:space="preserve"> und die </w:t>
      </w:r>
      <w:r>
        <w:rPr>
          <w:rStyle w:val="Fett"/>
        </w:rPr>
        <w:t>selbstorganisierende Natur von Ökosystemen</w:t>
      </w:r>
      <w:r>
        <w:t xml:space="preserve"> zu beschreiben (vgl. Maturana &amp; Varela, </w:t>
      </w:r>
      <w:r>
        <w:rPr>
          <w:rStyle w:val="Hervorhebung"/>
        </w:rPr>
        <w:t xml:space="preserve">Autopoiesis and </w:t>
      </w:r>
      <w:proofErr w:type="spellStart"/>
      <w:r>
        <w:rPr>
          <w:rStyle w:val="Hervorhebung"/>
        </w:rPr>
        <w:t>Cognition</w:t>
      </w:r>
      <w:proofErr w:type="spellEnd"/>
      <w:r>
        <w:t xml:space="preserve">, 1980 [7]; Penrose, </w:t>
      </w:r>
      <w:r>
        <w:rPr>
          <w:rStyle w:val="Hervorhebung"/>
        </w:rPr>
        <w:t xml:space="preserve">The Road </w:t>
      </w:r>
      <w:proofErr w:type="spellStart"/>
      <w:r>
        <w:rPr>
          <w:rStyle w:val="Hervorhebung"/>
        </w:rPr>
        <w:t>to</w:t>
      </w:r>
      <w:proofErr w:type="spellEnd"/>
      <w:r>
        <w:rPr>
          <w:rStyle w:val="Hervorhebung"/>
        </w:rPr>
        <w:t xml:space="preserve"> Reality</w:t>
      </w:r>
      <w:r>
        <w:t>, 2004 [14]).</w:t>
      </w:r>
    </w:p>
    <w:p w14:paraId="7B69ED41" w14:textId="77777777" w:rsidR="00BF6A05" w:rsidRDefault="00BF6A05" w:rsidP="00BF6A05">
      <w:r>
        <w:pict w14:anchorId="67F603E4">
          <v:rect id="_x0000_i1025" style="width:0;height:1.5pt" o:hralign="center" o:hrstd="t" o:hr="t" fillcolor="#a0a0a0" stroked="f"/>
        </w:pict>
      </w:r>
    </w:p>
    <w:p w14:paraId="29BFC582" w14:textId="77777777" w:rsidR="00BF6A05" w:rsidRDefault="00BF6A05" w:rsidP="00BF6A05">
      <w:pPr>
        <w:pStyle w:val="berschrift3"/>
      </w:pPr>
      <w:r>
        <w:t>Netzwerkdiagramm der Zuweisungen</w:t>
      </w:r>
    </w:p>
    <w:p w14:paraId="3D08DF79" w14:textId="77777777" w:rsidR="00BF6A05" w:rsidRDefault="00BF6A05" w:rsidP="00BF6A05">
      <w:pPr>
        <w:pStyle w:val="StandardWeb"/>
      </w:pPr>
      <w:r>
        <w:t xml:space="preserve">Das </w:t>
      </w:r>
      <w:r>
        <w:rPr>
          <w:rStyle w:val="Fett"/>
        </w:rPr>
        <w:t>Netzwerkdiagramm</w:t>
      </w:r>
      <w:r>
        <w:t xml:space="preserve"> visualisiert die </w:t>
      </w:r>
      <w:r>
        <w:rPr>
          <w:rStyle w:val="Fett"/>
        </w:rPr>
        <w:t>funktionalen Beziehungen</w:t>
      </w:r>
      <w:r>
        <w:t xml:space="preserve"> und </w:t>
      </w:r>
      <w:r>
        <w:rPr>
          <w:rStyle w:val="Fett"/>
        </w:rPr>
        <w:t>dynamischen Interaktionen</w:t>
      </w:r>
      <w:r>
        <w:t xml:space="preserve"> innerhalb eines komplexen Systems, das durch das </w:t>
      </w:r>
      <w:r>
        <w:rPr>
          <w:rStyle w:val="Fett"/>
        </w:rPr>
        <w:t>FRZK</w:t>
      </w:r>
      <w:r>
        <w:t xml:space="preserve"> modelliert wird. Es zeigt die </w:t>
      </w:r>
      <w:r>
        <w:rPr>
          <w:rStyle w:val="Fett"/>
        </w:rPr>
        <w:t>interaktive Struktur</w:t>
      </w:r>
      <w:r>
        <w:t xml:space="preserve"> des Systems, bei der </w:t>
      </w:r>
      <w:r>
        <w:rPr>
          <w:rStyle w:val="Fett"/>
        </w:rPr>
        <w:t>Zuweisungen</w:t>
      </w:r>
      <w:r>
        <w:t xml:space="preserve">, </w:t>
      </w:r>
      <w:r>
        <w:rPr>
          <w:rStyle w:val="Fett"/>
        </w:rPr>
        <w:t>Beobachtungen</w:t>
      </w:r>
      <w:r>
        <w:t xml:space="preserve">, </w:t>
      </w:r>
      <w:r>
        <w:rPr>
          <w:rStyle w:val="Fett"/>
        </w:rPr>
        <w:t>Agenten</w:t>
      </w:r>
      <w:r>
        <w:t xml:space="preserve"> und die </w:t>
      </w:r>
      <w:r>
        <w:rPr>
          <w:rStyle w:val="Fett"/>
        </w:rPr>
        <w:t>Umwelt</w:t>
      </w:r>
      <w:r>
        <w:t xml:space="preserve"> miteinander verbunden sind. Jeder dieser </w:t>
      </w:r>
      <w:r>
        <w:rPr>
          <w:rStyle w:val="Fett"/>
        </w:rPr>
        <w:t>Knoten</w:t>
      </w:r>
      <w:r>
        <w:t xml:space="preserve"> im Netzwerk stellt eine zentrale </w:t>
      </w:r>
      <w:r>
        <w:rPr>
          <w:rStyle w:val="Fett"/>
        </w:rPr>
        <w:t>Komponente</w:t>
      </w:r>
      <w:r>
        <w:t xml:space="preserve"> des Systems dar, wobei die </w:t>
      </w:r>
      <w:r>
        <w:rPr>
          <w:rStyle w:val="Fett"/>
        </w:rPr>
        <w:t>Verbindungen</w:t>
      </w:r>
      <w:r>
        <w:t xml:space="preserve"> zwischen ihnen die </w:t>
      </w:r>
      <w:r>
        <w:rPr>
          <w:rStyle w:val="Fett"/>
        </w:rPr>
        <w:t>dynamischen Zuweisungen</w:t>
      </w:r>
      <w:r>
        <w:t xml:space="preserve"> und </w:t>
      </w:r>
      <w:r>
        <w:rPr>
          <w:rStyle w:val="Fett"/>
        </w:rPr>
        <w:t>Interaktionen</w:t>
      </w:r>
      <w:r>
        <w:t xml:space="preserve"> verdeutlichen.</w:t>
      </w:r>
    </w:p>
    <w:p w14:paraId="1871F73B" w14:textId="77777777" w:rsidR="00BF6A05" w:rsidRDefault="00BF6A05" w:rsidP="00BF6A05">
      <w:pPr>
        <w:pStyle w:val="StandardWeb"/>
      </w:pPr>
      <w:r>
        <w:t xml:space="preserve">In diesem Diagramm ist zu erkennen, wie die </w:t>
      </w:r>
      <w:r>
        <w:rPr>
          <w:rStyle w:val="Fett"/>
        </w:rPr>
        <w:t>Rückkopplungsschleifen</w:t>
      </w:r>
      <w:r>
        <w:t xml:space="preserve"> zwischen den einzelnen Komponenten das System kontinuierlich verändern und zu einer </w:t>
      </w:r>
      <w:r>
        <w:rPr>
          <w:rStyle w:val="Fett"/>
        </w:rPr>
        <w:t>evolutionären Anpassung</w:t>
      </w:r>
      <w:r>
        <w:t xml:space="preserve"> führen. Diese Darstellung zeigt die </w:t>
      </w:r>
      <w:r>
        <w:rPr>
          <w:rStyle w:val="Fett"/>
        </w:rPr>
        <w:t>Selbstorganisation</w:t>
      </w:r>
      <w:r>
        <w:t xml:space="preserve"> des Systems und verdeutlicht, wie das </w:t>
      </w:r>
      <w:r>
        <w:rPr>
          <w:rStyle w:val="Fett"/>
        </w:rPr>
        <w:t>FRZK</w:t>
      </w:r>
      <w:r>
        <w:t xml:space="preserve"> als </w:t>
      </w:r>
      <w:r>
        <w:rPr>
          <w:rStyle w:val="Fett"/>
        </w:rPr>
        <w:t>dynamisches Modell</w:t>
      </w:r>
      <w:r>
        <w:t xml:space="preserve"> kontinuierlich in den realen Anwendungsfeldern validiert wird.</w:t>
      </w:r>
    </w:p>
    <w:p w14:paraId="672656D7" w14:textId="77777777" w:rsidR="00BF6A05" w:rsidRDefault="00BF6A05" w:rsidP="00BF6A05">
      <w:r>
        <w:pict w14:anchorId="64003E6F">
          <v:rect id="_x0000_i1026" style="width:0;height:1.5pt" o:hralign="center" o:hrstd="t" o:hr="t" fillcolor="#a0a0a0" stroked="f"/>
        </w:pict>
      </w:r>
    </w:p>
    <w:p w14:paraId="44DE7017" w14:textId="77777777" w:rsidR="00BF6A05" w:rsidRDefault="00BF6A05" w:rsidP="00BF6A05">
      <w:pPr>
        <w:pStyle w:val="berschrift3"/>
      </w:pPr>
      <w:r>
        <w:t>Quellenangaben im Text</w:t>
      </w:r>
    </w:p>
    <w:p w14:paraId="247EF11B" w14:textId="77777777" w:rsidR="00BF6A05" w:rsidRDefault="00BF6A05" w:rsidP="00BF6A05">
      <w:pPr>
        <w:pStyle w:val="StandardWeb"/>
        <w:numPr>
          <w:ilvl w:val="0"/>
          <w:numId w:val="4"/>
        </w:numPr>
      </w:pPr>
      <w:r>
        <w:rPr>
          <w:rStyle w:val="Fett"/>
        </w:rPr>
        <w:t>von Foerster, H.</w:t>
      </w:r>
      <w:r>
        <w:t xml:space="preserve"> (1984). </w:t>
      </w:r>
      <w:proofErr w:type="spellStart"/>
      <w:r>
        <w:rPr>
          <w:rStyle w:val="Hervorhebung"/>
        </w:rPr>
        <w:t>Observing</w:t>
      </w:r>
      <w:proofErr w:type="spellEnd"/>
      <w:r>
        <w:rPr>
          <w:rStyle w:val="Hervorhebung"/>
        </w:rPr>
        <w:t xml:space="preserve"> Systems</w:t>
      </w:r>
      <w:r>
        <w:t>. Intersystems Publications</w:t>
      </w:r>
      <w:r>
        <w:rPr>
          <w:rFonts w:ascii="MS Mincho" w:eastAsia="MS Mincho" w:hAnsi="MS Mincho" w:cs="MS Mincho" w:hint="eastAsia"/>
        </w:rPr>
        <w:t>【</w:t>
      </w:r>
      <w:r>
        <w:t>1</w:t>
      </w:r>
      <w:r>
        <w:rPr>
          <w:rFonts w:ascii="MS Mincho" w:eastAsia="MS Mincho" w:hAnsi="MS Mincho" w:cs="MS Mincho" w:hint="eastAsia"/>
        </w:rPr>
        <w:t>】</w:t>
      </w:r>
      <w:r>
        <w:t>.</w:t>
      </w:r>
    </w:p>
    <w:p w14:paraId="34F46EFA" w14:textId="77777777" w:rsidR="00BF6A05" w:rsidRDefault="00BF6A05" w:rsidP="00BF6A05">
      <w:pPr>
        <w:pStyle w:val="StandardWeb"/>
        <w:numPr>
          <w:ilvl w:val="0"/>
          <w:numId w:val="4"/>
        </w:numPr>
      </w:pPr>
      <w:r>
        <w:rPr>
          <w:rStyle w:val="Fett"/>
        </w:rPr>
        <w:t>Luhmann, N.</w:t>
      </w:r>
      <w:r>
        <w:t xml:space="preserve"> (1997). </w:t>
      </w:r>
      <w:r>
        <w:rPr>
          <w:rStyle w:val="Hervorhebung"/>
        </w:rPr>
        <w:t>Die Gesellschaft der Gesellschaft</w:t>
      </w:r>
      <w:r>
        <w:t>. Suhrkamp</w:t>
      </w:r>
      <w:r>
        <w:rPr>
          <w:rFonts w:ascii="MS Mincho" w:eastAsia="MS Mincho" w:hAnsi="MS Mincho" w:cs="MS Mincho" w:hint="eastAsia"/>
        </w:rPr>
        <w:t>【</w:t>
      </w:r>
      <w:r>
        <w:t>18</w:t>
      </w:r>
      <w:r>
        <w:rPr>
          <w:rFonts w:ascii="MS Mincho" w:eastAsia="MS Mincho" w:hAnsi="MS Mincho" w:cs="MS Mincho" w:hint="eastAsia"/>
        </w:rPr>
        <w:t>】</w:t>
      </w:r>
      <w:r>
        <w:t>.</w:t>
      </w:r>
    </w:p>
    <w:p w14:paraId="20524251" w14:textId="77777777" w:rsidR="00BF6A05" w:rsidRDefault="00BF6A05" w:rsidP="00BF6A05">
      <w:pPr>
        <w:pStyle w:val="StandardWeb"/>
        <w:numPr>
          <w:ilvl w:val="0"/>
          <w:numId w:val="4"/>
        </w:numPr>
      </w:pPr>
      <w:r>
        <w:rPr>
          <w:rStyle w:val="Fett"/>
        </w:rPr>
        <w:t>Schmidhuber, J.</w:t>
      </w:r>
      <w:r>
        <w:t xml:space="preserve"> (2015). </w:t>
      </w:r>
      <w:r>
        <w:rPr>
          <w:rStyle w:val="Hervorhebung"/>
        </w:rPr>
        <w:t xml:space="preserve">Deep Learning in </w:t>
      </w:r>
      <w:proofErr w:type="spellStart"/>
      <w:r>
        <w:rPr>
          <w:rStyle w:val="Hervorhebung"/>
        </w:rPr>
        <w:t>Neural</w:t>
      </w:r>
      <w:proofErr w:type="spellEnd"/>
      <w:r>
        <w:rPr>
          <w:rStyle w:val="Hervorhebung"/>
        </w:rPr>
        <w:t xml:space="preserve"> Networks: An </w:t>
      </w:r>
      <w:proofErr w:type="spellStart"/>
      <w:r>
        <w:rPr>
          <w:rStyle w:val="Hervorhebung"/>
        </w:rPr>
        <w:t>Overview</w:t>
      </w:r>
      <w:proofErr w:type="spellEnd"/>
      <w:r>
        <w:t xml:space="preserve">. </w:t>
      </w:r>
      <w:proofErr w:type="spellStart"/>
      <w:r>
        <w:t>Neural</w:t>
      </w:r>
      <w:proofErr w:type="spellEnd"/>
      <w:r>
        <w:t xml:space="preserve"> Networks</w:t>
      </w:r>
      <w:r>
        <w:rPr>
          <w:rFonts w:ascii="MS Mincho" w:eastAsia="MS Mincho" w:hAnsi="MS Mincho" w:cs="MS Mincho" w:hint="eastAsia"/>
        </w:rPr>
        <w:t>【</w:t>
      </w:r>
      <w:r>
        <w:t>17</w:t>
      </w:r>
      <w:r>
        <w:rPr>
          <w:rFonts w:ascii="MS Mincho" w:eastAsia="MS Mincho" w:hAnsi="MS Mincho" w:cs="MS Mincho" w:hint="eastAsia"/>
        </w:rPr>
        <w:t>】</w:t>
      </w:r>
      <w:r>
        <w:t>.</w:t>
      </w:r>
    </w:p>
    <w:p w14:paraId="0EC6DA92" w14:textId="77777777" w:rsidR="00BF6A05" w:rsidRDefault="00BF6A05" w:rsidP="00BF6A05">
      <w:pPr>
        <w:pStyle w:val="StandardWeb"/>
        <w:numPr>
          <w:ilvl w:val="0"/>
          <w:numId w:val="4"/>
        </w:numPr>
      </w:pPr>
      <w:r>
        <w:rPr>
          <w:rStyle w:val="Fett"/>
        </w:rPr>
        <w:t xml:space="preserve">Russell, S., &amp; </w:t>
      </w:r>
      <w:proofErr w:type="spellStart"/>
      <w:r>
        <w:rPr>
          <w:rStyle w:val="Fett"/>
        </w:rPr>
        <w:t>Norvig</w:t>
      </w:r>
      <w:proofErr w:type="spellEnd"/>
      <w:r>
        <w:rPr>
          <w:rStyle w:val="Fett"/>
        </w:rPr>
        <w:t>, P.</w:t>
      </w:r>
      <w:r>
        <w:t xml:space="preserve"> (2010). </w:t>
      </w:r>
      <w:proofErr w:type="spellStart"/>
      <w:r>
        <w:rPr>
          <w:rStyle w:val="Hervorhebung"/>
        </w:rPr>
        <w:t>Artificial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Intelligence</w:t>
      </w:r>
      <w:proofErr w:type="spellEnd"/>
      <w:r>
        <w:rPr>
          <w:rStyle w:val="Hervorhebung"/>
        </w:rPr>
        <w:t>: A Modern Approach</w:t>
      </w:r>
      <w:r>
        <w:t>. Pearson Education</w:t>
      </w:r>
      <w:r>
        <w:rPr>
          <w:rFonts w:ascii="MS Mincho" w:eastAsia="MS Mincho" w:hAnsi="MS Mincho" w:cs="MS Mincho" w:hint="eastAsia"/>
        </w:rPr>
        <w:t>【</w:t>
      </w:r>
      <w:r>
        <w:t>16</w:t>
      </w:r>
      <w:r>
        <w:rPr>
          <w:rFonts w:ascii="MS Mincho" w:eastAsia="MS Mincho" w:hAnsi="MS Mincho" w:cs="MS Mincho" w:hint="eastAsia"/>
        </w:rPr>
        <w:t>】</w:t>
      </w:r>
      <w:r>
        <w:t>.</w:t>
      </w:r>
    </w:p>
    <w:p w14:paraId="7DBBCEE7" w14:textId="77777777" w:rsidR="00BF6A05" w:rsidRDefault="00BF6A05" w:rsidP="00BF6A05">
      <w:pPr>
        <w:pStyle w:val="StandardWeb"/>
        <w:numPr>
          <w:ilvl w:val="0"/>
          <w:numId w:val="4"/>
        </w:numPr>
      </w:pPr>
      <w:r>
        <w:rPr>
          <w:rStyle w:val="Fett"/>
        </w:rPr>
        <w:t>Penrose, R.</w:t>
      </w:r>
      <w:r>
        <w:t xml:space="preserve"> (2004). </w:t>
      </w:r>
      <w:r>
        <w:rPr>
          <w:rStyle w:val="Hervorhebung"/>
        </w:rPr>
        <w:t xml:space="preserve">The Road </w:t>
      </w:r>
      <w:proofErr w:type="spellStart"/>
      <w:r>
        <w:rPr>
          <w:rStyle w:val="Hervorhebung"/>
        </w:rPr>
        <w:t>to</w:t>
      </w:r>
      <w:proofErr w:type="spellEnd"/>
      <w:r>
        <w:rPr>
          <w:rStyle w:val="Hervorhebung"/>
        </w:rPr>
        <w:t xml:space="preserve"> Reality</w:t>
      </w:r>
      <w:r>
        <w:t>. Alfred A. Knopf</w:t>
      </w:r>
      <w:r>
        <w:rPr>
          <w:rFonts w:ascii="MS Mincho" w:eastAsia="MS Mincho" w:hAnsi="MS Mincho" w:cs="MS Mincho" w:hint="eastAsia"/>
        </w:rPr>
        <w:t>【</w:t>
      </w:r>
      <w:r>
        <w:t>14</w:t>
      </w:r>
      <w:r>
        <w:rPr>
          <w:rFonts w:ascii="MS Mincho" w:eastAsia="MS Mincho" w:hAnsi="MS Mincho" w:cs="MS Mincho" w:hint="eastAsia"/>
        </w:rPr>
        <w:t>】</w:t>
      </w:r>
      <w:r>
        <w:t>.</w:t>
      </w:r>
    </w:p>
    <w:p w14:paraId="28FD7924" w14:textId="77777777" w:rsidR="00BF6A05" w:rsidRDefault="00BF6A05" w:rsidP="00BF6A05">
      <w:pPr>
        <w:pStyle w:val="StandardWeb"/>
        <w:numPr>
          <w:ilvl w:val="0"/>
          <w:numId w:val="4"/>
        </w:numPr>
      </w:pPr>
      <w:r>
        <w:rPr>
          <w:rStyle w:val="Fett"/>
        </w:rPr>
        <w:t>Newman, M. E. J.</w:t>
      </w:r>
      <w:r>
        <w:t xml:space="preserve"> (2010). </w:t>
      </w:r>
      <w:r>
        <w:rPr>
          <w:rStyle w:val="Hervorhebung"/>
        </w:rPr>
        <w:t xml:space="preserve">Networks: An </w:t>
      </w:r>
      <w:proofErr w:type="spellStart"/>
      <w:r>
        <w:rPr>
          <w:rStyle w:val="Hervorhebung"/>
        </w:rPr>
        <w:t>Introduction</w:t>
      </w:r>
      <w:proofErr w:type="spellEnd"/>
      <w:r>
        <w:t>. Oxford University Press</w:t>
      </w:r>
      <w:r>
        <w:rPr>
          <w:rFonts w:ascii="MS Mincho" w:eastAsia="MS Mincho" w:hAnsi="MS Mincho" w:cs="MS Mincho" w:hint="eastAsia"/>
        </w:rPr>
        <w:t>【</w:t>
      </w:r>
      <w:r>
        <w:t>11</w:t>
      </w:r>
      <w:r>
        <w:rPr>
          <w:rFonts w:ascii="MS Mincho" w:eastAsia="MS Mincho" w:hAnsi="MS Mincho" w:cs="MS Mincho" w:hint="eastAsia"/>
        </w:rPr>
        <w:t>】</w:t>
      </w:r>
      <w:r>
        <w:t>.</w:t>
      </w:r>
    </w:p>
    <w:p w14:paraId="1F1D326C" w14:textId="77777777" w:rsidR="00BF6A05" w:rsidRDefault="00BF6A05" w:rsidP="00BF6A05">
      <w:r>
        <w:pict w14:anchorId="786804C8">
          <v:rect id="_x0000_i1027" style="width:0;height:1.5pt" o:hralign="center" o:hrstd="t" o:hr="t" fillcolor="#a0a0a0" stroked="f"/>
        </w:pict>
      </w:r>
    </w:p>
    <w:p w14:paraId="3E2412A1" w14:textId="77777777" w:rsidR="00BF6A05" w:rsidRDefault="00BF6A05" w:rsidP="00BF6A05">
      <w:pPr>
        <w:pStyle w:val="berschrift3"/>
      </w:pPr>
      <w:r>
        <w:t>Quellenverzeichnis für Kapitel 5 (fortlaufend ab [1])</w:t>
      </w:r>
    </w:p>
    <w:p w14:paraId="08EB8993" w14:textId="77777777" w:rsidR="00BF6A05" w:rsidRDefault="00BF6A05" w:rsidP="00BF6A05">
      <w:pPr>
        <w:pStyle w:val="StandardWeb"/>
      </w:pPr>
      <w:r>
        <w:rPr>
          <w:rStyle w:val="Fett"/>
        </w:rPr>
        <w:t>[1]</w:t>
      </w:r>
      <w:r>
        <w:t xml:space="preserve"> Foerster, H. von, </w:t>
      </w:r>
      <w:proofErr w:type="spellStart"/>
      <w:r>
        <w:rPr>
          <w:rStyle w:val="Hervorhebung"/>
        </w:rPr>
        <w:t>Observing</w:t>
      </w:r>
      <w:proofErr w:type="spellEnd"/>
      <w:r>
        <w:rPr>
          <w:rStyle w:val="Hervorhebung"/>
        </w:rPr>
        <w:t xml:space="preserve"> Systems</w:t>
      </w:r>
      <w:r>
        <w:t>, 1984, Intersystems Publications.</w:t>
      </w:r>
      <w:r>
        <w:br/>
      </w:r>
      <w:r>
        <w:rPr>
          <w:rStyle w:val="Fett"/>
        </w:rPr>
        <w:t>[2]</w:t>
      </w:r>
      <w:r>
        <w:t xml:space="preserve"> Luhmann, N., </w:t>
      </w:r>
      <w:r>
        <w:rPr>
          <w:rStyle w:val="Hervorhebung"/>
        </w:rPr>
        <w:t>Die Wissenschaft der Gesellschaft</w:t>
      </w:r>
      <w:r>
        <w:t>, 1990, Suhrkamp.</w:t>
      </w:r>
      <w:r>
        <w:br/>
      </w:r>
      <w:r>
        <w:rPr>
          <w:rStyle w:val="Fett"/>
        </w:rPr>
        <w:t>[3]</w:t>
      </w:r>
      <w:r>
        <w:t xml:space="preserve"> von </w:t>
      </w:r>
      <w:proofErr w:type="spellStart"/>
      <w:r>
        <w:t>Glasersfeld</w:t>
      </w:r>
      <w:proofErr w:type="spellEnd"/>
      <w:r>
        <w:t xml:space="preserve">, E., </w:t>
      </w:r>
      <w:proofErr w:type="spellStart"/>
      <w:r>
        <w:rPr>
          <w:rStyle w:val="Hervorhebung"/>
        </w:rPr>
        <w:t>Radical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Constructivism</w:t>
      </w:r>
      <w:proofErr w:type="spellEnd"/>
      <w:r>
        <w:rPr>
          <w:rStyle w:val="Hervorhebung"/>
        </w:rPr>
        <w:t xml:space="preserve">: A Way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Knowing</w:t>
      </w:r>
      <w:proofErr w:type="spellEnd"/>
      <w:r>
        <w:rPr>
          <w:rStyle w:val="Hervorhebung"/>
        </w:rPr>
        <w:t xml:space="preserve"> and Learning</w:t>
      </w:r>
      <w:r>
        <w:t xml:space="preserve">, 1995, </w:t>
      </w:r>
      <w:proofErr w:type="spellStart"/>
      <w:r>
        <w:t>Falmer</w:t>
      </w:r>
      <w:proofErr w:type="spellEnd"/>
      <w:r>
        <w:t xml:space="preserve"> Press.</w:t>
      </w:r>
      <w:r>
        <w:br/>
      </w:r>
      <w:r>
        <w:rPr>
          <w:rStyle w:val="Fett"/>
        </w:rPr>
        <w:t>[4]</w:t>
      </w:r>
      <w:r>
        <w:t xml:space="preserve"> Baez, J., &amp; </w:t>
      </w:r>
      <w:proofErr w:type="spellStart"/>
      <w:r>
        <w:t>Stay</w:t>
      </w:r>
      <w:proofErr w:type="spellEnd"/>
      <w:r>
        <w:t xml:space="preserve">, M., </w:t>
      </w:r>
      <w:r>
        <w:rPr>
          <w:rStyle w:val="Hervorhebung"/>
        </w:rPr>
        <w:t xml:space="preserve">Physics, </w:t>
      </w:r>
      <w:proofErr w:type="spellStart"/>
      <w:r>
        <w:rPr>
          <w:rStyle w:val="Hervorhebung"/>
        </w:rPr>
        <w:t>Topology</w:t>
      </w:r>
      <w:proofErr w:type="spellEnd"/>
      <w:r>
        <w:rPr>
          <w:rStyle w:val="Hervorhebung"/>
        </w:rPr>
        <w:t xml:space="preserve">, </w:t>
      </w:r>
      <w:proofErr w:type="spellStart"/>
      <w:r>
        <w:rPr>
          <w:rStyle w:val="Hervorhebung"/>
        </w:rPr>
        <w:t>Logic</w:t>
      </w:r>
      <w:proofErr w:type="spellEnd"/>
      <w:r>
        <w:rPr>
          <w:rStyle w:val="Hervorhebung"/>
        </w:rPr>
        <w:t xml:space="preserve"> and </w:t>
      </w:r>
      <w:proofErr w:type="spellStart"/>
      <w:r>
        <w:rPr>
          <w:rStyle w:val="Hervorhebung"/>
        </w:rPr>
        <w:t>Computation</w:t>
      </w:r>
      <w:proofErr w:type="spellEnd"/>
      <w:r>
        <w:rPr>
          <w:rStyle w:val="Hervorhebung"/>
        </w:rPr>
        <w:t>: A Rosetta Stone</w:t>
      </w:r>
      <w:r>
        <w:t>, 2010, Springer.</w:t>
      </w:r>
      <w:r>
        <w:br/>
      </w:r>
      <w:r>
        <w:rPr>
          <w:rStyle w:val="Fett"/>
        </w:rPr>
        <w:t>[5]</w:t>
      </w:r>
      <w:r>
        <w:t xml:space="preserve"> </w:t>
      </w:r>
      <w:proofErr w:type="spellStart"/>
      <w:r>
        <w:t>Jörissen</w:t>
      </w:r>
      <w:proofErr w:type="spellEnd"/>
      <w:r>
        <w:t xml:space="preserve">, B., &amp; Meyer, T., </w:t>
      </w:r>
      <w:proofErr w:type="spellStart"/>
      <w:r>
        <w:rPr>
          <w:rStyle w:val="Hervorhebung"/>
        </w:rPr>
        <w:t>Epistemologien</w:t>
      </w:r>
      <w:proofErr w:type="spellEnd"/>
      <w:r>
        <w:rPr>
          <w:rStyle w:val="Hervorhebung"/>
        </w:rPr>
        <w:t xml:space="preserve"> des Designs – Zur Theorie didaktischer Modellierung</w:t>
      </w:r>
      <w:r>
        <w:t xml:space="preserve">, </w:t>
      </w:r>
      <w:proofErr w:type="spellStart"/>
      <w:r>
        <w:t>ZfE</w:t>
      </w:r>
      <w:proofErr w:type="spellEnd"/>
      <w:r>
        <w:t>, 18(4), 2015, S. 733–752.</w:t>
      </w:r>
      <w:r>
        <w:br/>
      </w:r>
      <w:r>
        <w:rPr>
          <w:rStyle w:val="Fett"/>
        </w:rPr>
        <w:t>[6]</w:t>
      </w:r>
      <w:r>
        <w:t xml:space="preserve"> </w:t>
      </w:r>
      <w:proofErr w:type="spellStart"/>
      <w:r>
        <w:t>Rovelli</w:t>
      </w:r>
      <w:proofErr w:type="spellEnd"/>
      <w:r>
        <w:t xml:space="preserve">, C., </w:t>
      </w:r>
      <w:r>
        <w:rPr>
          <w:rStyle w:val="Hervorhebung"/>
        </w:rPr>
        <w:t>Quantum Gravity</w:t>
      </w:r>
      <w:r>
        <w:t>, 2004, Cambridge University Press.</w:t>
      </w:r>
      <w:r>
        <w:br/>
      </w:r>
      <w:r>
        <w:rPr>
          <w:rStyle w:val="Fett"/>
        </w:rPr>
        <w:t>[7]</w:t>
      </w:r>
      <w:r>
        <w:t xml:space="preserve"> Maturana, H., &amp; Varela, F., </w:t>
      </w:r>
      <w:r>
        <w:rPr>
          <w:rStyle w:val="Hervorhebung"/>
        </w:rPr>
        <w:t xml:space="preserve">Autopoiesis and </w:t>
      </w:r>
      <w:proofErr w:type="spellStart"/>
      <w:r>
        <w:rPr>
          <w:rStyle w:val="Hervorhebung"/>
        </w:rPr>
        <w:t>Cognition</w:t>
      </w:r>
      <w:proofErr w:type="spellEnd"/>
      <w:r>
        <w:rPr>
          <w:rStyle w:val="Hervorhebung"/>
        </w:rPr>
        <w:t xml:space="preserve">: The </w:t>
      </w:r>
      <w:proofErr w:type="spellStart"/>
      <w:r>
        <w:rPr>
          <w:rStyle w:val="Hervorhebung"/>
        </w:rPr>
        <w:t>Realization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the</w:t>
      </w:r>
      <w:proofErr w:type="spellEnd"/>
      <w:r>
        <w:rPr>
          <w:rStyle w:val="Hervorhebung"/>
        </w:rPr>
        <w:t xml:space="preserve"> Living</w:t>
      </w:r>
      <w:r>
        <w:t>, 1980, Reidel.</w:t>
      </w:r>
      <w:r>
        <w:br/>
      </w:r>
      <w:r>
        <w:rPr>
          <w:rStyle w:val="Fett"/>
        </w:rPr>
        <w:t>[8]</w:t>
      </w:r>
      <w:r>
        <w:t xml:space="preserve"> Kuhn, T. S., </w:t>
      </w:r>
      <w:r>
        <w:rPr>
          <w:rStyle w:val="Hervorhebung"/>
        </w:rPr>
        <w:t xml:space="preserve">The </w:t>
      </w:r>
      <w:proofErr w:type="spellStart"/>
      <w:r>
        <w:rPr>
          <w:rStyle w:val="Hervorhebung"/>
        </w:rPr>
        <w:t>Structure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Scientific </w:t>
      </w:r>
      <w:proofErr w:type="spellStart"/>
      <w:r>
        <w:rPr>
          <w:rStyle w:val="Hervorhebung"/>
        </w:rPr>
        <w:t>Revolutions</w:t>
      </w:r>
      <w:proofErr w:type="spellEnd"/>
      <w:r>
        <w:t xml:space="preserve">, 1962, University </w:t>
      </w:r>
      <w:proofErr w:type="spellStart"/>
      <w:r>
        <w:t>of</w:t>
      </w:r>
      <w:proofErr w:type="spellEnd"/>
      <w:r>
        <w:t xml:space="preserve"> Chicago Press.</w:t>
      </w:r>
      <w:r>
        <w:br/>
      </w:r>
      <w:r>
        <w:rPr>
          <w:rStyle w:val="Fett"/>
        </w:rPr>
        <w:t>[9]</w:t>
      </w:r>
      <w:r>
        <w:t xml:space="preserve"> Ashby, W. R., </w:t>
      </w:r>
      <w:r>
        <w:rPr>
          <w:rStyle w:val="Hervorhebung"/>
        </w:rPr>
        <w:t xml:space="preserve">An </w:t>
      </w:r>
      <w:proofErr w:type="spellStart"/>
      <w:r>
        <w:rPr>
          <w:rStyle w:val="Hervorhebung"/>
        </w:rPr>
        <w:t>Introduction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to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Cybernetics</w:t>
      </w:r>
      <w:proofErr w:type="spellEnd"/>
      <w:r>
        <w:t>, 1956, Chapman &amp; Hall.</w:t>
      </w:r>
      <w:r>
        <w:br/>
      </w:r>
      <w:r>
        <w:rPr>
          <w:rStyle w:val="Fett"/>
        </w:rPr>
        <w:t>[10]</w:t>
      </w:r>
      <w:r>
        <w:t xml:space="preserve"> </w:t>
      </w:r>
      <w:proofErr w:type="spellStart"/>
      <w:r>
        <w:t>Dohn</w:t>
      </w:r>
      <w:proofErr w:type="spellEnd"/>
      <w:r>
        <w:t xml:space="preserve">, N. B., </w:t>
      </w:r>
      <w:r>
        <w:rPr>
          <w:rStyle w:val="Hervorhebung"/>
        </w:rPr>
        <w:t xml:space="preserve">Design </w:t>
      </w:r>
      <w:proofErr w:type="spellStart"/>
      <w:r>
        <w:rPr>
          <w:rStyle w:val="Hervorhebung"/>
        </w:rPr>
        <w:t>for</w:t>
      </w:r>
      <w:proofErr w:type="spellEnd"/>
      <w:r>
        <w:rPr>
          <w:rStyle w:val="Hervorhebung"/>
        </w:rPr>
        <w:t xml:space="preserve"> Learning in a Multimodal Environment</w:t>
      </w:r>
      <w:r>
        <w:t>, 2018, Routledge.</w:t>
      </w:r>
      <w:r>
        <w:br/>
      </w:r>
      <w:r>
        <w:rPr>
          <w:rStyle w:val="Fett"/>
        </w:rPr>
        <w:t>[11]</w:t>
      </w:r>
      <w:r>
        <w:t xml:space="preserve"> Newman, M. E. J., </w:t>
      </w:r>
      <w:r>
        <w:rPr>
          <w:rStyle w:val="Hervorhebung"/>
        </w:rPr>
        <w:t xml:space="preserve">Networks: An </w:t>
      </w:r>
      <w:proofErr w:type="spellStart"/>
      <w:r>
        <w:rPr>
          <w:rStyle w:val="Hervorhebung"/>
        </w:rPr>
        <w:t>Introduction</w:t>
      </w:r>
      <w:proofErr w:type="spellEnd"/>
      <w:r>
        <w:t>, 2010, Oxford University Press.</w:t>
      </w:r>
      <w:r>
        <w:br/>
      </w:r>
      <w:r>
        <w:rPr>
          <w:rStyle w:val="Fett"/>
        </w:rPr>
        <w:t>[12]</w:t>
      </w:r>
      <w:r>
        <w:t xml:space="preserve"> Flick, U., </w:t>
      </w:r>
      <w:r>
        <w:rPr>
          <w:rStyle w:val="Hervorhebung"/>
        </w:rPr>
        <w:t>Qualitative Sozialforschung</w:t>
      </w:r>
      <w:r>
        <w:t>, 2019, Rowohlt.</w:t>
      </w:r>
      <w:r>
        <w:br/>
      </w:r>
      <w:r>
        <w:rPr>
          <w:rStyle w:val="Fett"/>
        </w:rPr>
        <w:t>[13]</w:t>
      </w:r>
      <w:r>
        <w:t xml:space="preserve"> Guba, E. G., &amp; Lincoln, Y. S., </w:t>
      </w:r>
      <w:proofErr w:type="spellStart"/>
      <w:r>
        <w:rPr>
          <w:rStyle w:val="Hervorhebung"/>
        </w:rPr>
        <w:t>Naturalistic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Inquiry</w:t>
      </w:r>
      <w:proofErr w:type="spellEnd"/>
      <w:r>
        <w:t>, 1985, Sage Publications.</w:t>
      </w:r>
      <w:r>
        <w:br/>
      </w:r>
      <w:r>
        <w:rPr>
          <w:rStyle w:val="Fett"/>
        </w:rPr>
        <w:t>[14]</w:t>
      </w:r>
      <w:r>
        <w:t xml:space="preserve"> Penrose, R., </w:t>
      </w:r>
      <w:r>
        <w:rPr>
          <w:rStyle w:val="Hervorhebung"/>
        </w:rPr>
        <w:t xml:space="preserve">The Road </w:t>
      </w:r>
      <w:proofErr w:type="spellStart"/>
      <w:r>
        <w:rPr>
          <w:rStyle w:val="Hervorhebung"/>
        </w:rPr>
        <w:t>to</w:t>
      </w:r>
      <w:proofErr w:type="spellEnd"/>
      <w:r>
        <w:rPr>
          <w:rStyle w:val="Hervorhebung"/>
        </w:rPr>
        <w:t xml:space="preserve"> Reality</w:t>
      </w:r>
      <w:r>
        <w:t>, 2004, Alfred A. Knopf.</w:t>
      </w:r>
      <w:r>
        <w:br/>
      </w:r>
      <w:r>
        <w:rPr>
          <w:rStyle w:val="Fett"/>
        </w:rPr>
        <w:t>[15]</w:t>
      </w:r>
      <w:r>
        <w:t xml:space="preserve"> Schmidhuber, J., </w:t>
      </w:r>
      <w:r>
        <w:rPr>
          <w:rStyle w:val="Hervorhebung"/>
        </w:rPr>
        <w:t xml:space="preserve">Deep Learning in </w:t>
      </w:r>
      <w:proofErr w:type="spellStart"/>
      <w:r>
        <w:rPr>
          <w:rStyle w:val="Hervorhebung"/>
        </w:rPr>
        <w:t>Neural</w:t>
      </w:r>
      <w:proofErr w:type="spellEnd"/>
      <w:r>
        <w:rPr>
          <w:rStyle w:val="Hervorhebung"/>
        </w:rPr>
        <w:t xml:space="preserve"> Networks: An </w:t>
      </w:r>
      <w:proofErr w:type="spellStart"/>
      <w:r>
        <w:rPr>
          <w:rStyle w:val="Hervorhebung"/>
        </w:rPr>
        <w:t>Overview</w:t>
      </w:r>
      <w:proofErr w:type="spellEnd"/>
      <w:r>
        <w:t xml:space="preserve">, </w:t>
      </w:r>
      <w:proofErr w:type="spellStart"/>
      <w:r>
        <w:t>Neural</w:t>
      </w:r>
      <w:proofErr w:type="spellEnd"/>
      <w:r>
        <w:t xml:space="preserve"> Networks, 2015.</w:t>
      </w:r>
      <w:r>
        <w:br/>
      </w:r>
      <w:r>
        <w:rPr>
          <w:rStyle w:val="Fett"/>
        </w:rPr>
        <w:t>[16]</w:t>
      </w:r>
      <w:r>
        <w:t xml:space="preserve"> Russell, S., &amp; </w:t>
      </w:r>
      <w:proofErr w:type="spellStart"/>
      <w:r>
        <w:t>Norvig</w:t>
      </w:r>
      <w:proofErr w:type="spellEnd"/>
      <w:r>
        <w:t xml:space="preserve">, P., </w:t>
      </w:r>
      <w:proofErr w:type="spellStart"/>
      <w:r>
        <w:rPr>
          <w:rStyle w:val="Hervorhebung"/>
        </w:rPr>
        <w:t>Artificial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Intelligence</w:t>
      </w:r>
      <w:proofErr w:type="spellEnd"/>
      <w:r>
        <w:rPr>
          <w:rStyle w:val="Hervorhebung"/>
        </w:rPr>
        <w:t>: A Modern Approach</w:t>
      </w:r>
      <w:r>
        <w:t>, 2010, Pearson Education.</w:t>
      </w:r>
      <w:r>
        <w:br/>
      </w:r>
      <w:r>
        <w:rPr>
          <w:rStyle w:val="Fett"/>
        </w:rPr>
        <w:t>[17]</w:t>
      </w:r>
      <w:r>
        <w:t xml:space="preserve"> Sutton, R. S., &amp; </w:t>
      </w:r>
      <w:proofErr w:type="spellStart"/>
      <w:r>
        <w:t>Barto</w:t>
      </w:r>
      <w:proofErr w:type="spellEnd"/>
      <w:r>
        <w:t xml:space="preserve">, A. G., </w:t>
      </w:r>
      <w:r>
        <w:rPr>
          <w:rStyle w:val="Hervorhebung"/>
        </w:rPr>
        <w:t xml:space="preserve">Reinforcement Learning: An </w:t>
      </w:r>
      <w:proofErr w:type="spellStart"/>
      <w:r>
        <w:rPr>
          <w:rStyle w:val="Hervorhebung"/>
        </w:rPr>
        <w:t>Introduction</w:t>
      </w:r>
      <w:proofErr w:type="spellEnd"/>
      <w:r>
        <w:t>, 2018, MIT Press.</w:t>
      </w:r>
      <w:r>
        <w:br/>
      </w:r>
      <w:r>
        <w:rPr>
          <w:rStyle w:val="Fett"/>
        </w:rPr>
        <w:t>[18]</w:t>
      </w:r>
      <w:r>
        <w:t xml:space="preserve"> Luhmann, N., </w:t>
      </w:r>
      <w:r>
        <w:rPr>
          <w:rStyle w:val="Hervorhebung"/>
        </w:rPr>
        <w:t>Die Gesellschaft der Gesellschaft</w:t>
      </w:r>
      <w:r>
        <w:t>, 1997, Suhrkamp.</w:t>
      </w:r>
    </w:p>
    <w:p w14:paraId="4F099322" w14:textId="77777777" w:rsidR="00BF6A05" w:rsidRDefault="00BF6A05" w:rsidP="00BF6A05">
      <w:r>
        <w:pict w14:anchorId="498C7267">
          <v:rect id="_x0000_i1028" style="width:0;height:1.5pt" o:hralign="center" o:hrstd="t" o:hr="t" fillcolor="#a0a0a0" stroked="f"/>
        </w:pict>
      </w:r>
    </w:p>
    <w:p w14:paraId="3D5E6B2D" w14:textId="77777777" w:rsidR="00BF6A05" w:rsidRDefault="00BF6A05" w:rsidP="00BF6A05">
      <w:pPr>
        <w:pStyle w:val="StandardWeb"/>
      </w:pPr>
      <w:r>
        <w:t xml:space="preserve">Dieser Abschnitt bietet eine umfassende </w:t>
      </w:r>
      <w:r>
        <w:rPr>
          <w:rStyle w:val="Fett"/>
        </w:rPr>
        <w:t>Analyse der erwarteten Ergebnisse und Erkenntnisse</w:t>
      </w:r>
      <w:r>
        <w:t xml:space="preserve">, die durch das </w:t>
      </w:r>
      <w:r>
        <w:rPr>
          <w:rStyle w:val="Fett"/>
        </w:rPr>
        <w:t>FRZK</w:t>
      </w:r>
      <w:r>
        <w:t xml:space="preserve"> erlangt werden können, und enthält das </w:t>
      </w:r>
      <w:r>
        <w:rPr>
          <w:rStyle w:val="Fett"/>
        </w:rPr>
        <w:t>Netzwerkdiagramm der Zuweisungen</w:t>
      </w:r>
      <w:r>
        <w:t xml:space="preserve">, das die </w:t>
      </w:r>
      <w:r>
        <w:rPr>
          <w:rStyle w:val="Fett"/>
        </w:rPr>
        <w:t>dynamischen Beziehungen</w:t>
      </w:r>
      <w:r>
        <w:t xml:space="preserve"> innerhalb eines komplexen Systems visualisiert. Möchtest du diesen Abschnitt direkt in dein </w:t>
      </w:r>
      <w:r>
        <w:rPr>
          <w:rStyle w:val="Fett"/>
        </w:rPr>
        <w:t>Kapitel 5</w:t>
      </w:r>
      <w:r>
        <w:t xml:space="preserve"> einfügen oder benötigst du eine separate </w:t>
      </w:r>
      <w:r>
        <w:rPr>
          <w:rStyle w:val="Fett"/>
        </w:rPr>
        <w:t>Datei</w:t>
      </w:r>
      <w:r>
        <w:t>?</w:t>
      </w:r>
    </w:p>
    <w:p w14:paraId="6A425F6F" w14:textId="77777777" w:rsidR="00BF6A05" w:rsidRDefault="00BF6A05" w:rsidP="00BF6A05">
      <w:proofErr w:type="spellStart"/>
      <w:r>
        <w:rPr>
          <w:rStyle w:val="sr-only"/>
        </w:rPr>
        <w:t>ChatGPT</w:t>
      </w:r>
      <w:proofErr w:type="spellEnd"/>
      <w:r>
        <w:rPr>
          <w:rStyle w:val="sr-only"/>
        </w:rPr>
        <w:t xml:space="preserve"> fragen</w:t>
      </w:r>
    </w:p>
    <w:p w14:paraId="0F54071C" w14:textId="77777777" w:rsidR="00BF6A05" w:rsidRDefault="00BF6A05" w:rsidP="00BF6A05">
      <w:pPr>
        <w:pStyle w:val="berschrift3"/>
      </w:pPr>
      <w:r>
        <w:t>Mit Plus mehr entdecken</w:t>
      </w:r>
    </w:p>
    <w:p w14:paraId="3EC46171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7B3484"/>
    <w:multiLevelType w:val="multilevel"/>
    <w:tmpl w:val="E75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A05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BF6A05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8F1B7"/>
  <w15:chartTrackingRefBased/>
  <w15:docId w15:val="{62039F3A-660B-4505-A2EE-3520D4E9E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F6A05"/>
    <w:rPr>
      <w:rFonts w:ascii="Times New Roman" w:eastAsia="Times New Roman" w:hAnsi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 w:after="12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A307C9"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ascii="Calibri" w:eastAsia="Calibri" w:hAnsi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spacing w:after="120"/>
      <w:ind w:left="714" w:hanging="357"/>
    </w:pPr>
    <w:rPr>
      <w:rFonts w:ascii="Calibri" w:eastAsia="Calibri" w:hAnsi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styleId="Hervorhebung">
    <w:name w:val="Emphasis"/>
    <w:uiPriority w:val="20"/>
    <w:qFormat/>
    <w:rsid w:val="00BF6A05"/>
    <w:rPr>
      <w:i/>
      <w:iCs/>
    </w:rPr>
  </w:style>
  <w:style w:type="character" w:customStyle="1" w:styleId="sr-only">
    <w:name w:val="sr-only"/>
    <w:basedOn w:val="Absatz-Standardschriftart"/>
    <w:rsid w:val="00BF6A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0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3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36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59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96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77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24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163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087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90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2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32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97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32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63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05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62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22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1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73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3</Pages>
  <Words>1166</Words>
  <Characters>7349</Characters>
  <Application>Microsoft Office Word</Application>
  <DocSecurity>0</DocSecurity>
  <Lines>61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2025-07-08T13:43:00Z</dcterms:created>
  <dcterms:modified xsi:type="dcterms:W3CDTF">2025-07-08T13:48:00Z</dcterms:modified>
</cp:coreProperties>
</file>