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09640" w14:textId="77777777" w:rsidR="00A05CE3" w:rsidRPr="00A05CE3" w:rsidRDefault="00A05CE3" w:rsidP="00A05CE3">
      <w:pPr>
        <w:pBdr>
          <w:top w:val="single" w:sz="2" w:space="0" w:color="E4E4E7"/>
          <w:left w:val="single" w:sz="2" w:space="0" w:color="E4E4E7"/>
          <w:bottom w:val="single" w:sz="2" w:space="0" w:color="E4E4E7"/>
          <w:right w:val="single" w:sz="2" w:space="0" w:color="E4E4E7"/>
        </w:pBdr>
        <w:shd w:val="clear" w:color="auto" w:fill="FAFAFA"/>
        <w:spacing w:before="480" w:after="240" w:line="240" w:lineRule="auto"/>
        <w:outlineLvl w:val="1"/>
        <w:rPr>
          <w:rFonts w:ascii="Arial" w:eastAsia="Times New Roman" w:hAnsi="Arial" w:cs="Arial"/>
          <w:b/>
          <w:bCs/>
          <w:color w:val="18181B"/>
          <w:sz w:val="36"/>
          <w:szCs w:val="36"/>
          <w:lang w:eastAsia="de-DE"/>
        </w:rPr>
      </w:pPr>
      <w:r w:rsidRPr="00A05CE3">
        <w:rPr>
          <w:rFonts w:ascii="Arial" w:eastAsia="Times New Roman" w:hAnsi="Arial" w:cs="Arial"/>
          <w:b/>
          <w:bCs/>
          <w:color w:val="18181B"/>
          <w:sz w:val="36"/>
          <w:szCs w:val="36"/>
          <w:lang w:eastAsia="de-DE"/>
        </w:rPr>
        <w:t>Kapitel 2: Entwicklung und didaktisch-methodische Bewertung physikalischer Bezugssysteme</w:t>
      </w:r>
    </w:p>
    <w:p w14:paraId="2B011408" w14:textId="77777777" w:rsidR="00A05CE3" w:rsidRPr="00A05CE3" w:rsidRDefault="00A05CE3" w:rsidP="00A05CE3">
      <w:pPr>
        <w:pBdr>
          <w:top w:val="single" w:sz="2" w:space="0" w:color="E4E4E7"/>
          <w:left w:val="single" w:sz="2" w:space="0" w:color="E4E4E7"/>
          <w:bottom w:val="single" w:sz="2" w:space="0" w:color="E4E4E7"/>
          <w:right w:val="single" w:sz="2" w:space="0" w:color="E4E4E7"/>
        </w:pBdr>
        <w:shd w:val="clear" w:color="auto" w:fill="FAFAFA"/>
        <w:spacing w:after="144" w:line="240" w:lineRule="auto"/>
        <w:outlineLvl w:val="2"/>
        <w:rPr>
          <w:rFonts w:ascii="Arial" w:eastAsia="Times New Roman" w:hAnsi="Arial" w:cs="Arial"/>
          <w:b/>
          <w:bCs/>
          <w:color w:val="18181B"/>
          <w:sz w:val="30"/>
          <w:szCs w:val="30"/>
          <w:lang w:eastAsia="de-DE"/>
        </w:rPr>
      </w:pPr>
      <w:r w:rsidRPr="00A05CE3">
        <w:rPr>
          <w:rFonts w:ascii="Arial" w:eastAsia="Times New Roman" w:hAnsi="Arial" w:cs="Arial"/>
          <w:b/>
          <w:bCs/>
          <w:color w:val="18181B"/>
          <w:sz w:val="30"/>
          <w:szCs w:val="30"/>
          <w:lang w:eastAsia="de-DE"/>
        </w:rPr>
        <w:t>2.1 Einleitung: Fundamentale Rolle physikalischer Bezugssysteme</w:t>
      </w:r>
    </w:p>
    <w:p w14:paraId="636A42BB" w14:textId="77777777" w:rsidR="00A05CE3" w:rsidRPr="00A05CE3" w:rsidRDefault="00A05CE3" w:rsidP="00A05CE3">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i/>
          <w:iCs/>
          <w:color w:val="3F3F46"/>
          <w:sz w:val="24"/>
          <w:szCs w:val="24"/>
          <w:bdr w:val="single" w:sz="2" w:space="0" w:color="E4E4E7" w:frame="1"/>
          <w:lang w:eastAsia="de-DE"/>
        </w:rPr>
        <w:t>Physikalische Bezugssysteme</w:t>
      </w:r>
      <w:r w:rsidRPr="00A05CE3">
        <w:rPr>
          <w:rFonts w:ascii="Arial" w:eastAsia="Times New Roman" w:hAnsi="Arial" w:cs="Arial"/>
          <w:color w:val="3F3F46"/>
          <w:sz w:val="24"/>
          <w:szCs w:val="24"/>
          <w:lang w:eastAsia="de-DE"/>
        </w:rPr>
        <w:t> sind konzeptuelle Grundlagen der modernen Physik, die nicht nur als Hilfsmittel dienen, sondern das Erkennen und Beschreiben von physikalischen Phänomenen grundlegend strukturieren.</w:t>
      </w:r>
    </w:p>
    <w:p w14:paraId="7E8EF93D" w14:textId="77777777" w:rsidR="00A05CE3" w:rsidRPr="00A05CE3" w:rsidRDefault="00A05CE3" w:rsidP="00A05CE3">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Bezugssysteme definieren den Standpunkt des Beobachters, von dem aus Raum- und Zeitrelationen, Bewegung und physikalische Vorgänge erfasst werden.</w:t>
      </w:r>
    </w:p>
    <w:p w14:paraId="4DFC9C49" w14:textId="77777777" w:rsidR="00A05CE3" w:rsidRPr="00A05CE3" w:rsidRDefault="00A05CE3" w:rsidP="00A05CE3">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Historisch und epistemologisch sind Bezugssysteme bedeutend: Sie sind nicht absolut, sondern relativ und prägen unser Weltbild (z.B. Newtons absoluter Raum vs. Einsteins relative Raumzeit).</w:t>
      </w:r>
    </w:p>
    <w:p w14:paraId="6F047190" w14:textId="77777777" w:rsidR="00A05CE3" w:rsidRPr="00A05CE3" w:rsidRDefault="00A05CE3" w:rsidP="00A05CE3">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Die Quantenmechanik veränderte den Blick weiter: Der Beobachter ist selbst konstitutiver Bestandteil des Systems; Messungen beeinflussen Zustände (</w:t>
      </w:r>
      <w:proofErr w:type="spellStart"/>
      <w:r w:rsidRPr="00A05CE3">
        <w:rPr>
          <w:rFonts w:ascii="Arial" w:eastAsia="Times New Roman" w:hAnsi="Arial" w:cs="Arial"/>
          <w:color w:val="3F3F46"/>
          <w:sz w:val="24"/>
          <w:szCs w:val="24"/>
          <w:lang w:eastAsia="de-DE"/>
        </w:rPr>
        <w:t>Komplementaritätsprinzip</w:t>
      </w:r>
      <w:proofErr w:type="spellEnd"/>
      <w:r w:rsidRPr="00A05CE3">
        <w:rPr>
          <w:rFonts w:ascii="Arial" w:eastAsia="Times New Roman" w:hAnsi="Arial" w:cs="Arial"/>
          <w:color w:val="3F3F46"/>
          <w:sz w:val="24"/>
          <w:szCs w:val="24"/>
          <w:lang w:eastAsia="de-DE"/>
        </w:rPr>
        <w:t>, Wellenkollaps).</w:t>
      </w:r>
    </w:p>
    <w:p w14:paraId="18858160" w14:textId="77777777" w:rsidR="00A05CE3" w:rsidRPr="00A05CE3" w:rsidRDefault="00A05CE3" w:rsidP="00A05CE3">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Didaktisch erfordern Bezugssysteme ein Umdenken weg von passivem Beobachten zu aktiven, reflektierten Modellbildungen (Piaget: kognitiver Wandel zwischen Assimilation und Akkommodation).</w:t>
      </w:r>
    </w:p>
    <w:p w14:paraId="54C0EE41" w14:textId="77777777" w:rsidR="00A05CE3" w:rsidRPr="00A05CE3" w:rsidRDefault="00A05CE3" w:rsidP="00A05CE3">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Das berühmte Gedankenexperiment Galileis (Schiff unter Deck) illustriert die Relativität gleichförmiger Bewegung.</w:t>
      </w:r>
    </w:p>
    <w:p w14:paraId="08811E2A" w14:textId="77777777" w:rsidR="00A05CE3" w:rsidRPr="00A05CE3" w:rsidRDefault="00A05CE3" w:rsidP="00A05CE3">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Ziel des Kapitels: Historische Entwicklung, didaktische Herausforderungen und innovative didaktische Ansätze (funktional-relationales Bezugssystem) systematisch darstellen.</w:t>
      </w:r>
    </w:p>
    <w:p w14:paraId="5C6EEFF9" w14:textId="77777777" w:rsidR="00A05CE3" w:rsidRPr="00A05CE3" w:rsidRDefault="00A05CE3" w:rsidP="00A05CE3">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A05CE3">
        <w:rPr>
          <w:rFonts w:ascii="Arial" w:eastAsia="Times New Roman" w:hAnsi="Arial" w:cs="Arial"/>
          <w:b/>
          <w:bCs/>
          <w:color w:val="18181B"/>
          <w:sz w:val="30"/>
          <w:szCs w:val="30"/>
          <w:lang w:eastAsia="de-DE"/>
        </w:rPr>
        <w:t>2.2 Historische Entwicklung physikalischer Bezugssysteme</w:t>
      </w:r>
    </w:p>
    <w:p w14:paraId="26F8FE92" w14:textId="77777777" w:rsidR="00A05CE3" w:rsidRPr="00A05CE3" w:rsidRDefault="00A05CE3" w:rsidP="00A05CE3">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Die Geschichte der Bezugssysteme spiegelt Paradigmenwechsel im Weltbild und im Raum-Zeit-Verständnis wider.</w:t>
      </w:r>
    </w:p>
    <w:p w14:paraId="394AFC15" w14:textId="77777777" w:rsidR="00A05CE3" w:rsidRPr="00A05CE3" w:rsidRDefault="00A05CE3" w:rsidP="00A05CE3">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A05CE3">
        <w:rPr>
          <w:rFonts w:ascii="Arial" w:eastAsia="Times New Roman" w:hAnsi="Arial" w:cs="Arial"/>
          <w:b/>
          <w:bCs/>
          <w:color w:val="18181B"/>
          <w:sz w:val="24"/>
          <w:szCs w:val="24"/>
          <w:bdr w:val="single" w:sz="2" w:space="0" w:color="E4E4E7" w:frame="1"/>
          <w:lang w:eastAsia="de-DE"/>
        </w:rPr>
        <w:t>Phasen im Überblick</w:t>
      </w:r>
      <w:r w:rsidRPr="00A05CE3">
        <w:rPr>
          <w:rFonts w:ascii="Arial" w:eastAsia="Times New Roman" w:hAnsi="Arial" w:cs="Arial"/>
          <w:color w:val="3F3F46"/>
          <w:sz w:val="24"/>
          <w:szCs w:val="24"/>
          <w:lang w:eastAsia="de-DE"/>
        </w:rPr>
        <w:t>:</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3"/>
        <w:gridCol w:w="5562"/>
        <w:gridCol w:w="4265"/>
      </w:tblGrid>
      <w:tr w:rsidR="00A05CE3" w:rsidRPr="00A05CE3" w14:paraId="1054B5C7" w14:textId="77777777" w:rsidTr="00A05CE3">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0CB591B1" w14:textId="77777777" w:rsidR="00A05CE3" w:rsidRPr="00A05CE3" w:rsidRDefault="00A05CE3" w:rsidP="00A05CE3">
            <w:pPr>
              <w:spacing w:after="0" w:line="240" w:lineRule="auto"/>
              <w:rPr>
                <w:rFonts w:ascii="Times New Roman" w:eastAsia="Times New Roman" w:hAnsi="Times New Roman" w:cs="Times New Roman"/>
                <w:color w:val="71717A"/>
                <w:spacing w:val="6"/>
                <w:sz w:val="21"/>
                <w:szCs w:val="21"/>
                <w:lang w:eastAsia="de-DE"/>
              </w:rPr>
            </w:pPr>
            <w:r w:rsidRPr="00A05CE3">
              <w:rPr>
                <w:rFonts w:ascii="Times New Roman" w:eastAsia="Times New Roman" w:hAnsi="Times New Roman" w:cs="Times New Roman"/>
                <w:color w:val="71717A"/>
                <w:spacing w:val="6"/>
                <w:sz w:val="21"/>
                <w:szCs w:val="21"/>
                <w:lang w:eastAsia="de-DE"/>
              </w:rPr>
              <w:t>Epoche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CA2E188" w14:textId="77777777" w:rsidR="00A05CE3" w:rsidRPr="00A05CE3" w:rsidRDefault="00A05CE3" w:rsidP="00A05CE3">
            <w:pPr>
              <w:spacing w:after="0" w:line="240" w:lineRule="auto"/>
              <w:rPr>
                <w:rFonts w:ascii="Times New Roman" w:eastAsia="Times New Roman" w:hAnsi="Times New Roman" w:cs="Times New Roman"/>
                <w:color w:val="71717A"/>
                <w:spacing w:val="6"/>
                <w:sz w:val="21"/>
                <w:szCs w:val="21"/>
                <w:lang w:eastAsia="de-DE"/>
              </w:rPr>
            </w:pPr>
            <w:r w:rsidRPr="00A05CE3">
              <w:rPr>
                <w:rFonts w:ascii="Times New Roman" w:eastAsia="Times New Roman" w:hAnsi="Times New Roman" w:cs="Times New Roman"/>
                <w:color w:val="71717A"/>
                <w:spacing w:val="6"/>
                <w:sz w:val="21"/>
                <w:szCs w:val="21"/>
                <w:lang w:eastAsia="de-DE"/>
              </w:rPr>
              <w:t>Charakteristik</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FB2FB04" w14:textId="77777777" w:rsidR="00A05CE3" w:rsidRPr="00A05CE3" w:rsidRDefault="00A05CE3" w:rsidP="00A05CE3">
            <w:pPr>
              <w:spacing w:after="0" w:line="240" w:lineRule="auto"/>
              <w:rPr>
                <w:rFonts w:ascii="Times New Roman" w:eastAsia="Times New Roman" w:hAnsi="Times New Roman" w:cs="Times New Roman"/>
                <w:color w:val="71717A"/>
                <w:spacing w:val="6"/>
                <w:sz w:val="21"/>
                <w:szCs w:val="21"/>
                <w:lang w:eastAsia="de-DE"/>
              </w:rPr>
            </w:pPr>
            <w:r w:rsidRPr="00A05CE3">
              <w:rPr>
                <w:rFonts w:ascii="Times New Roman" w:eastAsia="Times New Roman" w:hAnsi="Times New Roman" w:cs="Times New Roman"/>
                <w:color w:val="71717A"/>
                <w:spacing w:val="6"/>
                <w:sz w:val="21"/>
                <w:szCs w:val="21"/>
                <w:lang w:eastAsia="de-DE"/>
              </w:rPr>
              <w:t>Wichtige Vertreter und Konzepte</w:t>
            </w:r>
          </w:p>
        </w:tc>
      </w:tr>
      <w:tr w:rsidR="00A05CE3" w:rsidRPr="00A05CE3" w14:paraId="38400712" w14:textId="77777777" w:rsidTr="00A05CE3">
        <w:tc>
          <w:tcPr>
            <w:tcW w:w="0" w:type="auto"/>
            <w:tcBorders>
              <w:top w:val="single" w:sz="2" w:space="0" w:color="E4E4E7"/>
              <w:left w:val="single" w:sz="2" w:space="0" w:color="E4E4E7"/>
              <w:bottom w:val="single" w:sz="2" w:space="0" w:color="E4E4E7"/>
              <w:right w:val="single" w:sz="2" w:space="0" w:color="E4E4E7"/>
            </w:tcBorders>
            <w:vAlign w:val="center"/>
            <w:hideMark/>
          </w:tcPr>
          <w:p w14:paraId="1CCE475F"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Antike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094C434"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Qualitative Ortsbindung, teleologischer Raum, kein universales Bezugssystem</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637DDAD"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Aristoteles: Körper streben natürlichen Orten zu</w:t>
            </w:r>
          </w:p>
        </w:tc>
      </w:tr>
      <w:tr w:rsidR="00A05CE3" w:rsidRPr="00A05CE3" w14:paraId="26B02DF4" w14:textId="77777777" w:rsidTr="00A05CE3">
        <w:tc>
          <w:tcPr>
            <w:tcW w:w="0" w:type="auto"/>
            <w:tcBorders>
              <w:top w:val="single" w:sz="2" w:space="0" w:color="E4E4E7"/>
              <w:left w:val="single" w:sz="2" w:space="0" w:color="E4E4E7"/>
              <w:bottom w:val="single" w:sz="2" w:space="0" w:color="E4E4E7"/>
              <w:right w:val="single" w:sz="2" w:space="0" w:color="E4E4E7"/>
            </w:tcBorders>
            <w:vAlign w:val="center"/>
            <w:hideMark/>
          </w:tcPr>
          <w:p w14:paraId="0B5C137C"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Galilei (17. Jh.)</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6643CA2"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Relativität der gleichförmigen Bewegung, erstes Relativitätsprinzip</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E7702B9"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Gedankenexperiment Schiff, Idee des Inertialsystems</w:t>
            </w:r>
          </w:p>
        </w:tc>
      </w:tr>
      <w:tr w:rsidR="00A05CE3" w:rsidRPr="00A05CE3" w14:paraId="2E05E75D" w14:textId="77777777" w:rsidTr="00A05CE3">
        <w:tc>
          <w:tcPr>
            <w:tcW w:w="0" w:type="auto"/>
            <w:tcBorders>
              <w:top w:val="single" w:sz="2" w:space="0" w:color="E4E4E7"/>
              <w:left w:val="single" w:sz="2" w:space="0" w:color="E4E4E7"/>
              <w:bottom w:val="single" w:sz="2" w:space="0" w:color="E4E4E7"/>
              <w:right w:val="single" w:sz="2" w:space="0" w:color="E4E4E7"/>
            </w:tcBorders>
            <w:vAlign w:val="center"/>
            <w:hideMark/>
          </w:tcPr>
          <w:p w14:paraId="4FDFACB3"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Newton (17./18. Jh.)</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2F13EAB"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 xml:space="preserve">Absolute Raumvorstellung, objektiver </w:t>
            </w:r>
            <w:proofErr w:type="spellStart"/>
            <w:r w:rsidRPr="00A05CE3">
              <w:rPr>
                <w:rFonts w:ascii="Times New Roman" w:eastAsia="Times New Roman" w:hAnsi="Times New Roman" w:cs="Times New Roman"/>
                <w:sz w:val="21"/>
                <w:szCs w:val="21"/>
                <w:lang w:eastAsia="de-DE"/>
              </w:rPr>
              <w:t>Inertialrahmen</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BFE18B1"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Absoluter Raum als unbeweglicher Rahmen (Principia)</w:t>
            </w:r>
          </w:p>
        </w:tc>
      </w:tr>
      <w:tr w:rsidR="00A05CE3" w:rsidRPr="00A05CE3" w14:paraId="4280D2DF" w14:textId="77777777" w:rsidTr="00A05CE3">
        <w:tc>
          <w:tcPr>
            <w:tcW w:w="0" w:type="auto"/>
            <w:tcBorders>
              <w:top w:val="single" w:sz="2" w:space="0" w:color="E4E4E7"/>
              <w:left w:val="single" w:sz="2" w:space="0" w:color="E4E4E7"/>
              <w:bottom w:val="single" w:sz="2" w:space="0" w:color="E4E4E7"/>
              <w:right w:val="single" w:sz="2" w:space="0" w:color="E4E4E7"/>
            </w:tcBorders>
            <w:vAlign w:val="center"/>
            <w:hideMark/>
          </w:tcPr>
          <w:p w14:paraId="3389A2F1"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Einstein (20. Jh.)</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23CCE51"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Raum und Zeit als verschmolzene Raumzeit, Relativität, Krümmung durch Gravitation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1C3E04E"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Spezielle und Allgemeine Relativitätstheorie</w:t>
            </w:r>
          </w:p>
        </w:tc>
      </w:tr>
      <w:tr w:rsidR="00A05CE3" w:rsidRPr="00A05CE3" w14:paraId="5085F4AE" w14:textId="77777777" w:rsidTr="00A05CE3">
        <w:tc>
          <w:tcPr>
            <w:tcW w:w="0" w:type="auto"/>
            <w:tcBorders>
              <w:top w:val="single" w:sz="2" w:space="0" w:color="E4E4E7"/>
              <w:left w:val="single" w:sz="2" w:space="0" w:color="E4E4E7"/>
              <w:bottom w:val="single" w:sz="2" w:space="0" w:color="E4E4E7"/>
              <w:right w:val="single" w:sz="2" w:space="0" w:color="E4E4E7"/>
            </w:tcBorders>
            <w:vAlign w:val="center"/>
            <w:hideMark/>
          </w:tcPr>
          <w:p w14:paraId="63269A3D"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Quantenmechanik</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AF7FF35"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Beobachterabhängigkeit, Zustände abhängig von Messung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706876A"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proofErr w:type="spellStart"/>
            <w:r w:rsidRPr="00A05CE3">
              <w:rPr>
                <w:rFonts w:ascii="Times New Roman" w:eastAsia="Times New Roman" w:hAnsi="Times New Roman" w:cs="Times New Roman"/>
                <w:sz w:val="21"/>
                <w:szCs w:val="21"/>
                <w:lang w:eastAsia="de-DE"/>
              </w:rPr>
              <w:t>Komplementaritätsprinzip</w:t>
            </w:r>
            <w:proofErr w:type="spellEnd"/>
            <w:r w:rsidRPr="00A05CE3">
              <w:rPr>
                <w:rFonts w:ascii="Times New Roman" w:eastAsia="Times New Roman" w:hAnsi="Times New Roman" w:cs="Times New Roman"/>
                <w:sz w:val="21"/>
                <w:szCs w:val="21"/>
                <w:lang w:eastAsia="de-DE"/>
              </w:rPr>
              <w:t xml:space="preserve"> (Bohr), Wellenkollaps (Heisenberg)</w:t>
            </w:r>
          </w:p>
        </w:tc>
      </w:tr>
    </w:tbl>
    <w:p w14:paraId="3E0884C3" w14:textId="77777777" w:rsidR="00A05CE3" w:rsidRPr="00A05CE3" w:rsidRDefault="00A05CE3" w:rsidP="00A05CE3">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lastRenderedPageBreak/>
        <w:t>Mit zunehmender Komplexität wurde das Verständnis von Raum, Zeit und Beobachtung immer relationaler und epistemologisch anspruchsvoller.</w:t>
      </w:r>
    </w:p>
    <w:p w14:paraId="67DA069A" w14:textId="77777777" w:rsidR="00A05CE3" w:rsidRPr="00A05CE3" w:rsidRDefault="00A05CE3" w:rsidP="00A05CE3">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A05CE3">
        <w:rPr>
          <w:rFonts w:ascii="Arial" w:eastAsia="Times New Roman" w:hAnsi="Arial" w:cs="Arial"/>
          <w:b/>
          <w:bCs/>
          <w:color w:val="18181B"/>
          <w:sz w:val="30"/>
          <w:szCs w:val="30"/>
          <w:lang w:eastAsia="de-DE"/>
        </w:rPr>
        <w:t>2.3 Methodisch-didaktische Bewertung</w:t>
      </w:r>
    </w:p>
    <w:p w14:paraId="323C3303" w14:textId="77777777" w:rsidR="00A05CE3" w:rsidRPr="00A05CE3" w:rsidRDefault="00A05CE3" w:rsidP="00A05CE3">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Bezugssysteme sind komplexe, abstrakte Konzepte, deren Vermittlung oft an kognitiven Barrieren scheitert.</w:t>
      </w:r>
    </w:p>
    <w:p w14:paraId="4A7DD79A" w14:textId="77777777" w:rsidR="00A05CE3" w:rsidRPr="00A05CE3" w:rsidRDefault="00A05CE3" w:rsidP="00A05CE3">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A05CE3">
        <w:rPr>
          <w:rFonts w:ascii="Arial" w:eastAsia="Times New Roman" w:hAnsi="Arial" w:cs="Arial"/>
          <w:b/>
          <w:bCs/>
          <w:color w:val="18181B"/>
          <w:sz w:val="24"/>
          <w:szCs w:val="24"/>
          <w:bdr w:val="single" w:sz="2" w:space="0" w:color="E4E4E7" w:frame="1"/>
          <w:lang w:eastAsia="de-DE"/>
        </w:rPr>
        <w:t>Kernpunkte</w:t>
      </w:r>
      <w:r w:rsidRPr="00A05CE3">
        <w:rPr>
          <w:rFonts w:ascii="Arial" w:eastAsia="Times New Roman" w:hAnsi="Arial" w:cs="Arial"/>
          <w:color w:val="3F3F46"/>
          <w:sz w:val="24"/>
          <w:szCs w:val="24"/>
          <w:lang w:eastAsia="de-DE"/>
        </w:rPr>
        <w:t>:</w:t>
      </w:r>
    </w:p>
    <w:p w14:paraId="58C4FCCB" w14:textId="77777777" w:rsidR="00A05CE3" w:rsidRPr="00A05CE3" w:rsidRDefault="00A05CE3" w:rsidP="00A05CE3">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b/>
          <w:bCs/>
          <w:color w:val="18181B"/>
          <w:sz w:val="24"/>
          <w:szCs w:val="24"/>
          <w:bdr w:val="single" w:sz="2" w:space="0" w:color="E4E4E7" w:frame="1"/>
          <w:lang w:eastAsia="de-DE"/>
        </w:rPr>
        <w:t>Abstraktion</w:t>
      </w:r>
      <w:r w:rsidRPr="00A05CE3">
        <w:rPr>
          <w:rFonts w:ascii="Arial" w:eastAsia="Times New Roman" w:hAnsi="Arial" w:cs="Arial"/>
          <w:color w:val="3F3F46"/>
          <w:sz w:val="24"/>
          <w:szCs w:val="24"/>
          <w:lang w:eastAsia="de-DE"/>
        </w:rPr>
        <w:t>: Lernende haben große Schwierigkeiten, Begriffe wie Koordinatensysteme, Transformationen und Inertialsysteme zu verstehen. Kontextualisierung und Modellbildung helfen.</w:t>
      </w:r>
    </w:p>
    <w:p w14:paraId="1822ED63" w14:textId="77777777" w:rsidR="00A05CE3" w:rsidRPr="00A05CE3" w:rsidRDefault="00A05CE3" w:rsidP="00A05CE3">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b/>
          <w:bCs/>
          <w:color w:val="18181B"/>
          <w:sz w:val="24"/>
          <w:szCs w:val="24"/>
          <w:bdr w:val="single" w:sz="2" w:space="0" w:color="E4E4E7" w:frame="1"/>
          <w:lang w:eastAsia="de-DE"/>
        </w:rPr>
        <w:t>Visualisierung</w:t>
      </w:r>
      <w:r w:rsidRPr="00A05CE3">
        <w:rPr>
          <w:rFonts w:ascii="Arial" w:eastAsia="Times New Roman" w:hAnsi="Arial" w:cs="Arial"/>
          <w:color w:val="3F3F46"/>
          <w:sz w:val="24"/>
          <w:szCs w:val="24"/>
          <w:lang w:eastAsia="de-DE"/>
        </w:rPr>
        <w:t>: Multimodale Darstellungen (Grafiken, Simulationen, Animationen) sind essentiell, um mentale Modelle aufzubauen und kognitive Belastung zu reduzieren.</w:t>
      </w:r>
    </w:p>
    <w:p w14:paraId="0EF9A930" w14:textId="77777777" w:rsidR="00A05CE3" w:rsidRPr="00A05CE3" w:rsidRDefault="00A05CE3" w:rsidP="00A05CE3">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A05CE3">
        <w:rPr>
          <w:rFonts w:ascii="Arial" w:eastAsia="Times New Roman" w:hAnsi="Arial" w:cs="Arial"/>
          <w:b/>
          <w:bCs/>
          <w:color w:val="18181B"/>
          <w:sz w:val="24"/>
          <w:szCs w:val="24"/>
          <w:bdr w:val="single" w:sz="2" w:space="0" w:color="E4E4E7" w:frame="1"/>
          <w:lang w:eastAsia="de-DE"/>
        </w:rPr>
        <w:t>Curriculumdruck</w:t>
      </w:r>
      <w:proofErr w:type="spellEnd"/>
      <w:r w:rsidRPr="00A05CE3">
        <w:rPr>
          <w:rFonts w:ascii="Arial" w:eastAsia="Times New Roman" w:hAnsi="Arial" w:cs="Arial"/>
          <w:color w:val="3F3F46"/>
          <w:sz w:val="24"/>
          <w:szCs w:val="24"/>
          <w:lang w:eastAsia="de-DE"/>
        </w:rPr>
        <w:t>: Schwerpunkt auf Schlüsselkonzepte wie Bezugssysteme ist notwendig, um Überfrachtung zu verhindern und Wirklichkeit abzubilden.</w:t>
      </w:r>
    </w:p>
    <w:p w14:paraId="1ADC4F16" w14:textId="77777777" w:rsidR="00A05CE3" w:rsidRPr="00A05CE3" w:rsidRDefault="00A05CE3" w:rsidP="00A05CE3">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b/>
          <w:bCs/>
          <w:color w:val="18181B"/>
          <w:sz w:val="24"/>
          <w:szCs w:val="24"/>
          <w:bdr w:val="single" w:sz="2" w:space="0" w:color="E4E4E7" w:frame="1"/>
          <w:lang w:eastAsia="de-DE"/>
        </w:rPr>
        <w:t>Konstruktivistisches Lernen</w:t>
      </w:r>
      <w:r w:rsidRPr="00A05CE3">
        <w:rPr>
          <w:rFonts w:ascii="Arial" w:eastAsia="Times New Roman" w:hAnsi="Arial" w:cs="Arial"/>
          <w:color w:val="3F3F46"/>
          <w:sz w:val="24"/>
          <w:szCs w:val="24"/>
          <w:lang w:eastAsia="de-DE"/>
        </w:rPr>
        <w:t>: Aktive Beteiligung, Rekonstruktion und Definition eigener Bezugssysteme fördern Verständnis und Wissensstabilität.</w:t>
      </w:r>
    </w:p>
    <w:p w14:paraId="10D2BEC2" w14:textId="77777777" w:rsidR="00A05CE3" w:rsidRPr="00A05CE3" w:rsidRDefault="00A05CE3" w:rsidP="00A05CE3">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b/>
          <w:bCs/>
          <w:color w:val="18181B"/>
          <w:sz w:val="24"/>
          <w:szCs w:val="24"/>
          <w:bdr w:val="single" w:sz="2" w:space="0" w:color="E4E4E7" w:frame="1"/>
          <w:lang w:eastAsia="de-DE"/>
        </w:rPr>
        <w:t>Reflexion</w:t>
      </w:r>
      <w:r w:rsidRPr="00A05CE3">
        <w:rPr>
          <w:rFonts w:ascii="Arial" w:eastAsia="Times New Roman" w:hAnsi="Arial" w:cs="Arial"/>
          <w:color w:val="3F3F46"/>
          <w:sz w:val="24"/>
          <w:szCs w:val="24"/>
          <w:lang w:eastAsia="de-DE"/>
        </w:rPr>
        <w:t>: Erhöhung der metakognitiven Fähigkeiten durch Reflexion über Beobachtung und Erkenntnisprozesse.</w:t>
      </w:r>
    </w:p>
    <w:p w14:paraId="7FECE20D" w14:textId="77777777" w:rsidR="00A05CE3" w:rsidRPr="00A05CE3" w:rsidRDefault="00A05CE3" w:rsidP="00A05CE3">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b/>
          <w:bCs/>
          <w:color w:val="18181B"/>
          <w:sz w:val="24"/>
          <w:szCs w:val="24"/>
          <w:bdr w:val="single" w:sz="2" w:space="0" w:color="E4E4E7" w:frame="1"/>
          <w:lang w:eastAsia="de-DE"/>
        </w:rPr>
        <w:t>Concept-Maps &amp; Systemdenken</w:t>
      </w:r>
      <w:r w:rsidRPr="00A05CE3">
        <w:rPr>
          <w:rFonts w:ascii="Arial" w:eastAsia="Times New Roman" w:hAnsi="Arial" w:cs="Arial"/>
          <w:color w:val="3F3F46"/>
          <w:sz w:val="24"/>
          <w:szCs w:val="24"/>
          <w:lang w:eastAsia="de-DE"/>
        </w:rPr>
        <w:t>: Visualisierung komplexer Zusammenhänge unterstützt systemisches Verstehen.</w:t>
      </w:r>
    </w:p>
    <w:p w14:paraId="3DA91B29" w14:textId="77777777" w:rsidR="00A05CE3" w:rsidRPr="00A05CE3" w:rsidRDefault="00A05CE3" w:rsidP="00A05CE3">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A05CE3">
        <w:rPr>
          <w:rFonts w:ascii="Arial" w:eastAsia="Times New Roman" w:hAnsi="Arial" w:cs="Arial"/>
          <w:b/>
          <w:bCs/>
          <w:color w:val="18181B"/>
          <w:sz w:val="30"/>
          <w:szCs w:val="30"/>
          <w:lang w:eastAsia="de-DE"/>
        </w:rPr>
        <w:t>2.4 Ausblick: Funktional-relationales Bezugssystem</w:t>
      </w:r>
    </w:p>
    <w:p w14:paraId="1B83D946" w14:textId="77777777" w:rsidR="00A05CE3" w:rsidRPr="00A05CE3" w:rsidRDefault="00A05CE3" w:rsidP="00A05CE3">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Ein modernes didaktisches Konzept, das Bezugssysteme als dynamisch, aktiv konstruiert und relational versteht, nicht als starre Objektstruktur.</w:t>
      </w:r>
    </w:p>
    <w:p w14:paraId="2C33230E" w14:textId="77777777" w:rsidR="00A05CE3" w:rsidRPr="00A05CE3" w:rsidRDefault="00A05CE3" w:rsidP="00A05CE3">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Basiert auf konstruktivistischen Theorien (Bruner: Spiralprinzip) und betont die progressive, kontextbezogene Annäherung an physikalische Modelle.</w:t>
      </w:r>
    </w:p>
    <w:p w14:paraId="40D494A5" w14:textId="77777777" w:rsidR="00A05CE3" w:rsidRPr="00A05CE3" w:rsidRDefault="00A05CE3" w:rsidP="00A05CE3">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b/>
          <w:bCs/>
          <w:color w:val="18181B"/>
          <w:sz w:val="24"/>
          <w:szCs w:val="24"/>
          <w:bdr w:val="single" w:sz="2" w:space="0" w:color="E4E4E7" w:frame="1"/>
          <w:lang w:eastAsia="de-DE"/>
        </w:rPr>
        <w:t>Methodisch</w:t>
      </w:r>
      <w:r w:rsidRPr="00A05CE3">
        <w:rPr>
          <w:rFonts w:ascii="Arial" w:eastAsia="Times New Roman" w:hAnsi="Arial" w:cs="Arial"/>
          <w:color w:val="3F3F46"/>
          <w:sz w:val="24"/>
          <w:szCs w:val="24"/>
          <w:lang w:eastAsia="de-DE"/>
        </w:rPr>
        <w:t>: Lernende bauen ihr Verständnis über wiederkehrende Zugänge auf, beginnend bei konkreten Modellen (z. B. Ballwurf) bis hin zu komplexen Raumzeitbeschreibungen.</w:t>
      </w:r>
    </w:p>
    <w:p w14:paraId="36575F80" w14:textId="77777777" w:rsidR="00A05CE3" w:rsidRPr="00A05CE3" w:rsidRDefault="00A05CE3" w:rsidP="00A05CE3">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b/>
          <w:bCs/>
          <w:color w:val="18181B"/>
          <w:sz w:val="24"/>
          <w:szCs w:val="24"/>
          <w:bdr w:val="single" w:sz="2" w:space="0" w:color="E4E4E7" w:frame="1"/>
          <w:lang w:eastAsia="de-DE"/>
        </w:rPr>
        <w:t>Didaktische Herausforderungen</w:t>
      </w:r>
      <w:r w:rsidRPr="00A05CE3">
        <w:rPr>
          <w:rFonts w:ascii="Arial" w:eastAsia="Times New Roman" w:hAnsi="Arial" w:cs="Arial"/>
          <w:color w:val="3F3F46"/>
          <w:sz w:val="24"/>
          <w:szCs w:val="24"/>
          <w:lang w:eastAsia="de-DE"/>
        </w:rPr>
        <w:t>: Komplexität erfordert digitale Visualisierungen, Simulationen und begleitende Reflexionsphasen.</w:t>
      </w:r>
    </w:p>
    <w:p w14:paraId="50F77802" w14:textId="77777777" w:rsidR="00A05CE3" w:rsidRPr="00A05CE3" w:rsidRDefault="00A05CE3" w:rsidP="00A05CE3">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b/>
          <w:bCs/>
          <w:color w:val="18181B"/>
          <w:sz w:val="24"/>
          <w:szCs w:val="24"/>
          <w:bdr w:val="single" w:sz="2" w:space="0" w:color="E4E4E7" w:frame="1"/>
          <w:lang w:eastAsia="de-DE"/>
        </w:rPr>
        <w:t>Vorteile</w:t>
      </w:r>
      <w:r w:rsidRPr="00A05CE3">
        <w:rPr>
          <w:rFonts w:ascii="Arial" w:eastAsia="Times New Roman" w:hAnsi="Arial" w:cs="Arial"/>
          <w:color w:val="3F3F46"/>
          <w:sz w:val="24"/>
          <w:szCs w:val="24"/>
          <w:lang w:eastAsia="de-DE"/>
        </w:rPr>
        <w:t>:</w:t>
      </w:r>
    </w:p>
    <w:p w14:paraId="40C3BBA5" w14:textId="77777777" w:rsidR="00A05CE3" w:rsidRPr="00A05CE3" w:rsidRDefault="00A05CE3" w:rsidP="00A05CE3">
      <w:pPr>
        <w:numPr>
          <w:ilvl w:val="1"/>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Aktives Lernen, systemisches Denken</w:t>
      </w:r>
    </w:p>
    <w:p w14:paraId="30027765" w14:textId="77777777" w:rsidR="00A05CE3" w:rsidRPr="00A05CE3" w:rsidRDefault="00A05CE3" w:rsidP="00A05CE3">
      <w:pPr>
        <w:numPr>
          <w:ilvl w:val="1"/>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Kontextbezogenheit und Perspektivität</w:t>
      </w:r>
    </w:p>
    <w:p w14:paraId="69AB17FC" w14:textId="77777777" w:rsidR="00A05CE3" w:rsidRPr="00A05CE3" w:rsidRDefault="00A05CE3" w:rsidP="00A05CE3">
      <w:pPr>
        <w:numPr>
          <w:ilvl w:val="1"/>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Anschluss an moderne Lerntheorien und digitale Medien</w:t>
      </w:r>
    </w:p>
    <w:p w14:paraId="63C40486" w14:textId="77777777" w:rsidR="00A05CE3" w:rsidRPr="00A05CE3" w:rsidRDefault="00A05CE3" w:rsidP="00A05CE3">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Kontrastiert klassische, häufig rein objektivistische Bezugsrahmen mit einem subjektiv-perspektivischen Ansatz.</w:t>
      </w:r>
    </w:p>
    <w:p w14:paraId="71EE6AAF" w14:textId="77777777" w:rsidR="00A05CE3" w:rsidRPr="00A05CE3" w:rsidRDefault="00A05CE3" w:rsidP="00A05CE3">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A05CE3">
        <w:rPr>
          <w:rFonts w:ascii="Arial" w:eastAsia="Times New Roman" w:hAnsi="Arial" w:cs="Arial"/>
          <w:b/>
          <w:bCs/>
          <w:color w:val="18181B"/>
          <w:sz w:val="30"/>
          <w:szCs w:val="30"/>
          <w:lang w:eastAsia="de-DE"/>
        </w:rPr>
        <w:t>2.5 Didaktische Empfehlungen</w:t>
      </w:r>
    </w:p>
    <w:p w14:paraId="627FABE4" w14:textId="77777777" w:rsidR="00A05CE3" w:rsidRPr="00A05CE3" w:rsidRDefault="00A05CE3" w:rsidP="00A05CE3">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lastRenderedPageBreak/>
        <w:t>Basierend auf den Herausforderungen werden die folgenden Leitlinien vorgeschlagen:</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95"/>
        <w:gridCol w:w="8525"/>
      </w:tblGrid>
      <w:tr w:rsidR="00A05CE3" w:rsidRPr="00A05CE3" w14:paraId="59785D64" w14:textId="77777777" w:rsidTr="00A05CE3">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56F22E75" w14:textId="77777777" w:rsidR="00A05CE3" w:rsidRPr="00A05CE3" w:rsidRDefault="00A05CE3" w:rsidP="00A05CE3">
            <w:pPr>
              <w:spacing w:after="0" w:line="240" w:lineRule="auto"/>
              <w:rPr>
                <w:rFonts w:ascii="Times New Roman" w:eastAsia="Times New Roman" w:hAnsi="Times New Roman" w:cs="Times New Roman"/>
                <w:color w:val="71717A"/>
                <w:spacing w:val="6"/>
                <w:sz w:val="21"/>
                <w:szCs w:val="21"/>
                <w:lang w:eastAsia="de-DE"/>
              </w:rPr>
            </w:pPr>
            <w:r w:rsidRPr="00A05CE3">
              <w:rPr>
                <w:rFonts w:ascii="Times New Roman" w:eastAsia="Times New Roman" w:hAnsi="Times New Roman" w:cs="Times New Roman"/>
                <w:color w:val="71717A"/>
                <w:spacing w:val="6"/>
                <w:sz w:val="21"/>
                <w:szCs w:val="21"/>
                <w:lang w:eastAsia="de-DE"/>
              </w:rPr>
              <w:t>Empfehlung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3ED162C" w14:textId="77777777" w:rsidR="00A05CE3" w:rsidRPr="00A05CE3" w:rsidRDefault="00A05CE3" w:rsidP="00A05CE3">
            <w:pPr>
              <w:spacing w:after="0" w:line="240" w:lineRule="auto"/>
              <w:rPr>
                <w:rFonts w:ascii="Times New Roman" w:eastAsia="Times New Roman" w:hAnsi="Times New Roman" w:cs="Times New Roman"/>
                <w:color w:val="71717A"/>
                <w:spacing w:val="6"/>
                <w:sz w:val="21"/>
                <w:szCs w:val="21"/>
                <w:lang w:eastAsia="de-DE"/>
              </w:rPr>
            </w:pPr>
            <w:r w:rsidRPr="00A05CE3">
              <w:rPr>
                <w:rFonts w:ascii="Times New Roman" w:eastAsia="Times New Roman" w:hAnsi="Times New Roman" w:cs="Times New Roman"/>
                <w:color w:val="71717A"/>
                <w:spacing w:val="6"/>
                <w:sz w:val="21"/>
                <w:szCs w:val="21"/>
                <w:lang w:eastAsia="de-DE"/>
              </w:rPr>
              <w:t>Beschreibung</w:t>
            </w:r>
          </w:p>
        </w:tc>
      </w:tr>
      <w:tr w:rsidR="00A05CE3" w:rsidRPr="00A05CE3" w14:paraId="107830EB" w14:textId="77777777" w:rsidTr="00A05CE3">
        <w:tc>
          <w:tcPr>
            <w:tcW w:w="0" w:type="auto"/>
            <w:tcBorders>
              <w:top w:val="single" w:sz="2" w:space="0" w:color="E4E4E7"/>
              <w:left w:val="single" w:sz="2" w:space="0" w:color="E4E4E7"/>
              <w:bottom w:val="single" w:sz="2" w:space="0" w:color="E4E4E7"/>
              <w:right w:val="single" w:sz="2" w:space="0" w:color="E4E4E7"/>
            </w:tcBorders>
            <w:vAlign w:val="center"/>
            <w:hideMark/>
          </w:tcPr>
          <w:p w14:paraId="79A3A323"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Spiralprinzip</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5B65F71"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 xml:space="preserve">Wiederkehrende Vertiefung grundlegender Bezugssystemkonzepte </w:t>
            </w:r>
            <w:proofErr w:type="gramStart"/>
            <w:r w:rsidRPr="00A05CE3">
              <w:rPr>
                <w:rFonts w:ascii="Times New Roman" w:eastAsia="Times New Roman" w:hAnsi="Times New Roman" w:cs="Times New Roman"/>
                <w:sz w:val="21"/>
                <w:szCs w:val="21"/>
                <w:lang w:eastAsia="de-DE"/>
              </w:rPr>
              <w:t>auf steigender</w:t>
            </w:r>
            <w:proofErr w:type="gramEnd"/>
            <w:r w:rsidRPr="00A05CE3">
              <w:rPr>
                <w:rFonts w:ascii="Times New Roman" w:eastAsia="Times New Roman" w:hAnsi="Times New Roman" w:cs="Times New Roman"/>
                <w:sz w:val="21"/>
                <w:szCs w:val="21"/>
                <w:lang w:eastAsia="de-DE"/>
              </w:rPr>
              <w:t xml:space="preserve"> Abstraktion</w:t>
            </w:r>
          </w:p>
        </w:tc>
      </w:tr>
      <w:tr w:rsidR="00A05CE3" w:rsidRPr="00A05CE3" w14:paraId="3D6C0E22" w14:textId="77777777" w:rsidTr="00A05CE3">
        <w:tc>
          <w:tcPr>
            <w:tcW w:w="0" w:type="auto"/>
            <w:tcBorders>
              <w:top w:val="single" w:sz="2" w:space="0" w:color="E4E4E7"/>
              <w:left w:val="single" w:sz="2" w:space="0" w:color="E4E4E7"/>
              <w:bottom w:val="single" w:sz="2" w:space="0" w:color="E4E4E7"/>
              <w:right w:val="single" w:sz="2" w:space="0" w:color="E4E4E7"/>
            </w:tcBorders>
            <w:vAlign w:val="center"/>
            <w:hideMark/>
          </w:tcPr>
          <w:p w14:paraId="6DF96A0E"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Kontextualisierung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4668E41"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Verknüpfung mit lebensnahen Beispielen (z. B. GPS, Sport), um Relevanz zu schaffen</w:t>
            </w:r>
          </w:p>
        </w:tc>
      </w:tr>
      <w:tr w:rsidR="00A05CE3" w:rsidRPr="00A05CE3" w14:paraId="10CDCA30" w14:textId="77777777" w:rsidTr="00A05CE3">
        <w:tc>
          <w:tcPr>
            <w:tcW w:w="0" w:type="auto"/>
            <w:tcBorders>
              <w:top w:val="single" w:sz="2" w:space="0" w:color="E4E4E7"/>
              <w:left w:val="single" w:sz="2" w:space="0" w:color="E4E4E7"/>
              <w:bottom w:val="single" w:sz="2" w:space="0" w:color="E4E4E7"/>
              <w:right w:val="single" w:sz="2" w:space="0" w:color="E4E4E7"/>
            </w:tcBorders>
            <w:vAlign w:val="center"/>
            <w:hideMark/>
          </w:tcPr>
          <w:p w14:paraId="756702DE"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Digitale Medien &amp; Simulationen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BE5FAA9"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 xml:space="preserve">Einsatz von interaktiven Werkzeugen (GeoGebra, </w:t>
            </w:r>
            <w:proofErr w:type="spellStart"/>
            <w:r w:rsidRPr="00A05CE3">
              <w:rPr>
                <w:rFonts w:ascii="Times New Roman" w:eastAsia="Times New Roman" w:hAnsi="Times New Roman" w:cs="Times New Roman"/>
                <w:sz w:val="21"/>
                <w:szCs w:val="21"/>
                <w:lang w:eastAsia="de-DE"/>
              </w:rPr>
              <w:t>PhET</w:t>
            </w:r>
            <w:proofErr w:type="spellEnd"/>
            <w:r w:rsidRPr="00A05CE3">
              <w:rPr>
                <w:rFonts w:ascii="Times New Roman" w:eastAsia="Times New Roman" w:hAnsi="Times New Roman" w:cs="Times New Roman"/>
                <w:sz w:val="21"/>
                <w:szCs w:val="21"/>
                <w:lang w:eastAsia="de-DE"/>
              </w:rPr>
              <w:t>-Simulationen)</w:t>
            </w:r>
          </w:p>
        </w:tc>
      </w:tr>
      <w:tr w:rsidR="00A05CE3" w:rsidRPr="00A05CE3" w14:paraId="29004837" w14:textId="77777777" w:rsidTr="00A05CE3">
        <w:tc>
          <w:tcPr>
            <w:tcW w:w="0" w:type="auto"/>
            <w:tcBorders>
              <w:top w:val="single" w:sz="2" w:space="0" w:color="E4E4E7"/>
              <w:left w:val="single" w:sz="2" w:space="0" w:color="E4E4E7"/>
              <w:bottom w:val="single" w:sz="2" w:space="0" w:color="E4E4E7"/>
              <w:right w:val="single" w:sz="2" w:space="0" w:color="E4E4E7"/>
            </w:tcBorders>
            <w:vAlign w:val="center"/>
            <w:hideMark/>
          </w:tcPr>
          <w:p w14:paraId="41D24E08"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Fehlerkultur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C086465"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Offener Umgang mit Fehlvorstellungen als Lernchance, u. a. Peer-Feedback und Reflexion</w:t>
            </w:r>
          </w:p>
        </w:tc>
      </w:tr>
      <w:tr w:rsidR="00A05CE3" w:rsidRPr="00A05CE3" w14:paraId="341A47C0" w14:textId="77777777" w:rsidTr="00A05CE3">
        <w:tc>
          <w:tcPr>
            <w:tcW w:w="0" w:type="auto"/>
            <w:tcBorders>
              <w:top w:val="single" w:sz="2" w:space="0" w:color="E4E4E7"/>
              <w:left w:val="single" w:sz="2" w:space="0" w:color="E4E4E7"/>
              <w:bottom w:val="single" w:sz="2" w:space="0" w:color="E4E4E7"/>
              <w:right w:val="single" w:sz="2" w:space="0" w:color="E4E4E7"/>
            </w:tcBorders>
            <w:vAlign w:val="center"/>
            <w:hideMark/>
          </w:tcPr>
          <w:p w14:paraId="0ADF3170"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Modularisierung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F7845CB" w14:textId="77777777" w:rsidR="00A05CE3" w:rsidRPr="00A05CE3" w:rsidRDefault="00A05CE3" w:rsidP="00A05CE3">
            <w:pPr>
              <w:spacing w:after="0" w:line="240" w:lineRule="auto"/>
              <w:rPr>
                <w:rFonts w:ascii="Times New Roman" w:eastAsia="Times New Roman" w:hAnsi="Times New Roman" w:cs="Times New Roman"/>
                <w:sz w:val="21"/>
                <w:szCs w:val="21"/>
                <w:lang w:eastAsia="de-DE"/>
              </w:rPr>
            </w:pPr>
            <w:r w:rsidRPr="00A05CE3">
              <w:rPr>
                <w:rFonts w:ascii="Times New Roman" w:eastAsia="Times New Roman" w:hAnsi="Times New Roman" w:cs="Times New Roman"/>
                <w:sz w:val="21"/>
                <w:szCs w:val="21"/>
                <w:lang w:eastAsia="de-DE"/>
              </w:rPr>
              <w:t>Strukturierung komplexer Inhalte in überschaubare Module, fördert differenzierte Zugänge</w:t>
            </w:r>
          </w:p>
        </w:tc>
      </w:tr>
    </w:tbl>
    <w:p w14:paraId="6F3F63C5" w14:textId="77777777" w:rsidR="00A05CE3" w:rsidRPr="00A05CE3" w:rsidRDefault="00A05CE3" w:rsidP="00A05CE3">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Beispiele für Module: Alltagserfahrungen → Koordinatensystemeinführung → Bewegungen in Inertialsystemen → Transformationen → Relativistische Effekte → Simulationen und Reflexion</w:t>
      </w:r>
    </w:p>
    <w:p w14:paraId="6DE3604B" w14:textId="77777777" w:rsidR="00A05CE3" w:rsidRPr="00A05CE3" w:rsidRDefault="00A05CE3" w:rsidP="00A05CE3">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A05CE3">
        <w:rPr>
          <w:rFonts w:ascii="Arial" w:eastAsia="Times New Roman" w:hAnsi="Arial" w:cs="Arial"/>
          <w:b/>
          <w:bCs/>
          <w:color w:val="18181B"/>
          <w:sz w:val="30"/>
          <w:szCs w:val="30"/>
          <w:lang w:eastAsia="de-DE"/>
        </w:rPr>
        <w:t>2.6 Fazit</w:t>
      </w:r>
    </w:p>
    <w:p w14:paraId="46F21475" w14:textId="77777777" w:rsidR="00A05CE3" w:rsidRPr="00A05CE3" w:rsidRDefault="00A05CE3" w:rsidP="00A05CE3">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Physikalische Bezugssysteme sind erkenntnistheoretisch bedeutende Schlüsselkonzepte, deren Geschichte wesentliche Paradigmenwechsel im physikalischen Weltverständnis reflektiert.</w:t>
      </w:r>
    </w:p>
    <w:p w14:paraId="5007A60B" w14:textId="77777777" w:rsidR="00A05CE3" w:rsidRPr="00A05CE3" w:rsidRDefault="00A05CE3" w:rsidP="00A05CE3">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Die didaktische Vermittlung stellt hohe Anforderungen an Abstraktion, Modellbildung und Reflexion.</w:t>
      </w:r>
    </w:p>
    <w:p w14:paraId="5079D028" w14:textId="77777777" w:rsidR="00A05CE3" w:rsidRPr="00A05CE3" w:rsidRDefault="00A05CE3" w:rsidP="00A05CE3">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Funktional-relational gedachte Bezugssysteme bieten innovative methodisch-didaktische Zugänge, die aktives, systemisches und perspektivisches Lernen fördern.</w:t>
      </w:r>
    </w:p>
    <w:p w14:paraId="6C337867" w14:textId="77777777" w:rsidR="00A05CE3" w:rsidRPr="00A05CE3" w:rsidRDefault="00A05CE3" w:rsidP="00A05CE3">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Didaktische Leitlinien (Spiralprinzip, Kontextualisierung, digitale Medien, Fehlerkultur, Modularisierung) bieten ein ganzheitliches Gerüst für erfolgreichen Unterricht.</w:t>
      </w:r>
    </w:p>
    <w:p w14:paraId="0D9EFA83" w14:textId="77777777" w:rsidR="00A05CE3" w:rsidRPr="00A05CE3" w:rsidRDefault="00A05CE3" w:rsidP="00A05CE3">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Bezugssysteme sind mehr als Formeln: Sie tragen maßgeblich zum physikalischen Weltbild und zur allgemeinen Bildung bei.</w:t>
      </w:r>
    </w:p>
    <w:p w14:paraId="26FD2711" w14:textId="77777777" w:rsidR="00A05CE3" w:rsidRPr="00A05CE3" w:rsidRDefault="00A05CE3" w:rsidP="00A05CE3">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A05CE3">
        <w:rPr>
          <w:rFonts w:ascii="Arial" w:eastAsia="Times New Roman" w:hAnsi="Arial" w:cs="Arial"/>
          <w:b/>
          <w:bCs/>
          <w:color w:val="18181B"/>
          <w:sz w:val="30"/>
          <w:szCs w:val="30"/>
          <w:lang w:eastAsia="de-DE"/>
        </w:rPr>
        <w:t>Visualisierungen und Anlagen im Dokument</w:t>
      </w:r>
    </w:p>
    <w:p w14:paraId="58D088D9" w14:textId="77777777" w:rsidR="00A05CE3" w:rsidRPr="00A05CE3" w:rsidRDefault="00A05CE3" w:rsidP="00A05CE3">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Zeitstrahle und Diagramme zur historischen Entwicklung, Paradigmenwechseln und didaktischen Herausforderungen</w:t>
      </w:r>
    </w:p>
    <w:p w14:paraId="531EC638" w14:textId="77777777" w:rsidR="00A05CE3" w:rsidRPr="00A05CE3" w:rsidRDefault="00A05CE3" w:rsidP="00A05CE3">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Grafiken zu Koordinatensystemen, Lernprozessen, funktional-relationalem Modell</w:t>
      </w:r>
    </w:p>
    <w:p w14:paraId="5EA746EE" w14:textId="77777777" w:rsidR="00A05CE3" w:rsidRPr="00A05CE3" w:rsidRDefault="00A05CE3" w:rsidP="00A05CE3">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Tabellen mit didaktischen Empfehlungen und modularer Struktur</w:t>
      </w:r>
    </w:p>
    <w:p w14:paraId="52590A93" w14:textId="77777777" w:rsidR="00A05CE3" w:rsidRPr="00A05CE3" w:rsidRDefault="00A05CE3" w:rsidP="00A05CE3">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Digitale Simulationsempfehlungen und Arbeitsblätter zur modellbasierten Lernförderung</w:t>
      </w:r>
    </w:p>
    <w:p w14:paraId="3CF79BBE" w14:textId="77777777" w:rsidR="00A05CE3" w:rsidRPr="00A05CE3" w:rsidRDefault="00A05CE3" w:rsidP="00A05CE3">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Text- und Zitatsammlungen historischer Primärquellen</w:t>
      </w:r>
    </w:p>
    <w:p w14:paraId="021EA8E9" w14:textId="77777777" w:rsidR="00A05CE3" w:rsidRPr="00A05CE3" w:rsidRDefault="00A05CE3" w:rsidP="00A05CE3">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A05CE3">
        <w:rPr>
          <w:rFonts w:ascii="Arial" w:eastAsia="Times New Roman" w:hAnsi="Arial" w:cs="Arial"/>
          <w:b/>
          <w:bCs/>
          <w:color w:val="18181B"/>
          <w:sz w:val="30"/>
          <w:szCs w:val="30"/>
          <w:lang w:eastAsia="de-DE"/>
        </w:rPr>
        <w:t>Quellen (Auswahl)</w:t>
      </w:r>
    </w:p>
    <w:p w14:paraId="6D42A0CC" w14:textId="77777777" w:rsidR="00A05CE3" w:rsidRPr="00A05CE3" w:rsidRDefault="00A05CE3" w:rsidP="00A05CE3">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Aristoteles, Galilei, Newton, Einstein (Spezielle und Allgemeine Relativität)</w:t>
      </w:r>
    </w:p>
    <w:p w14:paraId="301FAE1F" w14:textId="77777777" w:rsidR="00A05CE3" w:rsidRPr="00A05CE3" w:rsidRDefault="00A05CE3" w:rsidP="00A05CE3">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Bohr, Heisenberg (Quantenmechanik)</w:t>
      </w:r>
    </w:p>
    <w:p w14:paraId="4A6796FB" w14:textId="77777777" w:rsidR="00A05CE3" w:rsidRPr="00A05CE3" w:rsidRDefault="00A05CE3" w:rsidP="00A05CE3">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Piaget (kognitive Entwicklung),</w:t>
      </w:r>
    </w:p>
    <w:p w14:paraId="0317EC1C" w14:textId="77777777" w:rsidR="00A05CE3" w:rsidRPr="00A05CE3" w:rsidRDefault="00A05CE3" w:rsidP="00A05CE3">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Bruner (Spiralprinzip),</w:t>
      </w:r>
    </w:p>
    <w:p w14:paraId="47C9A83E" w14:textId="77777777" w:rsidR="00A05CE3" w:rsidRPr="00A05CE3" w:rsidRDefault="00A05CE3" w:rsidP="00A05CE3">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A05CE3">
        <w:rPr>
          <w:rFonts w:ascii="Arial" w:eastAsia="Times New Roman" w:hAnsi="Arial" w:cs="Arial"/>
          <w:color w:val="3F3F46"/>
          <w:sz w:val="24"/>
          <w:szCs w:val="24"/>
          <w:lang w:eastAsia="de-DE"/>
        </w:rPr>
        <w:lastRenderedPageBreak/>
        <w:t>Duit</w:t>
      </w:r>
      <w:proofErr w:type="spellEnd"/>
      <w:r w:rsidRPr="00A05CE3">
        <w:rPr>
          <w:rFonts w:ascii="Arial" w:eastAsia="Times New Roman" w:hAnsi="Arial" w:cs="Arial"/>
          <w:color w:val="3F3F46"/>
          <w:sz w:val="24"/>
          <w:szCs w:val="24"/>
          <w:lang w:eastAsia="de-DE"/>
        </w:rPr>
        <w:t xml:space="preserve">, </w:t>
      </w:r>
      <w:proofErr w:type="spellStart"/>
      <w:r w:rsidRPr="00A05CE3">
        <w:rPr>
          <w:rFonts w:ascii="Arial" w:eastAsia="Times New Roman" w:hAnsi="Arial" w:cs="Arial"/>
          <w:color w:val="3F3F46"/>
          <w:sz w:val="24"/>
          <w:szCs w:val="24"/>
          <w:lang w:eastAsia="de-DE"/>
        </w:rPr>
        <w:t>Treagust</w:t>
      </w:r>
      <w:proofErr w:type="spellEnd"/>
      <w:r w:rsidRPr="00A05CE3">
        <w:rPr>
          <w:rFonts w:ascii="Arial" w:eastAsia="Times New Roman" w:hAnsi="Arial" w:cs="Arial"/>
          <w:color w:val="3F3F46"/>
          <w:sz w:val="24"/>
          <w:szCs w:val="24"/>
          <w:lang w:eastAsia="de-DE"/>
        </w:rPr>
        <w:t xml:space="preserve"> (Didaktik von Abstraktion und Konzeptänderung),</w:t>
      </w:r>
    </w:p>
    <w:p w14:paraId="1E48239A" w14:textId="77777777" w:rsidR="00A05CE3" w:rsidRPr="00A05CE3" w:rsidRDefault="00A05CE3" w:rsidP="00A05CE3">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A05CE3">
        <w:rPr>
          <w:rFonts w:ascii="Arial" w:eastAsia="Times New Roman" w:hAnsi="Arial" w:cs="Arial"/>
          <w:color w:val="3F3F46"/>
          <w:sz w:val="24"/>
          <w:szCs w:val="24"/>
          <w:lang w:eastAsia="de-DE"/>
        </w:rPr>
        <w:t>Papert</w:t>
      </w:r>
      <w:proofErr w:type="spellEnd"/>
      <w:r w:rsidRPr="00A05CE3">
        <w:rPr>
          <w:rFonts w:ascii="Arial" w:eastAsia="Times New Roman" w:hAnsi="Arial" w:cs="Arial"/>
          <w:color w:val="3F3F46"/>
          <w:sz w:val="24"/>
          <w:szCs w:val="24"/>
          <w:lang w:eastAsia="de-DE"/>
        </w:rPr>
        <w:t xml:space="preserve"> (digitale Lernwelten),</w:t>
      </w:r>
    </w:p>
    <w:p w14:paraId="508A8397" w14:textId="77777777" w:rsidR="00A05CE3" w:rsidRPr="00A05CE3" w:rsidRDefault="00A05CE3" w:rsidP="00A05CE3">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Hattie (Fehlerkultur, Feedback),</w:t>
      </w:r>
    </w:p>
    <w:p w14:paraId="6CE71DFB" w14:textId="77777777" w:rsidR="00A05CE3" w:rsidRPr="00A05CE3" w:rsidRDefault="00A05CE3" w:rsidP="00A05CE3">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A05CE3">
        <w:rPr>
          <w:rFonts w:ascii="Arial" w:eastAsia="Times New Roman" w:hAnsi="Arial" w:cs="Arial"/>
          <w:color w:val="3F3F46"/>
          <w:sz w:val="24"/>
          <w:szCs w:val="24"/>
          <w:lang w:eastAsia="de-DE"/>
        </w:rPr>
        <w:t>Klafki (Bildungstheorie).</w:t>
      </w:r>
    </w:p>
    <w:p w14:paraId="79761620" w14:textId="77777777" w:rsidR="00A05CE3" w:rsidRPr="00A05CE3" w:rsidRDefault="00A05CE3" w:rsidP="00A05CE3">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A05CE3">
        <w:rPr>
          <w:rFonts w:ascii="Arial" w:eastAsia="Times New Roman" w:hAnsi="Arial" w:cs="Arial"/>
          <w:b/>
          <w:bCs/>
          <w:color w:val="18181B"/>
          <w:sz w:val="24"/>
          <w:szCs w:val="24"/>
          <w:bdr w:val="single" w:sz="2" w:space="0" w:color="E4E4E7" w:frame="1"/>
          <w:lang w:eastAsia="de-DE"/>
        </w:rPr>
        <w:t>Zusammenfassung:</w:t>
      </w:r>
      <w:r w:rsidRPr="00A05CE3">
        <w:rPr>
          <w:rFonts w:ascii="Arial" w:eastAsia="Times New Roman" w:hAnsi="Arial" w:cs="Arial"/>
          <w:color w:val="3F3F46"/>
          <w:sz w:val="24"/>
          <w:szCs w:val="24"/>
          <w:lang w:eastAsia="de-DE"/>
        </w:rPr>
        <w:br/>
        <w:t>Das Dokument gibt einen tiefgehenden Überblick über die physikalischen Bezugssysteme aus historischer Sicht, ihre erkenntnistheoretische Bedeutung und die Herausforderungen ihrer Vermittlung im Unterricht. Es stellt moderne didaktische Strategien vor, insbesondere das funktional-relationale Bezugssystem, als innovativen Zugang, der aktive Wissenskonstruktion, Systemdenken und Reflexion in den Mittelpunkt stellt, unterstützt durch digitale Medien und modularen Unterricht.</w:t>
      </w:r>
    </w:p>
    <w:p w14:paraId="151E257C" w14:textId="77777777" w:rsidR="000C12C8" w:rsidRDefault="000C12C8"/>
    <w:sectPr w:rsidR="000C12C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32540"/>
    <w:multiLevelType w:val="multilevel"/>
    <w:tmpl w:val="89B437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BF0D63"/>
    <w:multiLevelType w:val="multilevel"/>
    <w:tmpl w:val="7E38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FD1FC4"/>
    <w:multiLevelType w:val="multilevel"/>
    <w:tmpl w:val="93D6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9A326A"/>
    <w:multiLevelType w:val="multilevel"/>
    <w:tmpl w:val="73FE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0626B4"/>
    <w:multiLevelType w:val="multilevel"/>
    <w:tmpl w:val="148A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AF3C50"/>
    <w:multiLevelType w:val="multilevel"/>
    <w:tmpl w:val="05A8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9702BB"/>
    <w:multiLevelType w:val="multilevel"/>
    <w:tmpl w:val="DEBA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6EB3BD9"/>
    <w:multiLevelType w:val="multilevel"/>
    <w:tmpl w:val="50EE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6870EE4"/>
    <w:multiLevelType w:val="multilevel"/>
    <w:tmpl w:val="CF8E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3C63D9"/>
    <w:multiLevelType w:val="multilevel"/>
    <w:tmpl w:val="A87A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CBA3109"/>
    <w:multiLevelType w:val="multilevel"/>
    <w:tmpl w:val="A394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6"/>
  </w:num>
  <w:num w:numId="3">
    <w:abstractNumId w:val="8"/>
  </w:num>
  <w:num w:numId="4">
    <w:abstractNumId w:val="3"/>
  </w:num>
  <w:num w:numId="5">
    <w:abstractNumId w:val="5"/>
  </w:num>
  <w:num w:numId="6">
    <w:abstractNumId w:val="0"/>
  </w:num>
  <w:num w:numId="7">
    <w:abstractNumId w:val="2"/>
  </w:num>
  <w:num w:numId="8">
    <w:abstractNumId w:val="4"/>
  </w:num>
  <w:num w:numId="9">
    <w:abstractNumId w:val="9"/>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CE3"/>
    <w:rsid w:val="000C12C8"/>
    <w:rsid w:val="008871CF"/>
    <w:rsid w:val="00A05CE3"/>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DA31D"/>
  <w15:chartTrackingRefBased/>
  <w15:docId w15:val="{0203473E-9422-4BB4-AC05-06EBE75E4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A05CE3"/>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A05CE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A05CE3"/>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A05CE3"/>
    <w:rPr>
      <w:rFonts w:ascii="Times New Roman" w:eastAsia="Times New Roman" w:hAnsi="Times New Roman" w:cs="Times New Roman"/>
      <w:b/>
      <w:bCs/>
      <w:sz w:val="27"/>
      <w:szCs w:val="27"/>
      <w:lang w:eastAsia="de-DE"/>
    </w:rPr>
  </w:style>
  <w:style w:type="character" w:styleId="Hervorhebung">
    <w:name w:val="Emphasis"/>
    <w:basedOn w:val="Absatz-Standardschriftart"/>
    <w:uiPriority w:val="20"/>
    <w:qFormat/>
    <w:rsid w:val="00A05CE3"/>
    <w:rPr>
      <w:i/>
      <w:iCs/>
    </w:rPr>
  </w:style>
  <w:style w:type="paragraph" w:styleId="StandardWeb">
    <w:name w:val="Normal (Web)"/>
    <w:basedOn w:val="Standard"/>
    <w:uiPriority w:val="99"/>
    <w:semiHidden/>
    <w:unhideWhenUsed/>
    <w:rsid w:val="00A05CE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A05C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871696">
      <w:bodyDiv w:val="1"/>
      <w:marLeft w:val="0"/>
      <w:marRight w:val="0"/>
      <w:marTop w:val="0"/>
      <w:marBottom w:val="0"/>
      <w:divBdr>
        <w:top w:val="none" w:sz="0" w:space="0" w:color="auto"/>
        <w:left w:val="none" w:sz="0" w:space="0" w:color="auto"/>
        <w:bottom w:val="none" w:sz="0" w:space="0" w:color="auto"/>
        <w:right w:val="none" w:sz="0" w:space="0" w:color="auto"/>
      </w:divBdr>
      <w:divsChild>
        <w:div w:id="2001422771">
          <w:marLeft w:val="0"/>
          <w:marRight w:val="0"/>
          <w:marTop w:val="0"/>
          <w:marBottom w:val="0"/>
          <w:divBdr>
            <w:top w:val="single" w:sz="2" w:space="0" w:color="E4E4E7"/>
            <w:left w:val="single" w:sz="2" w:space="0" w:color="E4E4E7"/>
            <w:bottom w:val="single" w:sz="2" w:space="0" w:color="E4E4E7"/>
            <w:right w:val="single" w:sz="2" w:space="0" w:color="E4E4E7"/>
          </w:divBdr>
          <w:divsChild>
            <w:div w:id="225069398">
              <w:marLeft w:val="0"/>
              <w:marRight w:val="0"/>
              <w:marTop w:val="0"/>
              <w:marBottom w:val="0"/>
              <w:divBdr>
                <w:top w:val="single" w:sz="2" w:space="0" w:color="E4E4E7"/>
                <w:left w:val="single" w:sz="2" w:space="0" w:color="E4E4E7"/>
                <w:bottom w:val="single" w:sz="2" w:space="0" w:color="E4E4E7"/>
                <w:right w:val="single" w:sz="2" w:space="0" w:color="E4E4E7"/>
              </w:divBdr>
              <w:divsChild>
                <w:div w:id="1976519992">
                  <w:marLeft w:val="0"/>
                  <w:marRight w:val="0"/>
                  <w:marTop w:val="0"/>
                  <w:marBottom w:val="0"/>
                  <w:divBdr>
                    <w:top w:val="single" w:sz="2" w:space="0" w:color="E4E4E7"/>
                    <w:left w:val="single" w:sz="2" w:space="0" w:color="E4E4E7"/>
                    <w:bottom w:val="single" w:sz="2" w:space="0" w:color="E4E4E7"/>
                    <w:right w:val="single" w:sz="2" w:space="0" w:color="E4E4E7"/>
                  </w:divBdr>
                  <w:divsChild>
                    <w:div w:id="1267272648">
                      <w:marLeft w:val="0"/>
                      <w:marRight w:val="0"/>
                      <w:marTop w:val="0"/>
                      <w:marBottom w:val="0"/>
                      <w:divBdr>
                        <w:top w:val="single" w:sz="2" w:space="0" w:color="E4E4E7"/>
                        <w:left w:val="single" w:sz="2" w:space="0" w:color="E4E4E7"/>
                        <w:bottom w:val="single" w:sz="2" w:space="0" w:color="E4E4E7"/>
                        <w:right w:val="single" w:sz="2" w:space="0" w:color="E4E4E7"/>
                      </w:divBdr>
                      <w:divsChild>
                        <w:div w:id="79956651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690253257">
          <w:marLeft w:val="0"/>
          <w:marRight w:val="0"/>
          <w:marTop w:val="0"/>
          <w:marBottom w:val="0"/>
          <w:divBdr>
            <w:top w:val="single" w:sz="2" w:space="0" w:color="E4E4E7"/>
            <w:left w:val="single" w:sz="2" w:space="0" w:color="E4E4E7"/>
            <w:bottom w:val="single" w:sz="2" w:space="0" w:color="E4E4E7"/>
            <w:right w:val="single" w:sz="2" w:space="0" w:color="E4E4E7"/>
          </w:divBdr>
          <w:divsChild>
            <w:div w:id="1205799762">
              <w:marLeft w:val="0"/>
              <w:marRight w:val="0"/>
              <w:marTop w:val="0"/>
              <w:marBottom w:val="0"/>
              <w:divBdr>
                <w:top w:val="single" w:sz="2" w:space="0" w:color="E4E4E7"/>
                <w:left w:val="single" w:sz="2" w:space="0" w:color="E4E4E7"/>
                <w:bottom w:val="single" w:sz="2" w:space="0" w:color="E4E4E7"/>
                <w:right w:val="single" w:sz="2" w:space="0" w:color="E4E4E7"/>
              </w:divBdr>
              <w:divsChild>
                <w:div w:id="1654486980">
                  <w:marLeft w:val="0"/>
                  <w:marRight w:val="0"/>
                  <w:marTop w:val="0"/>
                  <w:marBottom w:val="0"/>
                  <w:divBdr>
                    <w:top w:val="single" w:sz="2" w:space="0" w:color="E4E4E7"/>
                    <w:left w:val="single" w:sz="2" w:space="0" w:color="E4E4E7"/>
                    <w:bottom w:val="single" w:sz="2" w:space="0" w:color="E4E4E7"/>
                    <w:right w:val="single" w:sz="2" w:space="0" w:color="E4E4E7"/>
                  </w:divBdr>
                  <w:divsChild>
                    <w:div w:id="1291399057">
                      <w:marLeft w:val="0"/>
                      <w:marRight w:val="0"/>
                      <w:marTop w:val="0"/>
                      <w:marBottom w:val="0"/>
                      <w:divBdr>
                        <w:top w:val="single" w:sz="2" w:space="0" w:color="E4E4E7"/>
                        <w:left w:val="single" w:sz="2" w:space="0" w:color="E4E4E7"/>
                        <w:bottom w:val="single" w:sz="2" w:space="0" w:color="E4E4E7"/>
                        <w:right w:val="single" w:sz="2" w:space="0" w:color="E4E4E7"/>
                      </w:divBdr>
                      <w:divsChild>
                        <w:div w:id="113968431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977</Words>
  <Characters>6157</Characters>
  <Application>Microsoft Office Word</Application>
  <DocSecurity>0</DocSecurity>
  <Lines>51</Lines>
  <Paragraphs>14</Paragraphs>
  <ScaleCrop>false</ScaleCrop>
  <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2025-05-30T22:03:00Z</dcterms:created>
  <dcterms:modified xsi:type="dcterms:W3CDTF">2025-05-30T22:05:00Z</dcterms:modified>
</cp:coreProperties>
</file>