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19098" w14:textId="77777777" w:rsidR="009118A2" w:rsidRPr="00D204F2" w:rsidRDefault="009118A2" w:rsidP="009118A2">
      <w:pPr>
        <w:spacing w:before="100" w:beforeAutospacing="1" w:after="100" w:afterAutospacing="1" w:line="240" w:lineRule="auto"/>
        <w:outlineLvl w:val="2"/>
        <w:rPr>
          <w:rFonts w:ascii="Times New Roman" w:eastAsia="Times New Roman" w:hAnsi="Times New Roman" w:cs="Times New Roman"/>
          <w:b/>
          <w:bCs/>
          <w:kern w:val="36"/>
          <w:sz w:val="48"/>
          <w:szCs w:val="48"/>
          <w:lang w:eastAsia="de-DE"/>
        </w:rPr>
      </w:pPr>
      <w:r w:rsidRPr="00D204F2">
        <w:rPr>
          <w:rFonts w:ascii="Times New Roman" w:eastAsia="Times New Roman" w:hAnsi="Times New Roman" w:cs="Times New Roman"/>
          <w:b/>
          <w:bCs/>
          <w:kern w:val="36"/>
          <w:sz w:val="48"/>
          <w:szCs w:val="48"/>
          <w:lang w:eastAsia="de-DE"/>
        </w:rPr>
        <w:t>Kapitel 5 – Didaktische und methodische Innovation durch das Funktionale Raum-Zeit-Koordinatensystem (FRZK)</w:t>
      </w:r>
    </w:p>
    <w:p w14:paraId="0B992A18" w14:textId="77777777" w:rsidR="003C6A70" w:rsidRPr="003C6A70" w:rsidRDefault="003C6A70" w:rsidP="003C6A7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C6A70">
        <w:rPr>
          <w:rFonts w:ascii="Times New Roman" w:eastAsia="Times New Roman" w:hAnsi="Times New Roman" w:cs="Times New Roman"/>
          <w:b/>
          <w:bCs/>
          <w:sz w:val="27"/>
          <w:szCs w:val="27"/>
          <w:lang w:eastAsia="de-DE"/>
        </w:rPr>
        <w:t>5.1 Einleitung – Funktionale Bezugssysteme als didaktisch-epistemologische Innovation</w:t>
      </w:r>
    </w:p>
    <w:p w14:paraId="0DF081FC" w14:textId="77777777" w:rsidR="003C6A70" w:rsidRPr="003C6A70" w:rsidRDefault="003C6A70" w:rsidP="003C6A70">
      <w:pPr>
        <w:spacing w:before="100" w:beforeAutospacing="1" w:after="100" w:afterAutospacing="1" w:line="240" w:lineRule="auto"/>
        <w:rPr>
          <w:rFonts w:ascii="Times New Roman" w:eastAsia="Times New Roman" w:hAnsi="Times New Roman" w:cs="Times New Roman"/>
          <w:sz w:val="24"/>
          <w:szCs w:val="24"/>
          <w:lang w:eastAsia="de-DE"/>
        </w:rPr>
      </w:pPr>
      <w:r w:rsidRPr="003C6A70">
        <w:rPr>
          <w:rFonts w:ascii="Times New Roman" w:eastAsia="Times New Roman" w:hAnsi="Times New Roman" w:cs="Times New Roman"/>
          <w:sz w:val="24"/>
          <w:szCs w:val="24"/>
          <w:lang w:eastAsia="de-DE"/>
        </w:rPr>
        <w:t>In der klassischen Physik gelten Raum und Zeit gemeinhin als neutrale Bühnen, auf denen sich physikalische Vorgänge abspielen. Diese Annahme spiegelt sich auch in der physikalischen Bildungslandschaft wider: Koordinatensysteme werden als technisch-funktionale Hilfsmittel eingeführt, nicht aber als erkenntniskonstitutive Strukturen reflektiert. Didaktisch führt dies zu einer erheblichen Reduktionsleistung: Lernende reproduzieren Bewegungsbeschreibungen innerhalb fester Raster, ohne die epistemologische Bedeutung des Bezugssystems selbst zu hinterfragen.</w:t>
      </w:r>
    </w:p>
    <w:p w14:paraId="5EB75AEA" w14:textId="77777777" w:rsidR="003C6A70" w:rsidRPr="003C6A70" w:rsidRDefault="003C6A70" w:rsidP="003C6A70">
      <w:pPr>
        <w:spacing w:before="100" w:beforeAutospacing="1" w:after="100" w:afterAutospacing="1" w:line="240" w:lineRule="auto"/>
        <w:rPr>
          <w:rFonts w:ascii="Times New Roman" w:eastAsia="Times New Roman" w:hAnsi="Times New Roman" w:cs="Times New Roman"/>
          <w:sz w:val="24"/>
          <w:szCs w:val="24"/>
          <w:lang w:eastAsia="de-DE"/>
        </w:rPr>
      </w:pPr>
      <w:r w:rsidRPr="003C6A70">
        <w:rPr>
          <w:rFonts w:ascii="Times New Roman" w:eastAsia="Times New Roman" w:hAnsi="Times New Roman" w:cs="Times New Roman"/>
          <w:sz w:val="24"/>
          <w:szCs w:val="24"/>
          <w:lang w:eastAsia="de-DE"/>
        </w:rPr>
        <w:t>Das in dieser Arbeit entwickelte Funktionale Raum-Zeit-Koordinatensystem (FRZK) stellt dieser Perspektive ein radikal anderes Modell gegenüber. Anstatt das Bezugssystem als gegeben zu betrachten, wird es selbst zum Gegenstand physikalischer Konstruktion. Raum und Zeit erscheinen nicht mehr als absolute Größen, sondern als funktional erzeugte Koordinatenachsen, deren Struktur und Interpretation vom Beobachtungs- und Messprozess abhängen. Dieses Konzept folgt nicht nur modernen erkenntnistheoretischen Positionen der Wissenschaftstheorie [1], sondern eröffnet auch neue didaktisch-methodische Wege zur Förderung konzeptueller, reflexiver und modellierender Kompetenzen.</w:t>
      </w:r>
    </w:p>
    <w:p w14:paraId="3B27AFF4" w14:textId="77777777" w:rsidR="003C6A70" w:rsidRPr="003C6A70" w:rsidRDefault="003C6A70" w:rsidP="003C6A70">
      <w:pPr>
        <w:spacing w:before="100" w:beforeAutospacing="1" w:after="100" w:afterAutospacing="1" w:line="240" w:lineRule="auto"/>
        <w:rPr>
          <w:rFonts w:ascii="Times New Roman" w:eastAsia="Times New Roman" w:hAnsi="Times New Roman" w:cs="Times New Roman"/>
          <w:sz w:val="24"/>
          <w:szCs w:val="24"/>
          <w:lang w:eastAsia="de-DE"/>
        </w:rPr>
      </w:pPr>
      <w:r w:rsidRPr="003C6A70">
        <w:rPr>
          <w:rFonts w:ascii="Times New Roman" w:eastAsia="Times New Roman" w:hAnsi="Times New Roman" w:cs="Times New Roman"/>
          <w:sz w:val="24"/>
          <w:szCs w:val="24"/>
          <w:lang w:eastAsia="de-DE"/>
        </w:rPr>
        <w:t>Im FRZK wird Bewegung durch explizite Zeitfunktionen x(t</w:t>
      </w:r>
      <w:proofErr w:type="gramStart"/>
      <w:r w:rsidRPr="003C6A70">
        <w:rPr>
          <w:rFonts w:ascii="Times New Roman" w:eastAsia="Times New Roman" w:hAnsi="Times New Roman" w:cs="Times New Roman"/>
          <w:sz w:val="24"/>
          <w:szCs w:val="24"/>
          <w:lang w:eastAsia="de-DE"/>
        </w:rPr>
        <w:t>),y</w:t>
      </w:r>
      <w:proofErr w:type="gramEnd"/>
      <w:r w:rsidRPr="003C6A70">
        <w:rPr>
          <w:rFonts w:ascii="Times New Roman" w:eastAsia="Times New Roman" w:hAnsi="Times New Roman" w:cs="Times New Roman"/>
          <w:sz w:val="24"/>
          <w:szCs w:val="24"/>
          <w:lang w:eastAsia="de-DE"/>
        </w:rPr>
        <w:t>(t),z(t)x(t), y(t), z(t)x(t),y(t),z(t) modelliert. Die Bewegung eines physikalischen Objekts ist damit nicht nur mathematisch exakt, sondern auch didaktisch rekonstruierbar: Lernende erkennen, dass jede Ortsangabe eine strukturierte, regelgeleitete Festlegung innerhalb eines Koordinatensystems ist. Dies ermöglicht eine Transformation vom naiven Raumverständnis (Raum „ist einfach da“) hin zu einem strukturbezogenen Modellverständnis (Raum „entsteht durch funktionale Bezugnahme“) [2].</w:t>
      </w:r>
    </w:p>
    <w:p w14:paraId="7C960186" w14:textId="77777777" w:rsidR="003C6A70" w:rsidRPr="003C6A70" w:rsidRDefault="003C6A70" w:rsidP="003C6A70">
      <w:pPr>
        <w:spacing w:before="100" w:beforeAutospacing="1" w:after="100" w:afterAutospacing="1" w:line="240" w:lineRule="auto"/>
        <w:rPr>
          <w:rFonts w:ascii="Times New Roman" w:eastAsia="Times New Roman" w:hAnsi="Times New Roman" w:cs="Times New Roman"/>
          <w:sz w:val="24"/>
          <w:szCs w:val="24"/>
          <w:lang w:eastAsia="de-DE"/>
        </w:rPr>
      </w:pPr>
      <w:r w:rsidRPr="003C6A70">
        <w:rPr>
          <w:rFonts w:ascii="Times New Roman" w:eastAsia="Times New Roman" w:hAnsi="Times New Roman" w:cs="Times New Roman"/>
          <w:sz w:val="24"/>
          <w:szCs w:val="24"/>
          <w:lang w:eastAsia="de-DE"/>
        </w:rPr>
        <w:t>Dieser Zugang ist in mehrfacher Hinsicht innovativ:</w:t>
      </w:r>
    </w:p>
    <w:p w14:paraId="21C56260" w14:textId="77777777" w:rsidR="003C6A70" w:rsidRPr="003C6A70" w:rsidRDefault="003C6A70" w:rsidP="003C6A7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C6A70">
        <w:rPr>
          <w:rFonts w:ascii="Times New Roman" w:eastAsia="Times New Roman" w:hAnsi="Times New Roman" w:cs="Times New Roman"/>
          <w:b/>
          <w:bCs/>
          <w:sz w:val="24"/>
          <w:szCs w:val="24"/>
          <w:lang w:eastAsia="de-DE"/>
        </w:rPr>
        <w:t>Epistemologisch:</w:t>
      </w:r>
      <w:r w:rsidRPr="003C6A70">
        <w:rPr>
          <w:rFonts w:ascii="Times New Roman" w:eastAsia="Times New Roman" w:hAnsi="Times New Roman" w:cs="Times New Roman"/>
          <w:sz w:val="24"/>
          <w:szCs w:val="24"/>
          <w:lang w:eastAsia="de-DE"/>
        </w:rPr>
        <w:t xml:space="preserve"> Das FRZK reflektiert, dass jede Messung ein Akt der Konstruktion ist. Raum und Zeit werden nicht als „Abbilder der Wirklichkeit“ verstanden, sondern als Ergebnis expliziter Modellierungsentscheidungen [3].</w:t>
      </w:r>
    </w:p>
    <w:p w14:paraId="2C5BB78C" w14:textId="77777777" w:rsidR="003C6A70" w:rsidRPr="003C6A70" w:rsidRDefault="003C6A70" w:rsidP="003C6A7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C6A70">
        <w:rPr>
          <w:rFonts w:ascii="Times New Roman" w:eastAsia="Times New Roman" w:hAnsi="Times New Roman" w:cs="Times New Roman"/>
          <w:b/>
          <w:bCs/>
          <w:sz w:val="24"/>
          <w:szCs w:val="24"/>
          <w:lang w:eastAsia="de-DE"/>
        </w:rPr>
        <w:t>Didaktisch:</w:t>
      </w:r>
      <w:r w:rsidRPr="003C6A70">
        <w:rPr>
          <w:rFonts w:ascii="Times New Roman" w:eastAsia="Times New Roman" w:hAnsi="Times New Roman" w:cs="Times New Roman"/>
          <w:sz w:val="24"/>
          <w:szCs w:val="24"/>
          <w:lang w:eastAsia="de-DE"/>
        </w:rPr>
        <w:t xml:space="preserve"> Die explizite Modellierung des Bezugssystems fördert metakognitive Fähigkeiten, insbesondere im Bereich Modellkritik, Konzeptwandel und Reflexionskompetenz [4].</w:t>
      </w:r>
    </w:p>
    <w:p w14:paraId="559D31F3" w14:textId="77777777" w:rsidR="003C6A70" w:rsidRPr="003C6A70" w:rsidRDefault="003C6A70" w:rsidP="003C6A7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C6A70">
        <w:rPr>
          <w:rFonts w:ascii="Times New Roman" w:eastAsia="Times New Roman" w:hAnsi="Times New Roman" w:cs="Times New Roman"/>
          <w:b/>
          <w:bCs/>
          <w:sz w:val="24"/>
          <w:szCs w:val="24"/>
          <w:lang w:eastAsia="de-DE"/>
        </w:rPr>
        <w:t>Methodologisch:</w:t>
      </w:r>
      <w:r w:rsidRPr="003C6A70">
        <w:rPr>
          <w:rFonts w:ascii="Times New Roman" w:eastAsia="Times New Roman" w:hAnsi="Times New Roman" w:cs="Times New Roman"/>
          <w:sz w:val="24"/>
          <w:szCs w:val="24"/>
          <w:lang w:eastAsia="de-DE"/>
        </w:rPr>
        <w:t xml:space="preserve"> Die funktionale Darstellung erlaubt es, physikalische Systeme präzise, simulationsfähig und anschlussfähig an moderne wissenschaftliche Praxis zu beschreiben – von Schulphysik über universitäre Lehre bis hin zur Forschung [5].</w:t>
      </w:r>
    </w:p>
    <w:p w14:paraId="0A922B0C" w14:textId="77777777" w:rsidR="003C6A70" w:rsidRPr="003C6A70" w:rsidRDefault="003C6A70" w:rsidP="003C6A70">
      <w:pPr>
        <w:spacing w:before="100" w:beforeAutospacing="1" w:after="100" w:afterAutospacing="1" w:line="240" w:lineRule="auto"/>
        <w:rPr>
          <w:rFonts w:ascii="Times New Roman" w:eastAsia="Times New Roman" w:hAnsi="Times New Roman" w:cs="Times New Roman"/>
          <w:sz w:val="24"/>
          <w:szCs w:val="24"/>
          <w:lang w:eastAsia="de-DE"/>
        </w:rPr>
      </w:pPr>
      <w:r w:rsidRPr="003C6A70">
        <w:rPr>
          <w:rFonts w:ascii="Times New Roman" w:eastAsia="Times New Roman" w:hAnsi="Times New Roman" w:cs="Times New Roman"/>
          <w:sz w:val="24"/>
          <w:szCs w:val="24"/>
          <w:lang w:eastAsia="de-DE"/>
        </w:rPr>
        <w:t xml:space="preserve">Somit wird das Funktionale Raum-Zeit-Koordinatensystem zu mehr als nur einem didaktischen Werkzeug: Es ist ein epistemisches Modell, das physikalisches Denken, wissenschaftstheoretische Reflexion und bildungswissenschaftliche Innovation in einer konsistenten Struktur vereint. Die folgenden Unterabschnitte entfalten diese Perspektive </w:t>
      </w:r>
      <w:r w:rsidRPr="003C6A70">
        <w:rPr>
          <w:rFonts w:ascii="Times New Roman" w:eastAsia="Times New Roman" w:hAnsi="Times New Roman" w:cs="Times New Roman"/>
          <w:sz w:val="24"/>
          <w:szCs w:val="24"/>
          <w:lang w:eastAsia="de-DE"/>
        </w:rPr>
        <w:lastRenderedPageBreak/>
        <w:t>schrittweise – von der didaktischen Rahmung über exemplarische Modellierung bis hin zu methodologischen und interdisziplinären Konsequenzen.</w:t>
      </w:r>
    </w:p>
    <w:p w14:paraId="134AC69D" w14:textId="77777777" w:rsidR="003C6A70" w:rsidRDefault="003C6A70" w:rsidP="003C6A70">
      <w:pPr>
        <w:pStyle w:val="berschrift3"/>
      </w:pPr>
      <w:r>
        <w:t>5.2 Didaktische Innovation durch Koordinatenreflexion</w:t>
      </w:r>
    </w:p>
    <w:p w14:paraId="36B23B2B" w14:textId="77777777" w:rsidR="003C6A70" w:rsidRDefault="003C6A70" w:rsidP="003C6A70">
      <w:pPr>
        <w:pStyle w:val="berschrift4"/>
      </w:pPr>
      <w:r>
        <w:t>5.2.1 Konzeptwandel als Ziel naturwissenschaftlicher Bildung</w:t>
      </w:r>
    </w:p>
    <w:p w14:paraId="6E94BB0F" w14:textId="77777777" w:rsidR="003C6A70" w:rsidRDefault="003C6A70" w:rsidP="003C6A70">
      <w:pPr>
        <w:pStyle w:val="StandardWeb"/>
      </w:pPr>
      <w:r>
        <w:t>Ein zentrales Ziel naturwissenschaftlicher Bildung ist der Konzeptwandel: die Transformation von Alltagsvorstellungen in wissenschaftlich tragfähige Modellkonzepte. In der Physik ist dieser Wandel besonders tiefgreifend, da viele Konzepte – etwa Raum, Zeit, Bewegung oder Kraft – bereits intuitiv „belegt“ sind. Dies führt häufig zu stabilen Fehlvorstellungen, insbesondere wenn physikalische Modelle ohne explizite Reflexion des zugrunde liegenden Bezugssystems eingeführt werden [6].</w:t>
      </w:r>
    </w:p>
    <w:p w14:paraId="5AD91181" w14:textId="77777777" w:rsidR="003C6A70" w:rsidRDefault="003C6A70" w:rsidP="003C6A70">
      <w:pPr>
        <w:pStyle w:val="StandardWeb"/>
      </w:pPr>
      <w:r>
        <w:t>Traditionelle Koordinatensysteme erscheinen Lernenden oft als neutrale Hintergrundraster, innerhalb derer Objekte lokalisiert werden. Die didaktische Innovation des Funktionalen Raum-Zeit-Koordinatensystems (FRZK) liegt darin, diesen vermeintlich „selbstverständlichen“ Rahmen zu dekonstruieren und zur reflexiven Modellstruktur zu machen. Das FRZK initiiert einen systematischen Konzeptwandel: Raum wird nicht als Container, sondern als funktional erzeugte Relation zwischen Beobachtung, Beschreibung und Veränderung verstanden [7].</w:t>
      </w:r>
    </w:p>
    <w:p w14:paraId="548160CC" w14:textId="77777777" w:rsidR="003C6A70" w:rsidRDefault="003C6A70" w:rsidP="003C6A70">
      <w:pPr>
        <w:pStyle w:val="berschrift4"/>
      </w:pPr>
      <w:r>
        <w:t>5.2.2 Koordinatenreflexion als didaktische Strategie</w:t>
      </w:r>
    </w:p>
    <w:p w14:paraId="026B5146" w14:textId="77777777" w:rsidR="003C6A70" w:rsidRDefault="003C6A70" w:rsidP="003C6A70">
      <w:pPr>
        <w:pStyle w:val="StandardWeb"/>
      </w:pPr>
      <w:r>
        <w:t>Die zentrale didaktische Strategie des FRZK ist die Koordinatenreflexion – die bewusste Auseinandersetzung mit der Frage, wie ein physikalisches Bezugssystem konstruiert, interpretiert und verwendet wird. Anstelle einer vorgegebenen Achsenstruktur gestalten Lernende ihr eigenes Koordinatensystem, z. B. durch Festlegung eines Initialpunkts, Definition von Zeitfunktionen und Auswahl von Projektionsrichtungen. Dabei entstehen zentrale Reflexionsfragen:</w:t>
      </w:r>
    </w:p>
    <w:p w14:paraId="6A1991C4" w14:textId="77777777" w:rsidR="003C6A70" w:rsidRDefault="003C6A70" w:rsidP="003C6A70">
      <w:pPr>
        <w:pStyle w:val="StandardWeb"/>
        <w:numPr>
          <w:ilvl w:val="0"/>
          <w:numId w:val="2"/>
        </w:numPr>
      </w:pPr>
      <w:r>
        <w:t>Was gilt als Raum?</w:t>
      </w:r>
    </w:p>
    <w:p w14:paraId="71F9F3E7" w14:textId="77777777" w:rsidR="003C6A70" w:rsidRDefault="003C6A70" w:rsidP="003C6A70">
      <w:pPr>
        <w:pStyle w:val="StandardWeb"/>
        <w:numPr>
          <w:ilvl w:val="0"/>
          <w:numId w:val="2"/>
        </w:numPr>
      </w:pPr>
      <w:r>
        <w:t>Wie verläuft Zeit?</w:t>
      </w:r>
    </w:p>
    <w:p w14:paraId="1D0EE4C0" w14:textId="77777777" w:rsidR="003C6A70" w:rsidRDefault="003C6A70" w:rsidP="003C6A70">
      <w:pPr>
        <w:pStyle w:val="StandardWeb"/>
        <w:numPr>
          <w:ilvl w:val="0"/>
          <w:numId w:val="2"/>
        </w:numPr>
      </w:pPr>
      <w:r>
        <w:t>Welche Rolle spielt der Beobachter?</w:t>
      </w:r>
    </w:p>
    <w:p w14:paraId="5F6A48BA" w14:textId="77777777" w:rsidR="003C6A70" w:rsidRDefault="003C6A70" w:rsidP="003C6A70">
      <w:pPr>
        <w:pStyle w:val="StandardWeb"/>
        <w:numPr>
          <w:ilvl w:val="0"/>
          <w:numId w:val="2"/>
        </w:numPr>
      </w:pPr>
      <w:r>
        <w:t>Wie verändern sich Bewegungen bei veränderten Funktionsstrukturen?</w:t>
      </w:r>
    </w:p>
    <w:p w14:paraId="0B750381" w14:textId="77777777" w:rsidR="003C6A70" w:rsidRDefault="003C6A70" w:rsidP="003C6A70">
      <w:pPr>
        <w:pStyle w:val="StandardWeb"/>
      </w:pPr>
      <w:r>
        <w:t xml:space="preserve">Dieser reflexive Zugriff ermöglicht einen Prozess, den Karagöz &amp; </w:t>
      </w:r>
      <w:proofErr w:type="spellStart"/>
      <w:r>
        <w:t>Niedderer</w:t>
      </w:r>
      <w:proofErr w:type="spellEnd"/>
      <w:r>
        <w:t xml:space="preserve"> als „Strukturwandel vom Containerraum zum Koordinatenraum“ beschreiben [7]. Raum-Zeit wird nicht mehr als bloße Bühne betrachtet, sondern als Modellentscheidungsstruktur, die aus konkreten mathematischen und konzeptionellen Setzungen hervorgeht. Dieser Wandel ist didaktisch essenziell, da er die epistemische Selbstständigkeit der Lernenden stärkt [8].</w:t>
      </w:r>
    </w:p>
    <w:p w14:paraId="23142FFA" w14:textId="77777777" w:rsidR="003C6A70" w:rsidRDefault="003C6A70" w:rsidP="003C6A70">
      <w:pPr>
        <w:pStyle w:val="berschrift4"/>
      </w:pPr>
      <w:r>
        <w:t>5.2.3 Didaktische Realisierung: Vom Punkt zur Projektion</w:t>
      </w:r>
    </w:p>
    <w:p w14:paraId="58814191" w14:textId="77777777" w:rsidR="003C6A70" w:rsidRDefault="003C6A70" w:rsidP="003C6A70">
      <w:pPr>
        <w:pStyle w:val="StandardWeb"/>
      </w:pPr>
      <w:r>
        <w:t>Die Einführung des FRZK kann didaktisch entlang eines strukturierten Konstruktionsprozesses erfolgen:</w:t>
      </w:r>
    </w:p>
    <w:p w14:paraId="71BD36E8" w14:textId="77777777" w:rsidR="003C6A70" w:rsidRDefault="003C6A70" w:rsidP="003C6A70">
      <w:pPr>
        <w:pStyle w:val="StandardWeb"/>
        <w:numPr>
          <w:ilvl w:val="0"/>
          <w:numId w:val="3"/>
        </w:numPr>
      </w:pPr>
      <w:r>
        <w:t>Setzung eines Bezugspunktes (Initialpunkt): z. B. durch Selbstverortung im Raum oder durch Markierung eines fixen Punktes in einem Experiment.</w:t>
      </w:r>
    </w:p>
    <w:p w14:paraId="02F05D51" w14:textId="77777777" w:rsidR="003C6A70" w:rsidRDefault="003C6A70" w:rsidP="003C6A70">
      <w:pPr>
        <w:pStyle w:val="StandardWeb"/>
        <w:numPr>
          <w:ilvl w:val="0"/>
          <w:numId w:val="3"/>
        </w:numPr>
      </w:pPr>
      <w:r>
        <w:t xml:space="preserve">Einführung expliziter Zeitfunktionen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Diese Funktionen beschreiben die Positionen von Objekten relativ zum Beobachter.</w:t>
      </w:r>
    </w:p>
    <w:p w14:paraId="5A38A9CA" w14:textId="77777777" w:rsidR="003C6A70" w:rsidRDefault="003C6A70" w:rsidP="003C6A70">
      <w:pPr>
        <w:pStyle w:val="StandardWeb"/>
        <w:numPr>
          <w:ilvl w:val="0"/>
          <w:numId w:val="3"/>
        </w:numPr>
      </w:pPr>
      <w:r>
        <w:lastRenderedPageBreak/>
        <w:t>Veränderung durch Strukturmodifikation: Beschleunigung, Richtungswechsel oder komplexe Bewegungsmuster entstehen durch Modifikation der Funktionsstruktur – nicht durch äußere Krafteinwirkung allein.</w:t>
      </w:r>
    </w:p>
    <w:p w14:paraId="4AD6A185" w14:textId="77777777" w:rsidR="003C6A70" w:rsidRDefault="003C6A70" w:rsidP="003C6A70">
      <w:pPr>
        <w:pStyle w:val="StandardWeb"/>
      </w:pPr>
      <w:r>
        <w:t>Diese Vorgehensweise macht physikalische Beobachtung zu einem konstruktiven Akt, nicht zu einem bloßen Abbild der Realität. Die Erkenntnis, dass jede Bewegung nur relativ zu einem gewählten Koordinatensystem sinnvoll interpretierbar ist, fördert eine vertiefte Modellkompetenz und ein metakognitives Verständnis physikalischer Prozesse [9].</w:t>
      </w:r>
    </w:p>
    <w:p w14:paraId="26FF54D1" w14:textId="77777777" w:rsidR="003C6A70" w:rsidRDefault="003C6A70" w:rsidP="003C6A70">
      <w:pPr>
        <w:pStyle w:val="berschrift4"/>
      </w:pPr>
      <w:r>
        <w:t>5.2.4 Reflexionskompetenz als Bildungsziel</w:t>
      </w:r>
    </w:p>
    <w:p w14:paraId="2C65A62D" w14:textId="77777777" w:rsidR="003C6A70" w:rsidRDefault="003C6A70" w:rsidP="003C6A70">
      <w:pPr>
        <w:pStyle w:val="StandardWeb"/>
      </w:pPr>
      <w:r>
        <w:t>Die explizite Auseinandersetzung mit Koordinaten und Bezugssystemen hat weitreichende bildungstheoretische Konsequenzen. Im Sinne der OECD-Lernziele 2030 [10] fördert das FRZK zentrale Kompetenzen wie:</w:t>
      </w:r>
    </w:p>
    <w:p w14:paraId="52A4D46E" w14:textId="77777777" w:rsidR="003C6A70" w:rsidRDefault="003C6A70" w:rsidP="003C6A70">
      <w:pPr>
        <w:pStyle w:val="StandardWeb"/>
        <w:numPr>
          <w:ilvl w:val="0"/>
          <w:numId w:val="4"/>
        </w:numPr>
      </w:pPr>
      <w:r>
        <w:t>Abstraktionsfähigkeit: physikalische Strukturen als formale Modelle begreifen</w:t>
      </w:r>
    </w:p>
    <w:p w14:paraId="18764FC3" w14:textId="77777777" w:rsidR="003C6A70" w:rsidRDefault="003C6A70" w:rsidP="003C6A70">
      <w:pPr>
        <w:pStyle w:val="StandardWeb"/>
        <w:numPr>
          <w:ilvl w:val="0"/>
          <w:numId w:val="4"/>
        </w:numPr>
      </w:pPr>
      <w:r>
        <w:t>Systemisches Denken: Wechselwirkungen und Relationen funktional erfassen</w:t>
      </w:r>
    </w:p>
    <w:p w14:paraId="0DDEB07A" w14:textId="77777777" w:rsidR="003C6A70" w:rsidRDefault="003C6A70" w:rsidP="003C6A70">
      <w:pPr>
        <w:pStyle w:val="StandardWeb"/>
        <w:numPr>
          <w:ilvl w:val="0"/>
          <w:numId w:val="4"/>
        </w:numPr>
      </w:pPr>
      <w:r>
        <w:t>Metakognition: über die eigene Mess-, Denk- und Modellstruktur reflektieren</w:t>
      </w:r>
    </w:p>
    <w:p w14:paraId="3324FA7C" w14:textId="77777777" w:rsidR="003C6A70" w:rsidRDefault="003C6A70" w:rsidP="003C6A70">
      <w:pPr>
        <w:pStyle w:val="StandardWeb"/>
      </w:pPr>
      <w:r>
        <w:t>Darüber hinaus stärkt die Arbeit mit dem FRZK das Verständnis für die Rolle des Beobachters, für die Grenzen physikalischer Aussagen und für die Interaktion zwischen theoretischem Modell und empirischer Erfahrung – zentrale Elemente moderner Wissenschaftsbildung [11].</w:t>
      </w:r>
    </w:p>
    <w:p w14:paraId="128CB9BF" w14:textId="77777777" w:rsidR="003C6A70" w:rsidRDefault="003C6A70" w:rsidP="003C6A70">
      <w:pPr>
        <w:pStyle w:val="berschrift3"/>
      </w:pPr>
      <w:r>
        <w:t>5.3 Abgrenzung zum klassischen Modellverständnis</w:t>
      </w:r>
    </w:p>
    <w:p w14:paraId="3BBE9889" w14:textId="77777777" w:rsidR="003C6A70" w:rsidRDefault="003C6A70" w:rsidP="003C6A70">
      <w:pPr>
        <w:pStyle w:val="berschrift4"/>
      </w:pPr>
      <w:r>
        <w:t>5.3.1 Klassische Perspektive: Das Koordinatensystem als statischer Rahmen</w:t>
      </w:r>
    </w:p>
    <w:p w14:paraId="19EE8E2F" w14:textId="77777777" w:rsidR="003C6A70" w:rsidRDefault="003C6A70" w:rsidP="003C6A70">
      <w:pPr>
        <w:pStyle w:val="StandardWeb"/>
      </w:pPr>
      <w:r>
        <w:t>In der traditionellen Physikdidaktik wird das Koordinatensystem meist als statisches, vorausgesetztes Hilfsmittel betrachtet. Es dient der Visualisierung von Bewegungen, der Analyse von Kräften oder der Darstellung funktionaler Zusammenhänge. Diese Rolle bleibt in der Regel instrumentell-technisch: Das Bezugssystem ist lediglich der Hintergrund, vor dem physikalische Größen verortet werden. Eine Reflexion über die Struktur oder Entstehung des Koordinatensystems findet in der Regel nicht statt [12].</w:t>
      </w:r>
    </w:p>
    <w:p w14:paraId="6FD16B1A" w14:textId="77777777" w:rsidR="003C6A70" w:rsidRDefault="003C6A70" w:rsidP="003C6A70">
      <w:pPr>
        <w:pStyle w:val="StandardWeb"/>
      </w:pPr>
      <w:r>
        <w:t>Dieses Verständnis ist Ausdruck eines naiven Realismus in der Modellbildung: Die Welt existiert unabhängig vom Beobachter, und das Koordinatensystem wird als objektive Bühne dieser Welt interpretiert. In diesem Modellverständnis bleibt die epistemische Rolle des Beobachters weitgehend unberücksichtigt – ebenso wie die strukturelle Bedeutung der Wahl eines bestimmten Bezugssystems [13].</w:t>
      </w:r>
    </w:p>
    <w:p w14:paraId="5006AFF7" w14:textId="77777777" w:rsidR="003C6A70" w:rsidRDefault="003C6A70" w:rsidP="003C6A70">
      <w:pPr>
        <w:pStyle w:val="berschrift4"/>
      </w:pPr>
      <w:r>
        <w:t>5.3.2 Funktionale Perspektive: Das Koordinatensystem als Modellbestandteil</w:t>
      </w:r>
    </w:p>
    <w:p w14:paraId="2B9989BF" w14:textId="77777777" w:rsidR="003C6A70" w:rsidRDefault="003C6A70" w:rsidP="003C6A70">
      <w:pPr>
        <w:pStyle w:val="StandardWeb"/>
      </w:pPr>
      <w:r>
        <w:t>Das Funktionale Raum-Zeit-Koordinatensystem (FRZK) bricht bewusst mit dieser klassischen Sichtweise. Es betrachtet das Koordinatensystem nicht als äußeres Ordnungsraster, sondern als integralen Bestandteil des physikalischen Modells selbst. Jede physikalische Größe – insbesondere Bewegung – ist im FRZK nicht unabhängig vom Bezugssystem formulierbar. Das bedeutet: Die physikalische Beschreibung eines Vorgangs ist immer relativ zur gewählten Struktur der Raum-Zeit-Funktionen zu interpretieren [14].</w:t>
      </w:r>
    </w:p>
    <w:p w14:paraId="3C463742" w14:textId="77777777" w:rsidR="003C6A70" w:rsidRDefault="003C6A70" w:rsidP="003C6A70">
      <w:pPr>
        <w:pStyle w:val="StandardWeb"/>
      </w:pPr>
      <w:r>
        <w:lastRenderedPageBreak/>
        <w:t>Diese funktionale Perspektive folgt modernen erkenntnistheoretischen Konzepten, nach denen physikalisches Wissen nicht durch passives Abbilden, sondern durch aktive Strukturierung von Beobachtung entsteht. Die Konstruktion eines Bezugssystems – etwa durch Wahl eines Koordinatenursprungs, einer Zeitachse oder von Projektionsfunktionen – wird selbst zum Bestandteil des physikalischen Erkenntnisprozesses [15].</w:t>
      </w:r>
    </w:p>
    <w:p w14:paraId="6CC2B4C4" w14:textId="77777777" w:rsidR="003C6A70" w:rsidRDefault="003C6A70" w:rsidP="003C6A70">
      <w:pPr>
        <w:pStyle w:val="berschrift4"/>
      </w:pPr>
      <w:r>
        <w:t>5.3.3 Methodische Konsequenzen: Explizite Modellierung statt impliziter Annahmen</w:t>
      </w:r>
    </w:p>
    <w:p w14:paraId="049DC296" w14:textId="77777777" w:rsidR="003C6A70" w:rsidRDefault="003C6A70" w:rsidP="003C6A70">
      <w:pPr>
        <w:pStyle w:val="StandardWeb"/>
      </w:pPr>
      <w:r>
        <w:t xml:space="preserve">Im klassischen Verständnis ist das Bezugssystem eine implizite Voraussetzung. Im FRZK hingegen wird es explizit modelliert und dokumentiert – z. B. durch Angabe der Zeitfunktionen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oder durch Transformationen in alternative Koordinatensysteme. Diese explizite Modellierung ermöglicht drei wesentliche methodische Vorteile:</w:t>
      </w:r>
    </w:p>
    <w:p w14:paraId="333E9FE0" w14:textId="77777777" w:rsidR="003C6A70" w:rsidRDefault="003C6A70" w:rsidP="003C6A70">
      <w:pPr>
        <w:pStyle w:val="StandardWeb"/>
        <w:numPr>
          <w:ilvl w:val="0"/>
          <w:numId w:val="5"/>
        </w:numPr>
      </w:pPr>
      <w:r>
        <w:rPr>
          <w:rStyle w:val="Fett"/>
        </w:rPr>
        <w:t>Transparenz:</w:t>
      </w:r>
      <w:r>
        <w:t xml:space="preserve"> Die Annahmen hinter jeder Modellbildung werden sichtbar und diskutierbar.</w:t>
      </w:r>
    </w:p>
    <w:p w14:paraId="048834BD" w14:textId="77777777" w:rsidR="003C6A70" w:rsidRDefault="003C6A70" w:rsidP="003C6A70">
      <w:pPr>
        <w:pStyle w:val="StandardWeb"/>
        <w:numPr>
          <w:ilvl w:val="0"/>
          <w:numId w:val="5"/>
        </w:numPr>
      </w:pPr>
      <w:r>
        <w:rPr>
          <w:rStyle w:val="Fett"/>
        </w:rPr>
        <w:t>Reproduzierbarkeit:</w:t>
      </w:r>
      <w:r>
        <w:t xml:space="preserve"> Andere können die Modellierung exakt rekonstruieren.</w:t>
      </w:r>
    </w:p>
    <w:p w14:paraId="785BDA66" w14:textId="77777777" w:rsidR="003C6A70" w:rsidRDefault="003C6A70" w:rsidP="003C6A70">
      <w:pPr>
        <w:pStyle w:val="StandardWeb"/>
        <w:numPr>
          <w:ilvl w:val="0"/>
          <w:numId w:val="5"/>
        </w:numPr>
      </w:pPr>
      <w:r>
        <w:rPr>
          <w:rStyle w:val="Fett"/>
        </w:rPr>
        <w:t>Vergleichbarkeit:</w:t>
      </w:r>
      <w:r>
        <w:t xml:space="preserve"> Modelle mit unterschiedlichen Bezugssystemen lassen sich systematisch analysieren und bewerten [16].</w:t>
      </w:r>
    </w:p>
    <w:p w14:paraId="76D66D8B" w14:textId="77777777" w:rsidR="003C6A70" w:rsidRDefault="003C6A70" w:rsidP="003C6A70">
      <w:pPr>
        <w:pStyle w:val="StandardWeb"/>
      </w:pPr>
      <w:r>
        <w:t>Im Kontext wissenschaftlicher Praxis entspricht diese Vorgehensweise der Forderung nach methodischer Offenlegung und strukturierter Modellbildung. Das FRZK unterstützt damit die Standards moderner Forschung ebenso wie die Prinzipien guter physikalischer Lehre.</w:t>
      </w:r>
    </w:p>
    <w:p w14:paraId="1B355C51" w14:textId="77777777" w:rsidR="003C6A70" w:rsidRDefault="003C6A70" w:rsidP="003C6A70">
      <w:pPr>
        <w:pStyle w:val="berschrift4"/>
      </w:pPr>
      <w:r>
        <w:t>5.3.4 Bildungstheoretische Implikation: Lernen durch Bezugssystemanalyse</w:t>
      </w:r>
    </w:p>
    <w:p w14:paraId="69235BC7" w14:textId="77777777" w:rsidR="003C6A70" w:rsidRDefault="003C6A70" w:rsidP="003C6A70">
      <w:pPr>
        <w:pStyle w:val="StandardWeb"/>
      </w:pPr>
      <w:r>
        <w:t>Die Verschiebung vom impliziten zum expliziten Modellverständnis ist nicht nur wissenschaftlich relevant, sondern auch bildungstheoretisch bedeutsam. Wenn Lernende ihr eigenes Koordinatensystem entwerfen, analysieren und modifizieren, entwickeln sie eine tiefere Einsicht in die Funktionsweise physikalischer Theoriebildung. Sie erfahren, dass Naturwissenschaft nicht nur aus Formeln besteht, sondern aus strukturierter Entscheidung, Reflexion und Modellbildung [17].</w:t>
      </w:r>
    </w:p>
    <w:p w14:paraId="0C84BEA8" w14:textId="77777777" w:rsidR="003C6A70" w:rsidRDefault="003C6A70" w:rsidP="003C6A70">
      <w:pPr>
        <w:pStyle w:val="StandardWeb"/>
      </w:pPr>
      <w:r>
        <w:t>Damit ist das FRZK nicht bloß ein technisches Modellierungstool, sondern ein didaktisches Instrument zur Förderung von Modellkompetenz, Abstraktionsfähigkeit und konzeptuellem Denken – allesamt zentrale Ziele kompetenzorientierter naturwissenschaftlicher Bildung.</w:t>
      </w:r>
    </w:p>
    <w:p w14:paraId="68BC4B04" w14:textId="77777777" w:rsidR="009118A2" w:rsidRDefault="009118A2" w:rsidP="009118A2">
      <w:pPr>
        <w:pStyle w:val="berschrift3"/>
      </w:pPr>
      <w:r>
        <w:t>5.4 Exemplarisches Modell: Bewegung eines Boots</w:t>
      </w:r>
    </w:p>
    <w:p w14:paraId="1A96DA75" w14:textId="77777777" w:rsidR="009118A2" w:rsidRDefault="009118A2" w:rsidP="009118A2">
      <w:pPr>
        <w:pStyle w:val="berschrift4"/>
      </w:pPr>
      <w:r>
        <w:t>5.4.1 Ziel und didaktische Funktion des Modells</w:t>
      </w:r>
    </w:p>
    <w:p w14:paraId="2847739A" w14:textId="77777777" w:rsidR="009118A2" w:rsidRDefault="009118A2" w:rsidP="009118A2">
      <w:pPr>
        <w:pStyle w:val="StandardWeb"/>
      </w:pPr>
      <w:r>
        <w:t>Zur Veranschaulichung der Potenziale des Funktionalen Raum-Zeit-Koordinatensystems (FRZK) dient das Modell eines Boots, das sich auf einer kreisförmigen Bahn mit überlagerter vertikaler Schaukelfunktion bewegt. Dieses Beispiel eignet sich ideal, um die zentralen Prinzipien funktionaler Modellbildung – insbesondere die explizite Zeitabhängigkeit von Positionen und deren Ableitungen – im Unterricht oder in der Hochschullehre einzuführen. Lernende erfahren dabei exemplarisch, wie sich komplexe Bewegungen als zeitabhängige Funktionen beschreiben, analysieren und interpretieren lassen [18].</w:t>
      </w:r>
    </w:p>
    <w:p w14:paraId="582A9E28" w14:textId="77777777" w:rsidR="009118A2" w:rsidRDefault="009118A2" w:rsidP="009118A2">
      <w:pPr>
        <w:pStyle w:val="berschrift4"/>
      </w:pPr>
      <w:r>
        <w:lastRenderedPageBreak/>
        <w:t>5.4.2 Physikalisches Szenario</w:t>
      </w:r>
    </w:p>
    <w:p w14:paraId="76023BBF" w14:textId="77777777" w:rsidR="009118A2" w:rsidRDefault="009118A2" w:rsidP="009118A2">
      <w:pPr>
        <w:pStyle w:val="StandardWeb"/>
      </w:pPr>
      <w:r>
        <w:t xml:space="preserve">Ein Boot bewegt sich mit konstanter Geschwindigkeit entlang einer Kreisbahn mit Radius </w:t>
      </w:r>
      <w:r>
        <w:rPr>
          <w:rStyle w:val="katex-mathml"/>
        </w:rPr>
        <w:t>RR</w:t>
      </w:r>
      <w:r>
        <w:rPr>
          <w:rStyle w:val="mord"/>
        </w:rPr>
        <w:t>R</w:t>
      </w:r>
      <w:r>
        <w:t xml:space="preserve">. Gleichzeitig führt es um seine Querachse eine periodische Schaukelfunktion aus, wodurch eine sinusförmige Vertikalbewegung entsteht. Es handelt sich um ein dynamisches System, dessen Zustand vollständig durch seine Ortsfunktion </w:t>
      </w:r>
      <w:r>
        <w:rPr>
          <w:rStyle w:val="katex-mathml"/>
        </w:rPr>
        <w:t>r</w:t>
      </w:r>
      <w:r>
        <w:rPr>
          <w:rStyle w:val="katex-mathml"/>
          <w:rFonts w:ascii="Cambria Math" w:hAnsi="Cambria Math" w:cs="Cambria Math"/>
        </w:rPr>
        <w:t>⃗</w:t>
      </w:r>
      <w:r>
        <w:rPr>
          <w:rStyle w:val="katex-mathml"/>
        </w:rPr>
        <w:t>(t)\</w:t>
      </w:r>
      <w:proofErr w:type="spellStart"/>
      <w:r>
        <w:rPr>
          <w:rStyle w:val="katex-mathml"/>
        </w:rPr>
        <w:t>vec</w:t>
      </w:r>
      <w:proofErr w:type="spellEnd"/>
      <w:r>
        <w:rPr>
          <w:rStyle w:val="katex-mathml"/>
        </w:rPr>
        <w:t>{r}(</w:t>
      </w:r>
      <w:proofErr w:type="gramStart"/>
      <w:r>
        <w:rPr>
          <w:rStyle w:val="katex-mathml"/>
        </w:rPr>
        <w:t>t)</w:t>
      </w:r>
      <w:r>
        <w:rPr>
          <w:rStyle w:val="mord"/>
        </w:rPr>
        <w:t>r</w:t>
      </w:r>
      <w:proofErr w:type="gramEnd"/>
      <w:r>
        <w:rPr>
          <w:rStyle w:val="mopen"/>
        </w:rPr>
        <w:t>(</w:t>
      </w:r>
      <w:r>
        <w:rPr>
          <w:rStyle w:val="mord"/>
        </w:rPr>
        <w:t>t</w:t>
      </w:r>
      <w:r>
        <w:rPr>
          <w:rStyle w:val="mclose"/>
        </w:rPr>
        <w:t>)</w:t>
      </w:r>
      <w:r>
        <w:t xml:space="preserve"> beschrieben werden kann.</w:t>
      </w:r>
    </w:p>
    <w:p w14:paraId="4EBAF8B6" w14:textId="77777777" w:rsidR="009118A2" w:rsidRDefault="009118A2" w:rsidP="009118A2">
      <w:pPr>
        <w:pStyle w:val="berschrift4"/>
      </w:pPr>
      <w:r>
        <w:t>5.4.3 Funktionale Darstellung der Bewegung</w:t>
      </w:r>
    </w:p>
    <w:p w14:paraId="75E42E5D" w14:textId="77777777" w:rsidR="009118A2" w:rsidRDefault="009118A2" w:rsidP="009118A2">
      <w:pPr>
        <w:pStyle w:val="StandardWeb"/>
      </w:pPr>
      <w:r>
        <w:t>Die Bewegung des Boots lässt sich funktional über die Zeit darstellen:</w:t>
      </w:r>
    </w:p>
    <w:p w14:paraId="4DD3943B" w14:textId="77777777" w:rsidR="009118A2" w:rsidRDefault="009118A2" w:rsidP="009118A2">
      <w:r>
        <w:rPr>
          <w:rStyle w:val="katex-mathml"/>
        </w:rPr>
        <w:t>x(t)=</w:t>
      </w:r>
      <w:proofErr w:type="spellStart"/>
      <w:r>
        <w:rPr>
          <w:rStyle w:val="katex-mathml"/>
        </w:rPr>
        <w:t>R</w:t>
      </w:r>
      <w:r>
        <w:rPr>
          <w:rStyle w:val="katex-mathml"/>
          <w:rFonts w:ascii="Cambria Math" w:hAnsi="Cambria Math" w:cs="Cambria Math"/>
        </w:rPr>
        <w:t>⋅</w:t>
      </w:r>
      <w:r>
        <w:rPr>
          <w:rStyle w:val="katex-mathml"/>
        </w:rPr>
        <w:t>cos</w:t>
      </w:r>
      <w:proofErr w:type="spellEnd"/>
      <w:r>
        <w:rPr>
          <w:rStyle w:val="katex-mathml"/>
          <w:rFonts w:ascii="Cambria Math" w:hAnsi="Cambria Math" w:cs="Cambria Math"/>
        </w:rPr>
        <w:t>⁡</w:t>
      </w:r>
      <w:r>
        <w:rPr>
          <w:rStyle w:val="katex-mathml"/>
        </w:rPr>
        <w:t>(</w:t>
      </w:r>
      <w:proofErr w:type="spellStart"/>
      <w:r>
        <w:rPr>
          <w:rStyle w:val="katex-mathml"/>
        </w:rPr>
        <w:t>ωt</w:t>
      </w:r>
      <w:proofErr w:type="spellEnd"/>
      <w:r>
        <w:rPr>
          <w:rStyle w:val="katex-mathml"/>
        </w:rPr>
        <w:t>),y(t)=</w:t>
      </w:r>
      <w:proofErr w:type="spellStart"/>
      <w:r>
        <w:rPr>
          <w:rStyle w:val="katex-mathml"/>
        </w:rPr>
        <w:t>R</w:t>
      </w:r>
      <w:r>
        <w:rPr>
          <w:rStyle w:val="katex-mathml"/>
          <w:rFonts w:ascii="Cambria Math" w:hAnsi="Cambria Math" w:cs="Cambria Math"/>
        </w:rPr>
        <w:t>⋅</w:t>
      </w:r>
      <w:r>
        <w:rPr>
          <w:rStyle w:val="katex-mathml"/>
        </w:rPr>
        <w:t>sin</w:t>
      </w:r>
      <w:proofErr w:type="spellEnd"/>
      <w:r>
        <w:rPr>
          <w:rStyle w:val="katex-mathml"/>
          <w:rFonts w:ascii="Cambria Math" w:hAnsi="Cambria Math" w:cs="Cambria Math"/>
        </w:rPr>
        <w:t>⁡</w:t>
      </w:r>
      <w:r>
        <w:rPr>
          <w:rStyle w:val="katex-mathml"/>
        </w:rPr>
        <w:t>(</w:t>
      </w:r>
      <w:proofErr w:type="spellStart"/>
      <w:r>
        <w:rPr>
          <w:rStyle w:val="katex-mathml"/>
        </w:rPr>
        <w:t>ωt</w:t>
      </w:r>
      <w:proofErr w:type="spellEnd"/>
      <w:r>
        <w:rPr>
          <w:rStyle w:val="katex-mathml"/>
        </w:rPr>
        <w:t>),z(t)=</w:t>
      </w:r>
      <w:proofErr w:type="spellStart"/>
      <w:r>
        <w:rPr>
          <w:rStyle w:val="katex-mathml"/>
        </w:rPr>
        <w:t>A</w:t>
      </w:r>
      <w:r>
        <w:rPr>
          <w:rStyle w:val="katex-mathml"/>
          <w:rFonts w:ascii="Cambria Math" w:hAnsi="Cambria Math" w:cs="Cambria Math"/>
        </w:rPr>
        <w:t>⋅</w:t>
      </w:r>
      <w:r>
        <w:rPr>
          <w:rStyle w:val="katex-mathml"/>
        </w:rPr>
        <w:t>sin</w:t>
      </w:r>
      <w:proofErr w:type="spellEnd"/>
      <w:r>
        <w:rPr>
          <w:rStyle w:val="katex-mathml"/>
          <w:rFonts w:ascii="Cambria Math" w:hAnsi="Cambria Math" w:cs="Cambria Math"/>
        </w:rPr>
        <w:t>⁡</w:t>
      </w:r>
      <w:r>
        <w:rPr>
          <w:rStyle w:val="katex-mathml"/>
        </w:rPr>
        <w:t>(2ωt)x(t) = R \</w:t>
      </w:r>
      <w:proofErr w:type="spellStart"/>
      <w:r>
        <w:rPr>
          <w:rStyle w:val="katex-mathml"/>
        </w:rPr>
        <w:t>cdot</w:t>
      </w:r>
      <w:proofErr w:type="spellEnd"/>
      <w:r>
        <w:rPr>
          <w:rStyle w:val="katex-mathml"/>
        </w:rPr>
        <w:t xml:space="preserve"> \cos(\</w:t>
      </w:r>
      <w:proofErr w:type="spellStart"/>
      <w:r>
        <w:rPr>
          <w:rStyle w:val="katex-mathml"/>
        </w:rPr>
        <w:t>omega</w:t>
      </w:r>
      <w:proofErr w:type="spellEnd"/>
      <w:r>
        <w:rPr>
          <w:rStyle w:val="katex-mathml"/>
        </w:rPr>
        <w:t xml:space="preserve"> t), \</w:t>
      </w:r>
      <w:proofErr w:type="spellStart"/>
      <w:r>
        <w:rPr>
          <w:rStyle w:val="katex-mathml"/>
        </w:rPr>
        <w:t>quad</w:t>
      </w:r>
      <w:proofErr w:type="spellEnd"/>
      <w:r>
        <w:rPr>
          <w:rStyle w:val="katex-mathml"/>
        </w:rPr>
        <w:t xml:space="preserve"> y(t) = R \</w:t>
      </w:r>
      <w:proofErr w:type="spellStart"/>
      <w:r>
        <w:rPr>
          <w:rStyle w:val="katex-mathml"/>
        </w:rPr>
        <w:t>cdot</w:t>
      </w:r>
      <w:proofErr w:type="spellEnd"/>
      <w:r>
        <w:rPr>
          <w:rStyle w:val="katex-mathml"/>
        </w:rPr>
        <w:t xml:space="preserve"> \sin(\</w:t>
      </w:r>
      <w:proofErr w:type="spellStart"/>
      <w:r>
        <w:rPr>
          <w:rStyle w:val="katex-mathml"/>
        </w:rPr>
        <w:t>omega</w:t>
      </w:r>
      <w:proofErr w:type="spellEnd"/>
      <w:r>
        <w:rPr>
          <w:rStyle w:val="katex-mathml"/>
        </w:rPr>
        <w:t xml:space="preserve"> t), \</w:t>
      </w:r>
      <w:proofErr w:type="spellStart"/>
      <w:r>
        <w:rPr>
          <w:rStyle w:val="katex-mathml"/>
        </w:rPr>
        <w:t>quad</w:t>
      </w:r>
      <w:proofErr w:type="spellEnd"/>
      <w:r>
        <w:rPr>
          <w:rStyle w:val="katex-mathml"/>
        </w:rPr>
        <w:t xml:space="preserve"> z(t) = A \</w:t>
      </w:r>
      <w:proofErr w:type="spellStart"/>
      <w:r>
        <w:rPr>
          <w:rStyle w:val="katex-mathml"/>
        </w:rPr>
        <w:t>cdot</w:t>
      </w:r>
      <w:proofErr w:type="spellEnd"/>
      <w:r>
        <w:rPr>
          <w:rStyle w:val="katex-mathml"/>
        </w:rPr>
        <w:t xml:space="preserve"> \sin(2\</w:t>
      </w:r>
      <w:proofErr w:type="spellStart"/>
      <w:r>
        <w:rPr>
          <w:rStyle w:val="katex-mathml"/>
        </w:rPr>
        <w:t>omega</w:t>
      </w:r>
      <w:proofErr w:type="spellEnd"/>
      <w:r>
        <w:rPr>
          <w:rStyle w:val="katex-mathml"/>
        </w:rPr>
        <w:t xml:space="preserve"> t)</w:t>
      </w:r>
      <w:r>
        <w:rPr>
          <w:rStyle w:val="mord"/>
        </w:rPr>
        <w:t>x</w:t>
      </w:r>
      <w:r>
        <w:rPr>
          <w:rStyle w:val="mopen"/>
        </w:rPr>
        <w:t>(</w:t>
      </w:r>
      <w:r>
        <w:rPr>
          <w:rStyle w:val="mord"/>
        </w:rPr>
        <w:t>t</w:t>
      </w:r>
      <w:r>
        <w:rPr>
          <w:rStyle w:val="mclose"/>
        </w:rPr>
        <w:t>)</w:t>
      </w:r>
      <w:r>
        <w:rPr>
          <w:rStyle w:val="mrel"/>
        </w:rPr>
        <w:t>=</w:t>
      </w:r>
      <w:proofErr w:type="spellStart"/>
      <w:r>
        <w:rPr>
          <w:rStyle w:val="mord"/>
        </w:rPr>
        <w:t>R</w:t>
      </w:r>
      <w:r>
        <w:rPr>
          <w:rStyle w:val="mbin"/>
          <w:rFonts w:ascii="Cambria Math" w:hAnsi="Cambria Math" w:cs="Cambria Math"/>
        </w:rPr>
        <w:t>⋅</w:t>
      </w:r>
      <w:r>
        <w:rPr>
          <w:rStyle w:val="mop"/>
        </w:rPr>
        <w:t>cos</w:t>
      </w:r>
      <w:proofErr w:type="spellEnd"/>
      <w:r>
        <w:rPr>
          <w:rStyle w:val="mopen"/>
        </w:rPr>
        <w:t>(</w:t>
      </w:r>
      <w:proofErr w:type="spellStart"/>
      <w:r>
        <w:rPr>
          <w:rStyle w:val="mord"/>
        </w:rPr>
        <w:t>ωt</w:t>
      </w:r>
      <w:proofErr w:type="spellEnd"/>
      <w:r>
        <w:rPr>
          <w:rStyle w:val="mclose"/>
        </w:rPr>
        <w:t>)</w:t>
      </w:r>
      <w:r>
        <w:rPr>
          <w:rStyle w:val="mpunct"/>
        </w:rPr>
        <w:t>,</w:t>
      </w:r>
      <w:r>
        <w:rPr>
          <w:rStyle w:val="mord"/>
        </w:rPr>
        <w:t>y</w:t>
      </w:r>
      <w:r>
        <w:rPr>
          <w:rStyle w:val="mopen"/>
        </w:rPr>
        <w:t>(</w:t>
      </w:r>
      <w:r>
        <w:rPr>
          <w:rStyle w:val="mord"/>
        </w:rPr>
        <w:t>t</w:t>
      </w:r>
      <w:r>
        <w:rPr>
          <w:rStyle w:val="mclose"/>
        </w:rPr>
        <w:t>)</w:t>
      </w:r>
      <w:r>
        <w:rPr>
          <w:rStyle w:val="mrel"/>
        </w:rPr>
        <w:t>=</w:t>
      </w:r>
      <w:proofErr w:type="spellStart"/>
      <w:r>
        <w:rPr>
          <w:rStyle w:val="mord"/>
        </w:rPr>
        <w:t>R</w:t>
      </w:r>
      <w:r>
        <w:rPr>
          <w:rStyle w:val="mbin"/>
          <w:rFonts w:ascii="Cambria Math" w:hAnsi="Cambria Math" w:cs="Cambria Math"/>
        </w:rPr>
        <w:t>⋅</w:t>
      </w:r>
      <w:r>
        <w:rPr>
          <w:rStyle w:val="mop"/>
        </w:rPr>
        <w:t>sin</w:t>
      </w:r>
      <w:proofErr w:type="spellEnd"/>
      <w:r>
        <w:rPr>
          <w:rStyle w:val="mopen"/>
        </w:rPr>
        <w:t>(</w:t>
      </w:r>
      <w:proofErr w:type="spellStart"/>
      <w:r>
        <w:rPr>
          <w:rStyle w:val="mord"/>
        </w:rPr>
        <w:t>ωt</w:t>
      </w:r>
      <w:proofErr w:type="spellEnd"/>
      <w:r>
        <w:rPr>
          <w:rStyle w:val="mclose"/>
        </w:rPr>
        <w:t>)</w:t>
      </w:r>
      <w:r>
        <w:rPr>
          <w:rStyle w:val="mpunct"/>
        </w:rPr>
        <w:t>,</w:t>
      </w:r>
      <w:r>
        <w:rPr>
          <w:rStyle w:val="mord"/>
        </w:rPr>
        <w:t>z</w:t>
      </w:r>
      <w:r>
        <w:rPr>
          <w:rStyle w:val="mopen"/>
        </w:rPr>
        <w:t>(</w:t>
      </w:r>
      <w:r>
        <w:rPr>
          <w:rStyle w:val="mord"/>
        </w:rPr>
        <w:t>t</w:t>
      </w:r>
      <w:r>
        <w:rPr>
          <w:rStyle w:val="mclose"/>
        </w:rPr>
        <w:t>)</w:t>
      </w:r>
      <w:r>
        <w:rPr>
          <w:rStyle w:val="mrel"/>
        </w:rPr>
        <w:t>=</w:t>
      </w:r>
      <w:proofErr w:type="spellStart"/>
      <w:r>
        <w:rPr>
          <w:rStyle w:val="mord"/>
        </w:rPr>
        <w:t>A</w:t>
      </w:r>
      <w:r>
        <w:rPr>
          <w:rStyle w:val="mbin"/>
          <w:rFonts w:ascii="Cambria Math" w:hAnsi="Cambria Math" w:cs="Cambria Math"/>
        </w:rPr>
        <w:t>⋅</w:t>
      </w:r>
      <w:r>
        <w:rPr>
          <w:rStyle w:val="mop"/>
        </w:rPr>
        <w:t>sin</w:t>
      </w:r>
      <w:proofErr w:type="spellEnd"/>
      <w:r>
        <w:rPr>
          <w:rStyle w:val="mopen"/>
        </w:rPr>
        <w:t>(</w:t>
      </w:r>
      <w:r>
        <w:rPr>
          <w:rStyle w:val="mord"/>
        </w:rPr>
        <w:t>2ωt</w:t>
      </w:r>
      <w:r>
        <w:rPr>
          <w:rStyle w:val="mclose"/>
        </w:rPr>
        <w:t>)</w:t>
      </w:r>
      <w:r>
        <w:t xml:space="preserve"> </w:t>
      </w:r>
    </w:p>
    <w:p w14:paraId="48EA6B62" w14:textId="77777777" w:rsidR="009118A2" w:rsidRDefault="009118A2" w:rsidP="009118A2">
      <w:pPr>
        <w:pStyle w:val="StandardWeb"/>
      </w:pPr>
      <w:r>
        <w:t>mit den Parametern:</w:t>
      </w:r>
    </w:p>
    <w:p w14:paraId="6426612C" w14:textId="77777777" w:rsidR="009118A2" w:rsidRDefault="009118A2" w:rsidP="009118A2">
      <w:pPr>
        <w:pStyle w:val="StandardWeb"/>
        <w:numPr>
          <w:ilvl w:val="0"/>
          <w:numId w:val="6"/>
        </w:numPr>
      </w:pPr>
      <w:r>
        <w:rPr>
          <w:rStyle w:val="katex-mathml"/>
        </w:rPr>
        <w:t>RR</w:t>
      </w:r>
      <w:r>
        <w:rPr>
          <w:rStyle w:val="mord"/>
        </w:rPr>
        <w:t>R</w:t>
      </w:r>
      <w:r>
        <w:t>: Radius der Kreisbahn</w:t>
      </w:r>
    </w:p>
    <w:p w14:paraId="2F6AB545" w14:textId="77777777" w:rsidR="009118A2" w:rsidRDefault="009118A2" w:rsidP="009118A2">
      <w:pPr>
        <w:pStyle w:val="StandardWeb"/>
        <w:numPr>
          <w:ilvl w:val="0"/>
          <w:numId w:val="6"/>
        </w:numPr>
      </w:pPr>
      <w:r>
        <w:rPr>
          <w:rStyle w:val="katex-mathml"/>
        </w:rPr>
        <w:t>ω\</w:t>
      </w:r>
      <w:proofErr w:type="spellStart"/>
      <w:r>
        <w:rPr>
          <w:rStyle w:val="katex-mathml"/>
        </w:rPr>
        <w:t>omega</w:t>
      </w:r>
      <w:r>
        <w:rPr>
          <w:rStyle w:val="mord"/>
        </w:rPr>
        <w:t>ω</w:t>
      </w:r>
      <w:proofErr w:type="spellEnd"/>
      <w:r>
        <w:t>: Winkelgeschwindigkeit</w:t>
      </w:r>
    </w:p>
    <w:p w14:paraId="2BB8DB34" w14:textId="77777777" w:rsidR="009118A2" w:rsidRDefault="009118A2" w:rsidP="009118A2">
      <w:pPr>
        <w:pStyle w:val="StandardWeb"/>
        <w:numPr>
          <w:ilvl w:val="0"/>
          <w:numId w:val="6"/>
        </w:numPr>
      </w:pPr>
      <w:r>
        <w:rPr>
          <w:rStyle w:val="katex-mathml"/>
        </w:rPr>
        <w:t>AA</w:t>
      </w:r>
      <w:r>
        <w:rPr>
          <w:rStyle w:val="mord"/>
        </w:rPr>
        <w:t>A</w:t>
      </w:r>
      <w:r>
        <w:t>: Amplitude der Schaukelfunktion</w:t>
      </w:r>
    </w:p>
    <w:p w14:paraId="6DBE2A23" w14:textId="77777777" w:rsidR="009118A2" w:rsidRDefault="009118A2" w:rsidP="009118A2">
      <w:pPr>
        <w:pStyle w:val="StandardWeb"/>
      </w:pPr>
      <w:r>
        <w:t xml:space="preserve">Diese Funktionen bilden die Basis für eine vollständige Modellierung innerhalb des FRZK: Sie beschreiben die Position des Boots zu jedem Zeitpunkt </w:t>
      </w:r>
      <w:proofErr w:type="spellStart"/>
      <w:r>
        <w:rPr>
          <w:rStyle w:val="katex-mathml"/>
        </w:rPr>
        <w:t>tt</w:t>
      </w:r>
      <w:r>
        <w:rPr>
          <w:rStyle w:val="mord"/>
        </w:rPr>
        <w:t>t</w:t>
      </w:r>
      <w:proofErr w:type="spellEnd"/>
      <w:r>
        <w:t xml:space="preserve"> relativ zu einem gewählten Beobachtungspunkt.</w:t>
      </w:r>
    </w:p>
    <w:p w14:paraId="33636F29" w14:textId="77777777" w:rsidR="009118A2" w:rsidRDefault="009118A2" w:rsidP="009118A2">
      <w:pPr>
        <w:pStyle w:val="berschrift4"/>
      </w:pPr>
      <w:r>
        <w:t>5.4.4 Kinematische Ableitungen</w:t>
      </w:r>
    </w:p>
    <w:p w14:paraId="08AC47D9" w14:textId="77777777" w:rsidR="009118A2" w:rsidRDefault="009118A2" w:rsidP="009118A2">
      <w:pPr>
        <w:pStyle w:val="StandardWeb"/>
      </w:pPr>
      <w:r>
        <w:t>Die Geschwindigkeit ergibt sich als erste Ableitung der Ortsfunktion:</w:t>
      </w:r>
    </w:p>
    <w:p w14:paraId="544CFC0A" w14:textId="77777777" w:rsidR="009118A2" w:rsidRDefault="009118A2" w:rsidP="009118A2">
      <w:r>
        <w:rPr>
          <w:rStyle w:val="katex-mathml"/>
        </w:rPr>
        <w:t>v</w:t>
      </w:r>
      <w:r>
        <w:rPr>
          <w:rStyle w:val="katex-mathml"/>
          <w:rFonts w:ascii="Cambria Math" w:hAnsi="Cambria Math" w:cs="Cambria Math"/>
        </w:rPr>
        <w:t>⃗</w:t>
      </w:r>
      <w:r>
        <w:rPr>
          <w:rStyle w:val="katex-mathml"/>
        </w:rPr>
        <w:t>(t)=dr</w:t>
      </w:r>
      <w:r>
        <w:rPr>
          <w:rStyle w:val="katex-mathml"/>
          <w:rFonts w:ascii="Cambria Math" w:hAnsi="Cambria Math" w:cs="Cambria Math"/>
        </w:rPr>
        <w:t>⃗</w:t>
      </w:r>
      <w:r>
        <w:rPr>
          <w:rStyle w:val="katex-mathml"/>
        </w:rPr>
        <w:t>(t)dt=(−Rωsin</w:t>
      </w:r>
      <w:r>
        <w:rPr>
          <w:rStyle w:val="katex-mathml"/>
          <w:rFonts w:ascii="Cambria Math" w:hAnsi="Cambria Math" w:cs="Cambria Math"/>
        </w:rPr>
        <w:t>⁡</w:t>
      </w:r>
      <w:r>
        <w:rPr>
          <w:rStyle w:val="katex-mathml"/>
        </w:rPr>
        <w:t>(ωt</w:t>
      </w:r>
      <w:proofErr w:type="gramStart"/>
      <w:r>
        <w:rPr>
          <w:rStyle w:val="katex-mathml"/>
        </w:rPr>
        <w:t>),  </w:t>
      </w:r>
      <w:proofErr w:type="spellStart"/>
      <w:r>
        <w:rPr>
          <w:rStyle w:val="katex-mathml"/>
        </w:rPr>
        <w:t>R</w:t>
      </w:r>
      <w:proofErr w:type="gramEnd"/>
      <w:r>
        <w:rPr>
          <w:rStyle w:val="katex-mathml"/>
        </w:rPr>
        <w:t>ωcos</w:t>
      </w:r>
      <w:proofErr w:type="spellEnd"/>
      <w:r>
        <w:rPr>
          <w:rStyle w:val="katex-mathml"/>
          <w:rFonts w:ascii="Cambria Math" w:hAnsi="Cambria Math" w:cs="Cambria Math"/>
        </w:rPr>
        <w:t>⁡</w:t>
      </w:r>
      <w:r>
        <w:rPr>
          <w:rStyle w:val="katex-mathml"/>
        </w:rPr>
        <w:t>(</w:t>
      </w:r>
      <w:proofErr w:type="spellStart"/>
      <w:r>
        <w:rPr>
          <w:rStyle w:val="katex-mathml"/>
        </w:rPr>
        <w:t>ωt</w:t>
      </w:r>
      <w:proofErr w:type="spellEnd"/>
      <w:r>
        <w:rPr>
          <w:rStyle w:val="katex-mathml"/>
        </w:rPr>
        <w:t>),  2Aωcos</w:t>
      </w:r>
      <w:r>
        <w:rPr>
          <w:rStyle w:val="katex-mathml"/>
          <w:rFonts w:ascii="Cambria Math" w:hAnsi="Cambria Math" w:cs="Cambria Math"/>
        </w:rPr>
        <w:t>⁡</w:t>
      </w:r>
      <w:r>
        <w:rPr>
          <w:rStyle w:val="katex-mathml"/>
        </w:rPr>
        <w:t>(2ωt))\</w:t>
      </w:r>
      <w:proofErr w:type="spellStart"/>
      <w:r>
        <w:rPr>
          <w:rStyle w:val="katex-mathml"/>
        </w:rPr>
        <w:t>vec</w:t>
      </w:r>
      <w:proofErr w:type="spellEnd"/>
      <w:r>
        <w:rPr>
          <w:rStyle w:val="katex-mathml"/>
        </w:rPr>
        <w:t>{v}(t) = \</w:t>
      </w:r>
      <w:proofErr w:type="spellStart"/>
      <w:r>
        <w:rPr>
          <w:rStyle w:val="katex-mathml"/>
        </w:rPr>
        <w:t>frac</w:t>
      </w:r>
      <w:proofErr w:type="spellEnd"/>
      <w:r>
        <w:rPr>
          <w:rStyle w:val="katex-mathml"/>
        </w:rPr>
        <w:t>{d\</w:t>
      </w:r>
      <w:proofErr w:type="spellStart"/>
      <w:r>
        <w:rPr>
          <w:rStyle w:val="katex-mathml"/>
        </w:rPr>
        <w:t>vec</w:t>
      </w:r>
      <w:proofErr w:type="spellEnd"/>
      <w:r>
        <w:rPr>
          <w:rStyle w:val="katex-mathml"/>
        </w:rPr>
        <w:t>{r}(t)}{</w:t>
      </w:r>
      <w:proofErr w:type="spellStart"/>
      <w:r>
        <w:rPr>
          <w:rStyle w:val="katex-mathml"/>
        </w:rPr>
        <w:t>dt</w:t>
      </w:r>
      <w:proofErr w:type="spellEnd"/>
      <w:r>
        <w:rPr>
          <w:rStyle w:val="katex-mathml"/>
        </w:rPr>
        <w:t>} = (-R\</w:t>
      </w:r>
      <w:proofErr w:type="spellStart"/>
      <w:r>
        <w:rPr>
          <w:rStyle w:val="katex-mathml"/>
        </w:rPr>
        <w:t>omega</w:t>
      </w:r>
      <w:proofErr w:type="spellEnd"/>
      <w:r>
        <w:rPr>
          <w:rStyle w:val="katex-mathml"/>
        </w:rPr>
        <w:t xml:space="preserve"> \sin(\</w:t>
      </w:r>
      <w:proofErr w:type="spellStart"/>
      <w:r>
        <w:rPr>
          <w:rStyle w:val="katex-mathml"/>
        </w:rPr>
        <w:t>omega</w:t>
      </w:r>
      <w:proofErr w:type="spellEnd"/>
      <w:r>
        <w:rPr>
          <w:rStyle w:val="katex-mathml"/>
        </w:rPr>
        <w:t xml:space="preserve"> t),\; R\</w:t>
      </w:r>
      <w:proofErr w:type="spellStart"/>
      <w:r>
        <w:rPr>
          <w:rStyle w:val="katex-mathml"/>
        </w:rPr>
        <w:t>omega</w:t>
      </w:r>
      <w:proofErr w:type="spellEnd"/>
      <w:r>
        <w:rPr>
          <w:rStyle w:val="katex-mathml"/>
        </w:rPr>
        <w:t xml:space="preserve"> \cos(\</w:t>
      </w:r>
      <w:proofErr w:type="spellStart"/>
      <w:r>
        <w:rPr>
          <w:rStyle w:val="katex-mathml"/>
        </w:rPr>
        <w:t>omega</w:t>
      </w:r>
      <w:proofErr w:type="spellEnd"/>
      <w:r>
        <w:rPr>
          <w:rStyle w:val="katex-mathml"/>
        </w:rPr>
        <w:t xml:space="preserve"> t),\; 2A\</w:t>
      </w:r>
      <w:proofErr w:type="spellStart"/>
      <w:r>
        <w:rPr>
          <w:rStyle w:val="katex-mathml"/>
        </w:rPr>
        <w:t>omega</w:t>
      </w:r>
      <w:proofErr w:type="spellEnd"/>
      <w:r>
        <w:rPr>
          <w:rStyle w:val="katex-mathml"/>
        </w:rPr>
        <w:t xml:space="preserve"> \cos(2\</w:t>
      </w:r>
      <w:proofErr w:type="spellStart"/>
      <w:r>
        <w:rPr>
          <w:rStyle w:val="katex-mathml"/>
        </w:rPr>
        <w:t>omega</w:t>
      </w:r>
      <w:proofErr w:type="spellEnd"/>
      <w:r>
        <w:rPr>
          <w:rStyle w:val="katex-mathml"/>
        </w:rPr>
        <w:t xml:space="preserve"> t))</w:t>
      </w:r>
      <w:r>
        <w:rPr>
          <w:rStyle w:val="mord"/>
        </w:rPr>
        <w:t>v</w:t>
      </w:r>
      <w:r>
        <w:rPr>
          <w:rStyle w:val="mopen"/>
        </w:rPr>
        <w:t>(</w:t>
      </w:r>
      <w:r>
        <w:rPr>
          <w:rStyle w:val="mord"/>
        </w:rPr>
        <w:t>t</w:t>
      </w:r>
      <w:r>
        <w:rPr>
          <w:rStyle w:val="mclose"/>
        </w:rPr>
        <w:t>)</w:t>
      </w:r>
      <w:r>
        <w:rPr>
          <w:rStyle w:val="mrel"/>
        </w:rPr>
        <w:t>=</w:t>
      </w:r>
      <w:proofErr w:type="spellStart"/>
      <w:r>
        <w:rPr>
          <w:rStyle w:val="mord"/>
        </w:rPr>
        <w:t>dtdr</w:t>
      </w:r>
      <w:proofErr w:type="spellEnd"/>
      <w:r>
        <w:rPr>
          <w:rStyle w:val="mopen"/>
        </w:rPr>
        <w:t>(</w:t>
      </w:r>
      <w:r>
        <w:rPr>
          <w:rStyle w:val="mord"/>
        </w:rPr>
        <w:t>t</w:t>
      </w:r>
      <w:r>
        <w:rPr>
          <w:rStyle w:val="mclose"/>
        </w:rPr>
        <w:t>)</w:t>
      </w:r>
      <w:r>
        <w:rPr>
          <w:rStyle w:val="vlist-s"/>
        </w:rPr>
        <w:t>​</w:t>
      </w:r>
      <w:r>
        <w:rPr>
          <w:rStyle w:val="mrel"/>
        </w:rPr>
        <w:t>=</w:t>
      </w:r>
      <w:r>
        <w:rPr>
          <w:rStyle w:val="mopen"/>
        </w:rPr>
        <w:t>(</w:t>
      </w:r>
      <w:r>
        <w:rPr>
          <w:rStyle w:val="mord"/>
        </w:rPr>
        <w:t>−</w:t>
      </w:r>
      <w:proofErr w:type="spellStart"/>
      <w:r>
        <w:rPr>
          <w:rStyle w:val="mord"/>
        </w:rPr>
        <w:t>Rω</w:t>
      </w:r>
      <w:r>
        <w:rPr>
          <w:rStyle w:val="mop"/>
        </w:rPr>
        <w:t>sin</w:t>
      </w:r>
      <w:proofErr w:type="spellEnd"/>
      <w:r>
        <w:rPr>
          <w:rStyle w:val="mopen"/>
        </w:rPr>
        <w:t>(</w:t>
      </w:r>
      <w:proofErr w:type="spellStart"/>
      <w:r>
        <w:rPr>
          <w:rStyle w:val="mord"/>
        </w:rPr>
        <w:t>ωt</w:t>
      </w:r>
      <w:proofErr w:type="spellEnd"/>
      <w:r>
        <w:rPr>
          <w:rStyle w:val="mclose"/>
        </w:rPr>
        <w:t>)</w:t>
      </w:r>
      <w:r>
        <w:rPr>
          <w:rStyle w:val="mpunct"/>
        </w:rPr>
        <w:t>,</w:t>
      </w:r>
      <w:proofErr w:type="spellStart"/>
      <w:r>
        <w:rPr>
          <w:rStyle w:val="mord"/>
        </w:rPr>
        <w:t>Rω</w:t>
      </w:r>
      <w:r>
        <w:rPr>
          <w:rStyle w:val="mop"/>
        </w:rPr>
        <w:t>cos</w:t>
      </w:r>
      <w:proofErr w:type="spellEnd"/>
      <w:r>
        <w:rPr>
          <w:rStyle w:val="mopen"/>
        </w:rPr>
        <w:t>(</w:t>
      </w:r>
      <w:proofErr w:type="spellStart"/>
      <w:r>
        <w:rPr>
          <w:rStyle w:val="mord"/>
        </w:rPr>
        <w:t>ωt</w:t>
      </w:r>
      <w:proofErr w:type="spellEnd"/>
      <w:r>
        <w:rPr>
          <w:rStyle w:val="mclose"/>
        </w:rPr>
        <w:t>)</w:t>
      </w:r>
      <w:r>
        <w:rPr>
          <w:rStyle w:val="mpunct"/>
        </w:rPr>
        <w:t>,</w:t>
      </w:r>
      <w:r>
        <w:rPr>
          <w:rStyle w:val="mord"/>
        </w:rPr>
        <w:t>2Aω</w:t>
      </w:r>
      <w:r>
        <w:rPr>
          <w:rStyle w:val="mop"/>
        </w:rPr>
        <w:t>cos</w:t>
      </w:r>
      <w:r>
        <w:rPr>
          <w:rStyle w:val="mopen"/>
        </w:rPr>
        <w:t>(</w:t>
      </w:r>
      <w:r>
        <w:rPr>
          <w:rStyle w:val="mord"/>
        </w:rPr>
        <w:t>2ωt</w:t>
      </w:r>
      <w:r>
        <w:rPr>
          <w:rStyle w:val="mclose"/>
        </w:rPr>
        <w:t>))</w:t>
      </w:r>
      <w:r>
        <w:t xml:space="preserve"> </w:t>
      </w:r>
    </w:p>
    <w:p w14:paraId="286DEBEB" w14:textId="77777777" w:rsidR="009118A2" w:rsidRDefault="009118A2" w:rsidP="009118A2">
      <w:pPr>
        <w:pStyle w:val="StandardWeb"/>
      </w:pPr>
      <w:r>
        <w:t>Die Beschleunigung folgt als zweite Ableitung:</w:t>
      </w:r>
    </w:p>
    <w:p w14:paraId="1C005982" w14:textId="77777777" w:rsidR="009118A2" w:rsidRDefault="009118A2" w:rsidP="009118A2">
      <w:r>
        <w:rPr>
          <w:rStyle w:val="katex-mathml"/>
        </w:rPr>
        <w:t>a</w:t>
      </w:r>
      <w:r>
        <w:rPr>
          <w:rStyle w:val="katex-mathml"/>
          <w:rFonts w:ascii="Cambria Math" w:hAnsi="Cambria Math" w:cs="Cambria Math"/>
        </w:rPr>
        <w:t>⃗</w:t>
      </w:r>
      <w:r>
        <w:rPr>
          <w:rStyle w:val="katex-mathml"/>
        </w:rPr>
        <w:t>(t)=d2r</w:t>
      </w:r>
      <w:r>
        <w:rPr>
          <w:rStyle w:val="katex-mathml"/>
          <w:rFonts w:ascii="Cambria Math" w:hAnsi="Cambria Math" w:cs="Cambria Math"/>
        </w:rPr>
        <w:t>⃗</w:t>
      </w:r>
      <w:r>
        <w:rPr>
          <w:rStyle w:val="katex-mathml"/>
        </w:rPr>
        <w:t>(t)dt2=(−Rω2cos</w:t>
      </w:r>
      <w:r>
        <w:rPr>
          <w:rStyle w:val="katex-mathml"/>
          <w:rFonts w:ascii="Cambria Math" w:hAnsi="Cambria Math" w:cs="Cambria Math"/>
        </w:rPr>
        <w:t>⁡</w:t>
      </w:r>
      <w:r>
        <w:rPr>
          <w:rStyle w:val="katex-mathml"/>
        </w:rPr>
        <w:t>(ωt</w:t>
      </w:r>
      <w:proofErr w:type="gramStart"/>
      <w:r>
        <w:rPr>
          <w:rStyle w:val="katex-mathml"/>
        </w:rPr>
        <w:t>),  −</w:t>
      </w:r>
      <w:proofErr w:type="gramEnd"/>
      <w:r>
        <w:rPr>
          <w:rStyle w:val="katex-mathml"/>
        </w:rPr>
        <w:t>Rω2sin</w:t>
      </w:r>
      <w:r>
        <w:rPr>
          <w:rStyle w:val="katex-mathml"/>
          <w:rFonts w:ascii="Cambria Math" w:hAnsi="Cambria Math" w:cs="Cambria Math"/>
        </w:rPr>
        <w:t>⁡</w:t>
      </w:r>
      <w:r>
        <w:rPr>
          <w:rStyle w:val="katex-mathml"/>
        </w:rPr>
        <w:t>(</w:t>
      </w:r>
      <w:proofErr w:type="spellStart"/>
      <w:r>
        <w:rPr>
          <w:rStyle w:val="katex-mathml"/>
        </w:rPr>
        <w:t>ωt</w:t>
      </w:r>
      <w:proofErr w:type="spellEnd"/>
      <w:r>
        <w:rPr>
          <w:rStyle w:val="katex-mathml"/>
        </w:rPr>
        <w:t>),  −4Aω2sin</w:t>
      </w:r>
      <w:r>
        <w:rPr>
          <w:rStyle w:val="katex-mathml"/>
          <w:rFonts w:ascii="Cambria Math" w:hAnsi="Cambria Math" w:cs="Cambria Math"/>
        </w:rPr>
        <w:t>⁡</w:t>
      </w:r>
      <w:r>
        <w:rPr>
          <w:rStyle w:val="katex-mathml"/>
        </w:rPr>
        <w:t>(2ωt))\</w:t>
      </w:r>
      <w:proofErr w:type="spellStart"/>
      <w:r>
        <w:rPr>
          <w:rStyle w:val="katex-mathml"/>
        </w:rPr>
        <w:t>vec</w:t>
      </w:r>
      <w:proofErr w:type="spellEnd"/>
      <w:r>
        <w:rPr>
          <w:rStyle w:val="katex-mathml"/>
        </w:rPr>
        <w:t>{a}(t) = \</w:t>
      </w:r>
      <w:proofErr w:type="spellStart"/>
      <w:r>
        <w:rPr>
          <w:rStyle w:val="katex-mathml"/>
        </w:rPr>
        <w:t>frac</w:t>
      </w:r>
      <w:proofErr w:type="spellEnd"/>
      <w:r>
        <w:rPr>
          <w:rStyle w:val="katex-mathml"/>
        </w:rPr>
        <w:t>{d^2\</w:t>
      </w:r>
      <w:proofErr w:type="spellStart"/>
      <w:r>
        <w:rPr>
          <w:rStyle w:val="katex-mathml"/>
        </w:rPr>
        <w:t>vec</w:t>
      </w:r>
      <w:proofErr w:type="spellEnd"/>
      <w:r>
        <w:rPr>
          <w:rStyle w:val="katex-mathml"/>
        </w:rPr>
        <w:t>{r}(t)}{dt^2} = (-R\omega^2 \cos(\</w:t>
      </w:r>
      <w:proofErr w:type="spellStart"/>
      <w:r>
        <w:rPr>
          <w:rStyle w:val="katex-mathml"/>
        </w:rPr>
        <w:t>omega</w:t>
      </w:r>
      <w:proofErr w:type="spellEnd"/>
      <w:r>
        <w:rPr>
          <w:rStyle w:val="katex-mathml"/>
        </w:rPr>
        <w:t xml:space="preserve"> t),\; -R\omega^2 \sin(\</w:t>
      </w:r>
      <w:proofErr w:type="spellStart"/>
      <w:r>
        <w:rPr>
          <w:rStyle w:val="katex-mathml"/>
        </w:rPr>
        <w:t>omega</w:t>
      </w:r>
      <w:proofErr w:type="spellEnd"/>
      <w:r>
        <w:rPr>
          <w:rStyle w:val="katex-mathml"/>
        </w:rPr>
        <w:t xml:space="preserve"> t),\; -4A\omega^2 \sin(2\</w:t>
      </w:r>
      <w:proofErr w:type="spellStart"/>
      <w:r>
        <w:rPr>
          <w:rStyle w:val="katex-mathml"/>
        </w:rPr>
        <w:t>omega</w:t>
      </w:r>
      <w:proofErr w:type="spellEnd"/>
      <w:r>
        <w:rPr>
          <w:rStyle w:val="katex-mathml"/>
        </w:rPr>
        <w:t xml:space="preserve"> t))</w:t>
      </w:r>
      <w:r>
        <w:rPr>
          <w:rStyle w:val="mord"/>
        </w:rPr>
        <w:t>a</w:t>
      </w:r>
      <w:r>
        <w:rPr>
          <w:rStyle w:val="mopen"/>
        </w:rPr>
        <w:t>(</w:t>
      </w:r>
      <w:r>
        <w:rPr>
          <w:rStyle w:val="mord"/>
        </w:rPr>
        <w:t>t</w:t>
      </w:r>
      <w:r>
        <w:rPr>
          <w:rStyle w:val="mclose"/>
        </w:rPr>
        <w:t>)</w:t>
      </w:r>
      <w:r>
        <w:rPr>
          <w:rStyle w:val="mrel"/>
        </w:rPr>
        <w:t>=</w:t>
      </w:r>
      <w:r>
        <w:rPr>
          <w:rStyle w:val="mord"/>
        </w:rPr>
        <w:t>dt2d2r</w:t>
      </w:r>
      <w:r>
        <w:rPr>
          <w:rStyle w:val="mopen"/>
        </w:rPr>
        <w:t>(</w:t>
      </w:r>
      <w:r>
        <w:rPr>
          <w:rStyle w:val="mord"/>
        </w:rPr>
        <w:t>t</w:t>
      </w:r>
      <w:r>
        <w:rPr>
          <w:rStyle w:val="mclose"/>
        </w:rPr>
        <w:t>)</w:t>
      </w:r>
      <w:r>
        <w:rPr>
          <w:rStyle w:val="vlist-s"/>
        </w:rPr>
        <w:t>​</w:t>
      </w:r>
      <w:r>
        <w:rPr>
          <w:rStyle w:val="mrel"/>
        </w:rPr>
        <w:t>=</w:t>
      </w:r>
      <w:r>
        <w:rPr>
          <w:rStyle w:val="mopen"/>
        </w:rPr>
        <w:t>(</w:t>
      </w:r>
      <w:r>
        <w:rPr>
          <w:rStyle w:val="mord"/>
        </w:rPr>
        <w:t>−Rω2</w:t>
      </w:r>
      <w:r>
        <w:rPr>
          <w:rStyle w:val="mop"/>
        </w:rPr>
        <w:t>cos</w:t>
      </w:r>
      <w:r>
        <w:rPr>
          <w:rStyle w:val="mopen"/>
        </w:rPr>
        <w:t>(</w:t>
      </w:r>
      <w:proofErr w:type="spellStart"/>
      <w:r>
        <w:rPr>
          <w:rStyle w:val="mord"/>
        </w:rPr>
        <w:t>ωt</w:t>
      </w:r>
      <w:proofErr w:type="spellEnd"/>
      <w:r>
        <w:rPr>
          <w:rStyle w:val="mclose"/>
        </w:rPr>
        <w:t>)</w:t>
      </w:r>
      <w:r>
        <w:rPr>
          <w:rStyle w:val="mpunct"/>
        </w:rPr>
        <w:t>,</w:t>
      </w:r>
      <w:r>
        <w:rPr>
          <w:rStyle w:val="mord"/>
        </w:rPr>
        <w:t>−Rω2</w:t>
      </w:r>
      <w:r>
        <w:rPr>
          <w:rStyle w:val="mop"/>
        </w:rPr>
        <w:t>sin</w:t>
      </w:r>
      <w:r>
        <w:rPr>
          <w:rStyle w:val="mopen"/>
        </w:rPr>
        <w:t>(</w:t>
      </w:r>
      <w:proofErr w:type="spellStart"/>
      <w:r>
        <w:rPr>
          <w:rStyle w:val="mord"/>
        </w:rPr>
        <w:t>ωt</w:t>
      </w:r>
      <w:proofErr w:type="spellEnd"/>
      <w:r>
        <w:rPr>
          <w:rStyle w:val="mclose"/>
        </w:rPr>
        <w:t>)</w:t>
      </w:r>
      <w:r>
        <w:rPr>
          <w:rStyle w:val="mpunct"/>
        </w:rPr>
        <w:t>,</w:t>
      </w:r>
      <w:r>
        <w:rPr>
          <w:rStyle w:val="mord"/>
        </w:rPr>
        <w:t>−4Aω2</w:t>
      </w:r>
      <w:r>
        <w:rPr>
          <w:rStyle w:val="mop"/>
        </w:rPr>
        <w:t>sin</w:t>
      </w:r>
      <w:r>
        <w:rPr>
          <w:rStyle w:val="mopen"/>
        </w:rPr>
        <w:t>(</w:t>
      </w:r>
      <w:r>
        <w:rPr>
          <w:rStyle w:val="mord"/>
        </w:rPr>
        <w:t>2ωt</w:t>
      </w:r>
      <w:r>
        <w:rPr>
          <w:rStyle w:val="mclose"/>
        </w:rPr>
        <w:t>))</w:t>
      </w:r>
      <w:r>
        <w:t xml:space="preserve"> </w:t>
      </w:r>
    </w:p>
    <w:p w14:paraId="5476A079" w14:textId="77777777" w:rsidR="009118A2" w:rsidRDefault="009118A2" w:rsidP="009118A2">
      <w:pPr>
        <w:pStyle w:val="StandardWeb"/>
      </w:pPr>
      <w:r>
        <w:t>Diese Ableitungen verdeutlichen, wie aus der funktionalen Ortsbeschreibung dynamische Größen abgeleitet werden können – ein zentraler Vorteil der funktionalen Betrachtung im FRZK.</w:t>
      </w:r>
    </w:p>
    <w:p w14:paraId="65F73066" w14:textId="77777777" w:rsidR="009118A2" w:rsidRDefault="009118A2" w:rsidP="009118A2">
      <w:pPr>
        <w:pStyle w:val="berschrift4"/>
      </w:pPr>
      <w:r>
        <w:t>5.4.5 Didaktischer Nutzen</w:t>
      </w:r>
    </w:p>
    <w:p w14:paraId="5708AF37" w14:textId="77777777" w:rsidR="009118A2" w:rsidRDefault="009118A2" w:rsidP="009118A2">
      <w:pPr>
        <w:pStyle w:val="StandardWeb"/>
      </w:pPr>
      <w:r>
        <w:t>Das Bootsmodell besitzt einen hohen didaktischen Wert:</w:t>
      </w:r>
    </w:p>
    <w:p w14:paraId="0336BBFB" w14:textId="77777777" w:rsidR="009118A2" w:rsidRDefault="009118A2" w:rsidP="009118A2">
      <w:pPr>
        <w:pStyle w:val="StandardWeb"/>
        <w:numPr>
          <w:ilvl w:val="0"/>
          <w:numId w:val="7"/>
        </w:numPr>
      </w:pPr>
      <w:r>
        <w:rPr>
          <w:rStyle w:val="Fett"/>
        </w:rPr>
        <w:t>Anschaulichkeit:</w:t>
      </w:r>
      <w:r>
        <w:t xml:space="preserve"> Die Bewegung ist visuell leicht erfassbar, insbesondere in Simulationen oder Animationen.</w:t>
      </w:r>
    </w:p>
    <w:p w14:paraId="65D64E58" w14:textId="77777777" w:rsidR="009118A2" w:rsidRDefault="009118A2" w:rsidP="009118A2">
      <w:pPr>
        <w:pStyle w:val="StandardWeb"/>
        <w:numPr>
          <w:ilvl w:val="0"/>
          <w:numId w:val="7"/>
        </w:numPr>
      </w:pPr>
      <w:r>
        <w:rPr>
          <w:rStyle w:val="Fett"/>
        </w:rPr>
        <w:lastRenderedPageBreak/>
        <w:t>Multidimensionalität:</w:t>
      </w:r>
      <w:r>
        <w:t xml:space="preserve"> Die gleichzeitige Veränderung in drei Raumdimensionen illustriert komplexe Bewegungsmuster.</w:t>
      </w:r>
    </w:p>
    <w:p w14:paraId="69886EB8" w14:textId="77777777" w:rsidR="009118A2" w:rsidRDefault="009118A2" w:rsidP="009118A2">
      <w:pPr>
        <w:pStyle w:val="StandardWeb"/>
        <w:numPr>
          <w:ilvl w:val="0"/>
          <w:numId w:val="7"/>
        </w:numPr>
      </w:pPr>
      <w:r>
        <w:rPr>
          <w:rStyle w:val="Fett"/>
        </w:rPr>
        <w:t>Reflexionsanlass:</w:t>
      </w:r>
      <w:r>
        <w:t xml:space="preserve"> Lernende erkennen, dass die Bewegung nur im Kontext des gewählten funktionalen Bezugssystems sinnvoll beschreibbar ist.</w:t>
      </w:r>
    </w:p>
    <w:p w14:paraId="320C7724" w14:textId="77777777" w:rsidR="009118A2" w:rsidRDefault="009118A2" w:rsidP="009118A2">
      <w:pPr>
        <w:pStyle w:val="StandardWeb"/>
        <w:numPr>
          <w:ilvl w:val="0"/>
          <w:numId w:val="7"/>
        </w:numPr>
      </w:pPr>
      <w:r>
        <w:rPr>
          <w:rStyle w:val="Fett"/>
        </w:rPr>
        <w:t>Anschlussfähigkeit:</w:t>
      </w:r>
      <w:r>
        <w:t xml:space="preserve"> Das Modell lässt sich auf weitere Systeme (z. B. Planetenbewegungen, Drohnenflug, Oszillationen) übertragen [19].</w:t>
      </w:r>
    </w:p>
    <w:p w14:paraId="234361F1" w14:textId="77777777" w:rsidR="009118A2" w:rsidRDefault="009118A2" w:rsidP="009118A2">
      <w:pPr>
        <w:pStyle w:val="berschrift4"/>
      </w:pPr>
      <w:r>
        <w:t>5.4.6 Integration in den Unterricht</w:t>
      </w:r>
    </w:p>
    <w:p w14:paraId="6B11276D" w14:textId="77777777" w:rsidR="009118A2" w:rsidRDefault="009118A2" w:rsidP="009118A2">
      <w:pPr>
        <w:pStyle w:val="StandardWeb"/>
      </w:pPr>
      <w:r>
        <w:t>Das Modell eignet sich für verschiedene schulische und hochschulische Einsatzformen:</w:t>
      </w:r>
    </w:p>
    <w:p w14:paraId="0C226860" w14:textId="77777777" w:rsidR="009118A2" w:rsidRDefault="009118A2" w:rsidP="009118A2">
      <w:pPr>
        <w:pStyle w:val="StandardWeb"/>
        <w:numPr>
          <w:ilvl w:val="0"/>
          <w:numId w:val="8"/>
        </w:numPr>
      </w:pPr>
      <w:r>
        <w:t>Einführung in Bewegungsfunktionen in der Sekundarstufe II</w:t>
      </w:r>
    </w:p>
    <w:p w14:paraId="1F0AF462" w14:textId="77777777" w:rsidR="009118A2" w:rsidRDefault="009118A2" w:rsidP="009118A2">
      <w:pPr>
        <w:pStyle w:val="StandardWeb"/>
        <w:numPr>
          <w:ilvl w:val="0"/>
          <w:numId w:val="8"/>
        </w:numPr>
      </w:pPr>
      <w:r>
        <w:t>Vertiefung kinematischer Konzepte in der Lehramtsausbildung</w:t>
      </w:r>
    </w:p>
    <w:p w14:paraId="024E0E59" w14:textId="77777777" w:rsidR="009118A2" w:rsidRDefault="009118A2" w:rsidP="009118A2">
      <w:pPr>
        <w:pStyle w:val="StandardWeb"/>
        <w:numPr>
          <w:ilvl w:val="0"/>
          <w:numId w:val="8"/>
        </w:numPr>
      </w:pPr>
      <w:r>
        <w:t>Simulation und Modellierung in der Hochschulphysik oder Fachdidaktik</w:t>
      </w:r>
    </w:p>
    <w:p w14:paraId="07892F66" w14:textId="77777777" w:rsidR="009118A2" w:rsidRDefault="009118A2" w:rsidP="009118A2">
      <w:pPr>
        <w:pStyle w:val="StandardWeb"/>
      </w:pPr>
      <w:r>
        <w:t>Die strukturierte Modellbildung entlang funktionaler Zeitabhängigkeiten fördert ein vernetztes und konzeptuell tiefes Lernen, das sowohl mathematisch fundiert als auch physikalisch gehaltvoll ist [20].</w:t>
      </w:r>
    </w:p>
    <w:p w14:paraId="78805798" w14:textId="77777777" w:rsidR="009118A2" w:rsidRDefault="009118A2" w:rsidP="009118A2">
      <w:pPr>
        <w:pStyle w:val="berschrift3"/>
      </w:pPr>
      <w:r>
        <w:t>5.5 Die wissenschaftlichen Vorteile der funktionalen Betrachtung</w:t>
      </w:r>
    </w:p>
    <w:p w14:paraId="6EAD4DE3" w14:textId="77777777" w:rsidR="009118A2" w:rsidRDefault="009118A2" w:rsidP="009118A2">
      <w:pPr>
        <w:pStyle w:val="StandardWeb"/>
      </w:pPr>
      <w:r>
        <w:t>Die funktionale Beschreibung physikalischer Systeme in Raum-Zeit-Bezugssystemen, wie sie im FRZK realisiert wird, stellt einen paradigmatischen Fortschritt gegenüber vektoriellen oder rein geometrischen Beschreibungen dar. Sie ermöglicht eine präzise, systematische und erkenntnistheoretisch fundierte Modellierung physikalischer Prozesse – in Forschung, Lehre und fächerübergreifender Anwendung.</w:t>
      </w:r>
    </w:p>
    <w:p w14:paraId="0991FE6C" w14:textId="77777777" w:rsidR="009118A2" w:rsidRDefault="009118A2" w:rsidP="009118A2">
      <w:pPr>
        <w:pStyle w:val="berschrift4"/>
      </w:pPr>
      <w:r>
        <w:t>5.5.1 Allgemeingültige Beschreibung von Bewegung und Veränderung</w:t>
      </w:r>
    </w:p>
    <w:p w14:paraId="40DA1993" w14:textId="77777777" w:rsidR="009118A2" w:rsidRDefault="009118A2" w:rsidP="009118A2">
      <w:pPr>
        <w:pStyle w:val="StandardWeb"/>
      </w:pPr>
      <w:r>
        <w:t xml:space="preserve">Im FRZK wird jede Bewegung durch explizite Zeitfunktionen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beschrieben. Diese funktionale Darstellung erlaubt eine universelle Modellierung physikalischer Systeme – unabhängig von deren Größe, Materialität oder Kontext. Ob ein Boot, ein Elektron oder ein Planet betrachtet wird: die funktionale Abbildung in einem konsistenten Bezugssystem ermöglicht vergleichbare, überprüfbare und präzise Aussagen über Zustände und deren Veränderungen [21].</w:t>
      </w:r>
    </w:p>
    <w:p w14:paraId="0A13F9EB" w14:textId="77777777" w:rsidR="009118A2" w:rsidRDefault="009118A2" w:rsidP="009118A2">
      <w:pPr>
        <w:pStyle w:val="berschrift4"/>
      </w:pPr>
      <w:r>
        <w:t>5.5.2 Ableitung physikalischer Größen aus Ortsfunktionen</w:t>
      </w:r>
    </w:p>
    <w:p w14:paraId="3B6753DC" w14:textId="77777777" w:rsidR="009118A2" w:rsidRDefault="009118A2" w:rsidP="009118A2">
      <w:pPr>
        <w:pStyle w:val="StandardWeb"/>
      </w:pPr>
      <w:r>
        <w:t>Ein besonderer Vorteil der funktionalen Betrachtung liegt in der direkten Ableitbarkeit zentraler physikalischer Größen:</w:t>
      </w:r>
    </w:p>
    <w:p w14:paraId="0608EE33" w14:textId="77777777" w:rsidR="009118A2" w:rsidRDefault="009118A2" w:rsidP="009118A2">
      <w:pPr>
        <w:pStyle w:val="StandardWeb"/>
        <w:numPr>
          <w:ilvl w:val="0"/>
          <w:numId w:val="9"/>
        </w:numPr>
      </w:pPr>
      <w:r>
        <w:rPr>
          <w:rStyle w:val="Fett"/>
        </w:rPr>
        <w:t>Geschwindigkeit:</w:t>
      </w:r>
      <w:r>
        <w:t xml:space="preserve"> </w:t>
      </w:r>
      <w:r>
        <w:rPr>
          <w:rStyle w:val="katex-mathml"/>
        </w:rPr>
        <w:t>v</w:t>
      </w:r>
      <w:r>
        <w:rPr>
          <w:rStyle w:val="katex-mathml"/>
          <w:rFonts w:ascii="Cambria Math" w:hAnsi="Cambria Math" w:cs="Cambria Math"/>
        </w:rPr>
        <w:t>⃗</w:t>
      </w:r>
      <w:r>
        <w:rPr>
          <w:rStyle w:val="katex-mathml"/>
        </w:rPr>
        <w:t>(t)=</w:t>
      </w:r>
      <w:proofErr w:type="spellStart"/>
      <w:r>
        <w:rPr>
          <w:rStyle w:val="katex-mathml"/>
        </w:rPr>
        <w:t>ddtr</w:t>
      </w:r>
      <w:proofErr w:type="spellEnd"/>
      <w:r>
        <w:rPr>
          <w:rStyle w:val="katex-mathml"/>
          <w:rFonts w:ascii="Cambria Math" w:hAnsi="Cambria Math" w:cs="Cambria Math"/>
        </w:rPr>
        <w:t>⃗</w:t>
      </w:r>
      <w:r>
        <w:rPr>
          <w:rStyle w:val="katex-mathml"/>
        </w:rPr>
        <w:t>(t)\</w:t>
      </w:r>
      <w:proofErr w:type="spellStart"/>
      <w:r>
        <w:rPr>
          <w:rStyle w:val="katex-mathml"/>
        </w:rPr>
        <w:t>vec</w:t>
      </w:r>
      <w:proofErr w:type="spellEnd"/>
      <w:r>
        <w:rPr>
          <w:rStyle w:val="katex-mathml"/>
        </w:rPr>
        <w:t>{v}(t) =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vec</w:t>
      </w:r>
      <w:proofErr w:type="spellEnd"/>
      <w:r>
        <w:rPr>
          <w:rStyle w:val="katex-mathml"/>
        </w:rPr>
        <w:t>{r}(</w:t>
      </w:r>
      <w:proofErr w:type="gramStart"/>
      <w:r>
        <w:rPr>
          <w:rStyle w:val="katex-mathml"/>
        </w:rPr>
        <w:t>t)</w:t>
      </w:r>
      <w:r>
        <w:rPr>
          <w:rStyle w:val="mord"/>
        </w:rPr>
        <w:t>v</w:t>
      </w:r>
      <w:proofErr w:type="gramEnd"/>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r</w:t>
      </w:r>
      <w:r>
        <w:rPr>
          <w:rStyle w:val="mopen"/>
        </w:rPr>
        <w:t>(</w:t>
      </w:r>
      <w:r>
        <w:rPr>
          <w:rStyle w:val="mord"/>
        </w:rPr>
        <w:t>t</w:t>
      </w:r>
      <w:r>
        <w:rPr>
          <w:rStyle w:val="mclose"/>
        </w:rPr>
        <w:t>)</w:t>
      </w:r>
    </w:p>
    <w:p w14:paraId="1FA6D4C0" w14:textId="77777777" w:rsidR="009118A2" w:rsidRDefault="009118A2" w:rsidP="009118A2">
      <w:pPr>
        <w:pStyle w:val="StandardWeb"/>
        <w:numPr>
          <w:ilvl w:val="0"/>
          <w:numId w:val="9"/>
        </w:numPr>
      </w:pPr>
      <w:r>
        <w:rPr>
          <w:rStyle w:val="Fett"/>
        </w:rPr>
        <w:t>Beschleunigung:</w:t>
      </w:r>
      <w:r>
        <w:t xml:space="preserve"> </w:t>
      </w:r>
      <w:r>
        <w:rPr>
          <w:rStyle w:val="katex-mathml"/>
        </w:rPr>
        <w:t>a</w:t>
      </w:r>
      <w:r>
        <w:rPr>
          <w:rStyle w:val="katex-mathml"/>
          <w:rFonts w:ascii="Cambria Math" w:hAnsi="Cambria Math" w:cs="Cambria Math"/>
        </w:rPr>
        <w:t>⃗</w:t>
      </w:r>
      <w:r>
        <w:rPr>
          <w:rStyle w:val="katex-mathml"/>
        </w:rPr>
        <w:t>(t)=d2dt2r</w:t>
      </w:r>
      <w:r>
        <w:rPr>
          <w:rStyle w:val="katex-mathml"/>
          <w:rFonts w:ascii="Cambria Math" w:hAnsi="Cambria Math" w:cs="Cambria Math"/>
        </w:rPr>
        <w:t>⃗</w:t>
      </w:r>
      <w:r>
        <w:rPr>
          <w:rStyle w:val="katex-mathml"/>
        </w:rPr>
        <w:t>(t)\</w:t>
      </w:r>
      <w:proofErr w:type="spellStart"/>
      <w:r>
        <w:rPr>
          <w:rStyle w:val="katex-mathml"/>
        </w:rPr>
        <w:t>vec</w:t>
      </w:r>
      <w:proofErr w:type="spellEnd"/>
      <w:r>
        <w:rPr>
          <w:rStyle w:val="katex-mathml"/>
        </w:rPr>
        <w:t>{a}(t) = \</w:t>
      </w:r>
      <w:proofErr w:type="spellStart"/>
      <w:r>
        <w:rPr>
          <w:rStyle w:val="katex-mathml"/>
        </w:rPr>
        <w:t>frac</w:t>
      </w:r>
      <w:proofErr w:type="spellEnd"/>
      <w:r>
        <w:rPr>
          <w:rStyle w:val="katex-mathml"/>
        </w:rPr>
        <w:t>{d^</w:t>
      </w:r>
      <w:proofErr w:type="gramStart"/>
      <w:r>
        <w:rPr>
          <w:rStyle w:val="katex-mathml"/>
        </w:rPr>
        <w:t>2}{</w:t>
      </w:r>
      <w:proofErr w:type="gramEnd"/>
      <w:r>
        <w:rPr>
          <w:rStyle w:val="katex-mathml"/>
        </w:rPr>
        <w:t>dt^2} \</w:t>
      </w:r>
      <w:proofErr w:type="spellStart"/>
      <w:r>
        <w:rPr>
          <w:rStyle w:val="katex-mathml"/>
        </w:rPr>
        <w:t>vec</w:t>
      </w:r>
      <w:proofErr w:type="spellEnd"/>
      <w:r>
        <w:rPr>
          <w:rStyle w:val="katex-mathml"/>
        </w:rPr>
        <w:t>{r}(t)</w:t>
      </w:r>
      <w:r>
        <w:rPr>
          <w:rStyle w:val="mord"/>
        </w:rPr>
        <w:t>a</w:t>
      </w:r>
      <w:r>
        <w:rPr>
          <w:rStyle w:val="mopen"/>
        </w:rPr>
        <w:t>(</w:t>
      </w:r>
      <w:r>
        <w:rPr>
          <w:rStyle w:val="mord"/>
        </w:rPr>
        <w:t>t</w:t>
      </w:r>
      <w:r>
        <w:rPr>
          <w:rStyle w:val="mclose"/>
        </w:rPr>
        <w:t>)</w:t>
      </w:r>
      <w:r>
        <w:rPr>
          <w:rStyle w:val="mrel"/>
        </w:rPr>
        <w:t>=</w:t>
      </w:r>
      <w:r>
        <w:rPr>
          <w:rStyle w:val="mord"/>
        </w:rPr>
        <w:t>dt2d2</w:t>
      </w:r>
      <w:r>
        <w:rPr>
          <w:rStyle w:val="vlist-s"/>
        </w:rPr>
        <w:t>​</w:t>
      </w:r>
      <w:r>
        <w:rPr>
          <w:rStyle w:val="mord"/>
        </w:rPr>
        <w:t>r</w:t>
      </w:r>
      <w:r>
        <w:rPr>
          <w:rStyle w:val="mopen"/>
        </w:rPr>
        <w:t>(</w:t>
      </w:r>
      <w:r>
        <w:rPr>
          <w:rStyle w:val="mord"/>
        </w:rPr>
        <w:t>t</w:t>
      </w:r>
      <w:r>
        <w:rPr>
          <w:rStyle w:val="mclose"/>
        </w:rPr>
        <w:t>)</w:t>
      </w:r>
    </w:p>
    <w:p w14:paraId="5E3C8265" w14:textId="77777777" w:rsidR="009118A2" w:rsidRDefault="009118A2" w:rsidP="009118A2">
      <w:pPr>
        <w:pStyle w:val="StandardWeb"/>
        <w:numPr>
          <w:ilvl w:val="0"/>
          <w:numId w:val="9"/>
        </w:numPr>
      </w:pPr>
      <w:r>
        <w:rPr>
          <w:rStyle w:val="Fett"/>
        </w:rPr>
        <w:t>Kraft (klassisch):</w:t>
      </w:r>
      <w:r>
        <w:t xml:space="preserve"> </w:t>
      </w:r>
      <w:r>
        <w:rPr>
          <w:rStyle w:val="katex-mathml"/>
        </w:rPr>
        <w:t>F</w:t>
      </w:r>
      <w:r>
        <w:rPr>
          <w:rStyle w:val="katex-mathml"/>
          <w:rFonts w:ascii="Cambria Math" w:hAnsi="Cambria Math" w:cs="Cambria Math"/>
        </w:rPr>
        <w:t>⃗</w:t>
      </w:r>
      <w:r>
        <w:rPr>
          <w:rStyle w:val="katex-mathml"/>
        </w:rPr>
        <w:t>(t)=</w:t>
      </w:r>
      <w:proofErr w:type="spellStart"/>
      <w:r>
        <w:rPr>
          <w:rStyle w:val="katex-mathml"/>
        </w:rPr>
        <w:t>m</w:t>
      </w:r>
      <w:r>
        <w:rPr>
          <w:rStyle w:val="katex-mathml"/>
          <w:rFonts w:ascii="Cambria Math" w:hAnsi="Cambria Math" w:cs="Cambria Math"/>
        </w:rPr>
        <w:t>⋅</w:t>
      </w:r>
      <w:r>
        <w:rPr>
          <w:rStyle w:val="katex-mathml"/>
        </w:rPr>
        <w:t>a</w:t>
      </w:r>
      <w:proofErr w:type="spellEnd"/>
      <w:r>
        <w:rPr>
          <w:rStyle w:val="katex-mathml"/>
          <w:rFonts w:ascii="Cambria Math" w:hAnsi="Cambria Math" w:cs="Cambria Math"/>
        </w:rPr>
        <w:t>⃗</w:t>
      </w:r>
      <w:r>
        <w:rPr>
          <w:rStyle w:val="katex-mathml"/>
        </w:rPr>
        <w:t>(t)\</w:t>
      </w:r>
      <w:proofErr w:type="spellStart"/>
      <w:r>
        <w:rPr>
          <w:rStyle w:val="katex-mathml"/>
        </w:rPr>
        <w:t>vec</w:t>
      </w:r>
      <w:proofErr w:type="spellEnd"/>
      <w:r>
        <w:rPr>
          <w:rStyle w:val="katex-mathml"/>
        </w:rPr>
        <w:t>{F}(t) = m \</w:t>
      </w:r>
      <w:proofErr w:type="spellStart"/>
      <w:r>
        <w:rPr>
          <w:rStyle w:val="katex-mathml"/>
        </w:rPr>
        <w:t>cdot</w:t>
      </w:r>
      <w:proofErr w:type="spellEnd"/>
      <w:r>
        <w:rPr>
          <w:rStyle w:val="katex-mathml"/>
        </w:rPr>
        <w:t xml:space="preserve"> \</w:t>
      </w:r>
      <w:proofErr w:type="spellStart"/>
      <w:r>
        <w:rPr>
          <w:rStyle w:val="katex-mathml"/>
        </w:rPr>
        <w:t>vec</w:t>
      </w:r>
      <w:proofErr w:type="spellEnd"/>
      <w:r>
        <w:rPr>
          <w:rStyle w:val="katex-mathml"/>
        </w:rPr>
        <w:t>{a}(</w:t>
      </w:r>
      <w:proofErr w:type="gramStart"/>
      <w:r>
        <w:rPr>
          <w:rStyle w:val="katex-mathml"/>
        </w:rPr>
        <w:t>t)</w:t>
      </w:r>
      <w:r>
        <w:rPr>
          <w:rStyle w:val="mord"/>
        </w:rPr>
        <w:t>F</w:t>
      </w:r>
      <w:proofErr w:type="gramEnd"/>
      <w:r>
        <w:rPr>
          <w:rStyle w:val="mopen"/>
        </w:rPr>
        <w:t>(</w:t>
      </w:r>
      <w:r>
        <w:rPr>
          <w:rStyle w:val="mord"/>
        </w:rPr>
        <w:t>t</w:t>
      </w:r>
      <w:r>
        <w:rPr>
          <w:rStyle w:val="mclose"/>
        </w:rPr>
        <w:t>)</w:t>
      </w:r>
      <w:r>
        <w:rPr>
          <w:rStyle w:val="mrel"/>
        </w:rPr>
        <w:t>=</w:t>
      </w:r>
      <w:proofErr w:type="spellStart"/>
      <w:r>
        <w:rPr>
          <w:rStyle w:val="mord"/>
        </w:rPr>
        <w:t>m</w:t>
      </w:r>
      <w:r>
        <w:rPr>
          <w:rStyle w:val="mbin"/>
          <w:rFonts w:ascii="Cambria Math" w:hAnsi="Cambria Math" w:cs="Cambria Math"/>
        </w:rPr>
        <w:t>⋅</w:t>
      </w:r>
      <w:r>
        <w:rPr>
          <w:rStyle w:val="mord"/>
        </w:rPr>
        <w:t>a</w:t>
      </w:r>
      <w:proofErr w:type="spellEnd"/>
      <w:r>
        <w:rPr>
          <w:rStyle w:val="mopen"/>
        </w:rPr>
        <w:t>(</w:t>
      </w:r>
      <w:r>
        <w:rPr>
          <w:rStyle w:val="mord"/>
        </w:rPr>
        <w:t>t</w:t>
      </w:r>
      <w:r>
        <w:rPr>
          <w:rStyle w:val="mclose"/>
        </w:rPr>
        <w:t>)</w:t>
      </w:r>
    </w:p>
    <w:p w14:paraId="526342D1" w14:textId="77777777" w:rsidR="009118A2" w:rsidRDefault="009118A2" w:rsidP="009118A2">
      <w:pPr>
        <w:pStyle w:val="StandardWeb"/>
      </w:pPr>
      <w:r>
        <w:t xml:space="preserve">Diese Größen folgen logisch aus der Ortsfunktion </w:t>
      </w:r>
      <w:r>
        <w:rPr>
          <w:rStyle w:val="katex-mathml"/>
        </w:rPr>
        <w:t>r</w:t>
      </w:r>
      <w:r>
        <w:rPr>
          <w:rStyle w:val="katex-mathml"/>
          <w:rFonts w:ascii="Cambria Math" w:hAnsi="Cambria Math" w:cs="Cambria Math"/>
        </w:rPr>
        <w:t>⃗</w:t>
      </w:r>
      <w:r>
        <w:rPr>
          <w:rStyle w:val="katex-mathml"/>
        </w:rPr>
        <w:t>(t)\</w:t>
      </w:r>
      <w:proofErr w:type="spellStart"/>
      <w:r>
        <w:rPr>
          <w:rStyle w:val="katex-mathml"/>
        </w:rPr>
        <w:t>vec</w:t>
      </w:r>
      <w:proofErr w:type="spellEnd"/>
      <w:r>
        <w:rPr>
          <w:rStyle w:val="katex-mathml"/>
        </w:rPr>
        <w:t>{r}(</w:t>
      </w:r>
      <w:proofErr w:type="gramStart"/>
      <w:r>
        <w:rPr>
          <w:rStyle w:val="katex-mathml"/>
        </w:rPr>
        <w:t>t)</w:t>
      </w:r>
      <w:r>
        <w:rPr>
          <w:rStyle w:val="mord"/>
        </w:rPr>
        <w:t>r</w:t>
      </w:r>
      <w:proofErr w:type="gramEnd"/>
      <w:r>
        <w:rPr>
          <w:rStyle w:val="mopen"/>
        </w:rPr>
        <w:t>(</w:t>
      </w:r>
      <w:r>
        <w:rPr>
          <w:rStyle w:val="mord"/>
        </w:rPr>
        <w:t>t</w:t>
      </w:r>
      <w:r>
        <w:rPr>
          <w:rStyle w:val="mclose"/>
        </w:rPr>
        <w:t>)</w:t>
      </w:r>
      <w:r>
        <w:t xml:space="preserve"> und machen das Modell nicht nur mathematisch konsistent, sondern auch experimentell überprüfbar [22].</w:t>
      </w:r>
    </w:p>
    <w:p w14:paraId="45073BDE" w14:textId="77777777" w:rsidR="009118A2" w:rsidRDefault="009118A2" w:rsidP="009118A2">
      <w:pPr>
        <w:pStyle w:val="berschrift4"/>
      </w:pPr>
      <w:r>
        <w:lastRenderedPageBreak/>
        <w:t>5.5.3 Vergleichbarkeit und Reproduzierbarkeit</w:t>
      </w:r>
    </w:p>
    <w:p w14:paraId="41909BB9" w14:textId="77777777" w:rsidR="009118A2" w:rsidRDefault="009118A2" w:rsidP="009118A2">
      <w:pPr>
        <w:pStyle w:val="StandardWeb"/>
      </w:pPr>
      <w:r>
        <w:t>Funktionale Modelle ermöglichen eine standardisierte Darstellung physikalischer Systeme, wodurch Experimente, Simulationen und theoretische Analysen vergleichbar und reproduzierbar werden. Dies ist ein wesentlicher Bestandteil moderner wissenschaftlicher Praxis, insbesondere in den Natur- und Ingenieurwissenschaften [23].</w:t>
      </w:r>
    </w:p>
    <w:p w14:paraId="63B2ED82" w14:textId="77777777" w:rsidR="009118A2" w:rsidRDefault="009118A2" w:rsidP="009118A2">
      <w:pPr>
        <w:pStyle w:val="berschrift4"/>
      </w:pPr>
      <w:r>
        <w:t>5.5.4 Simulation und Vorhersage</w:t>
      </w:r>
    </w:p>
    <w:p w14:paraId="624E843E" w14:textId="77777777" w:rsidR="009118A2" w:rsidRDefault="009118A2" w:rsidP="009118A2">
      <w:pPr>
        <w:pStyle w:val="StandardWeb"/>
      </w:pPr>
      <w:r>
        <w:t>Die funktionale Struktur von Modellen erlaubt eine direkte Anwendung in numerischen Simulationsverfahren. Auf Basis bekannter Anfangsbedingungen können zukünftige Zustände berechnet werden – etwa für:</w:t>
      </w:r>
    </w:p>
    <w:p w14:paraId="79342D90" w14:textId="77777777" w:rsidR="009118A2" w:rsidRDefault="009118A2" w:rsidP="009118A2">
      <w:pPr>
        <w:pStyle w:val="StandardWeb"/>
        <w:numPr>
          <w:ilvl w:val="0"/>
          <w:numId w:val="10"/>
        </w:numPr>
      </w:pPr>
      <w:r>
        <w:t>Raumfahrt (Bahnverfolgung von Satelliten)</w:t>
      </w:r>
    </w:p>
    <w:p w14:paraId="61C4F4DB" w14:textId="77777777" w:rsidR="009118A2" w:rsidRDefault="009118A2" w:rsidP="009118A2">
      <w:pPr>
        <w:pStyle w:val="StandardWeb"/>
        <w:numPr>
          <w:ilvl w:val="0"/>
          <w:numId w:val="10"/>
        </w:numPr>
      </w:pPr>
      <w:r>
        <w:t>Robotik (Bewegungsplanung)</w:t>
      </w:r>
    </w:p>
    <w:p w14:paraId="5BF26606" w14:textId="77777777" w:rsidR="009118A2" w:rsidRDefault="009118A2" w:rsidP="009118A2">
      <w:pPr>
        <w:pStyle w:val="StandardWeb"/>
        <w:numPr>
          <w:ilvl w:val="0"/>
          <w:numId w:val="10"/>
        </w:numPr>
      </w:pPr>
      <w:r>
        <w:t>Meteorologie (Strömungssimulationen)</w:t>
      </w:r>
    </w:p>
    <w:p w14:paraId="7D40E6AB" w14:textId="77777777" w:rsidR="009118A2" w:rsidRDefault="009118A2" w:rsidP="009118A2">
      <w:pPr>
        <w:pStyle w:val="StandardWeb"/>
      </w:pPr>
      <w:r>
        <w:t>Simulationen sind im FRZK nicht „Annäherungen“, sondern formale Fortsetzungen expliziter Funktionen [24].</w:t>
      </w:r>
    </w:p>
    <w:p w14:paraId="3DDE1CF1" w14:textId="77777777" w:rsidR="009118A2" w:rsidRDefault="009118A2" w:rsidP="009118A2">
      <w:pPr>
        <w:pStyle w:val="berschrift4"/>
      </w:pPr>
      <w:r>
        <w:t>5.5.5 Übertragbarkeit auf andere Systeme</w:t>
      </w:r>
    </w:p>
    <w:p w14:paraId="0D0915E8" w14:textId="77777777" w:rsidR="009118A2" w:rsidRDefault="009118A2" w:rsidP="009118A2">
      <w:pPr>
        <w:pStyle w:val="StandardWeb"/>
      </w:pPr>
      <w:r>
        <w:t>Ein didaktischer wie wissenschaftlicher Vorteil besteht in der Modellübertragbarkeit. Das zugrunde liegende funktionale Konzept lässt sich anwenden auf:</w:t>
      </w:r>
    </w:p>
    <w:p w14:paraId="309A1C48" w14:textId="77777777" w:rsidR="009118A2" w:rsidRDefault="009118A2" w:rsidP="009118A2">
      <w:pPr>
        <w:pStyle w:val="StandardWeb"/>
        <w:numPr>
          <w:ilvl w:val="0"/>
          <w:numId w:val="11"/>
        </w:numPr>
      </w:pPr>
      <w:r>
        <w:t>klassische Mechanik (Translation, Rotation)</w:t>
      </w:r>
    </w:p>
    <w:p w14:paraId="233BB612" w14:textId="77777777" w:rsidR="009118A2" w:rsidRDefault="009118A2" w:rsidP="009118A2">
      <w:pPr>
        <w:pStyle w:val="StandardWeb"/>
        <w:numPr>
          <w:ilvl w:val="0"/>
          <w:numId w:val="11"/>
        </w:numPr>
      </w:pPr>
      <w:r>
        <w:t xml:space="preserve">Elektrodynamik (Felder als Funktionen </w:t>
      </w:r>
      <w:r>
        <w:rPr>
          <w:rStyle w:val="katex-mathml"/>
        </w:rPr>
        <w:t>E</w:t>
      </w:r>
      <w:r>
        <w:rPr>
          <w:rStyle w:val="katex-mathml"/>
          <w:rFonts w:ascii="Cambria Math" w:hAnsi="Cambria Math" w:cs="Cambria Math"/>
        </w:rPr>
        <w:t>⃗</w:t>
      </w:r>
      <w:r>
        <w:rPr>
          <w:rStyle w:val="katex-mathml"/>
        </w:rPr>
        <w:t>(</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vec</w:t>
      </w:r>
      <w:proofErr w:type="spellEnd"/>
      <w:r>
        <w:rPr>
          <w:rStyle w:val="katex-mathml"/>
        </w:rPr>
        <w:t>{E}(x, y, z, 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w:t>
      </w:r>
    </w:p>
    <w:p w14:paraId="44C4A80E" w14:textId="77777777" w:rsidR="009118A2" w:rsidRDefault="009118A2" w:rsidP="009118A2">
      <w:pPr>
        <w:pStyle w:val="StandardWeb"/>
        <w:numPr>
          <w:ilvl w:val="0"/>
          <w:numId w:val="11"/>
        </w:numPr>
      </w:pPr>
      <w:r>
        <w:t xml:space="preserve">Thermodynamik (Temperaturverteilungen </w:t>
      </w:r>
      <w:r>
        <w:rPr>
          <w:rStyle w:val="katex-mathml"/>
        </w:rPr>
        <w:t>T(</w:t>
      </w:r>
      <w:proofErr w:type="spellStart"/>
      <w:proofErr w:type="gramStart"/>
      <w:r>
        <w:rPr>
          <w:rStyle w:val="katex-mathml"/>
        </w:rPr>
        <w:t>x,y</w:t>
      </w:r>
      <w:proofErr w:type="gramEnd"/>
      <w:r>
        <w:rPr>
          <w:rStyle w:val="katex-mathml"/>
        </w:rPr>
        <w:t>,z,t</w:t>
      </w:r>
      <w:proofErr w:type="spellEnd"/>
      <w:r>
        <w:rPr>
          <w:rStyle w:val="katex-mathml"/>
        </w:rPr>
        <w:t>)T(x, y, z, t)</w:t>
      </w:r>
      <w:r>
        <w:rPr>
          <w:rStyle w:val="mord"/>
        </w:rPr>
        <w:t>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w:t>
      </w:r>
    </w:p>
    <w:p w14:paraId="477000EB" w14:textId="77777777" w:rsidR="009118A2" w:rsidRDefault="009118A2" w:rsidP="009118A2">
      <w:pPr>
        <w:pStyle w:val="StandardWeb"/>
        <w:numPr>
          <w:ilvl w:val="0"/>
          <w:numId w:val="11"/>
        </w:numPr>
      </w:pPr>
      <w:r>
        <w:t xml:space="preserve">Quantenmechanik (Wellenfunktionen </w:t>
      </w:r>
      <w:r>
        <w:rPr>
          <w:rStyle w:val="katex-mathml"/>
        </w:rPr>
        <w:t>ψ(</w:t>
      </w:r>
      <w:proofErr w:type="spellStart"/>
      <w:proofErr w:type="gramStart"/>
      <w:r>
        <w:rPr>
          <w:rStyle w:val="katex-mathml"/>
        </w:rPr>
        <w:t>x,t</w:t>
      </w:r>
      <w:proofErr w:type="spellEnd"/>
      <w:proofErr w:type="gramEnd"/>
      <w:r>
        <w:rPr>
          <w:rStyle w:val="katex-mathml"/>
        </w:rPr>
        <w:t>)\</w:t>
      </w:r>
      <w:proofErr w:type="spellStart"/>
      <w:r>
        <w:rPr>
          <w:rStyle w:val="katex-mathml"/>
        </w:rPr>
        <w:t>psi</w:t>
      </w:r>
      <w:proofErr w:type="spellEnd"/>
      <w:r>
        <w:rPr>
          <w:rStyle w:val="katex-mathml"/>
        </w:rPr>
        <w:t>(x, t)</w:t>
      </w:r>
      <w:r>
        <w:rPr>
          <w:rStyle w:val="mord"/>
        </w:rPr>
        <w:t>ψ</w:t>
      </w:r>
      <w:r>
        <w:rPr>
          <w:rStyle w:val="mopen"/>
        </w:rPr>
        <w:t>(</w:t>
      </w:r>
      <w:proofErr w:type="spellStart"/>
      <w:r>
        <w:rPr>
          <w:rStyle w:val="mord"/>
        </w:rPr>
        <w:t>x</w:t>
      </w:r>
      <w:r>
        <w:rPr>
          <w:rStyle w:val="mpunct"/>
        </w:rPr>
        <w:t>,</w:t>
      </w:r>
      <w:r>
        <w:rPr>
          <w:rStyle w:val="mord"/>
        </w:rPr>
        <w:t>t</w:t>
      </w:r>
      <w:proofErr w:type="spellEnd"/>
      <w:r>
        <w:rPr>
          <w:rStyle w:val="mclose"/>
        </w:rPr>
        <w:t>)</w:t>
      </w:r>
      <w:r>
        <w:t>)</w:t>
      </w:r>
    </w:p>
    <w:p w14:paraId="2EE01D6D" w14:textId="77777777" w:rsidR="009118A2" w:rsidRDefault="009118A2" w:rsidP="009118A2">
      <w:pPr>
        <w:pStyle w:val="StandardWeb"/>
      </w:pPr>
      <w:r>
        <w:t xml:space="preserve">Diese Anschlussfähigkeit macht das FRZK zu einer </w:t>
      </w:r>
      <w:proofErr w:type="spellStart"/>
      <w:r>
        <w:t>pluridisziplinären</w:t>
      </w:r>
      <w:proofErr w:type="spellEnd"/>
      <w:r>
        <w:t xml:space="preserve"> Modellstruktur [25].</w:t>
      </w:r>
    </w:p>
    <w:p w14:paraId="66D5A135" w14:textId="77777777" w:rsidR="009118A2" w:rsidRDefault="009118A2" w:rsidP="009118A2">
      <w:pPr>
        <w:pStyle w:val="berschrift4"/>
      </w:pPr>
      <w:r>
        <w:t>5.5.6 Transformation zwischen Bezugssystemen</w:t>
      </w:r>
    </w:p>
    <w:p w14:paraId="2C965A74" w14:textId="77777777" w:rsidR="009118A2" w:rsidRDefault="009118A2" w:rsidP="009118A2">
      <w:pPr>
        <w:pStyle w:val="StandardWeb"/>
      </w:pPr>
      <w:r>
        <w:t xml:space="preserve">Die explizite Funktionsstruktur erlaubt mathematisch exakte Transformationen in andere Bezugssysteme (z. B. Galilei- oder </w:t>
      </w:r>
      <w:proofErr w:type="spellStart"/>
      <w:r>
        <w:t>Lorentztransformation</w:t>
      </w:r>
      <w:proofErr w:type="spellEnd"/>
      <w:r>
        <w:t>). Dadurch ist das FRZK anschlussfähig an die klassischen und relativistischen Theorien der Physik und bildet die Basis für systematische Modellvergleiche – etwa zwischen Inertialsystemen oder beschleunigten Bezugssystemen [26].</w:t>
      </w:r>
    </w:p>
    <w:p w14:paraId="68F3B494" w14:textId="77777777" w:rsidR="009118A2" w:rsidRDefault="009118A2" w:rsidP="009118A2">
      <w:pPr>
        <w:pStyle w:val="berschrift3"/>
      </w:pPr>
      <w:r>
        <w:t>5.6 Visualisierung als didaktisches Instrument</w:t>
      </w:r>
    </w:p>
    <w:p w14:paraId="68638B39" w14:textId="77777777" w:rsidR="009118A2" w:rsidRDefault="009118A2" w:rsidP="009118A2">
      <w:pPr>
        <w:pStyle w:val="StandardWeb"/>
      </w:pPr>
      <w:r>
        <w:t>Die explizite Formulierung physikalischer Bewegung über Zeitfunktionen im Funktionalen Raum-Zeit-Koordinatensystem (FRZK) ermöglicht nicht nur mathematische Präzision, sondern eröffnet auch neue Zugänge zur didaktisch fundierten Visualisierung physikalischer Prozesse. Visualisierungen wirken dabei als kognitiv unterstützende Brücke zwischen abstrakter Funktion und erfahrbarer Bewegung.</w:t>
      </w:r>
    </w:p>
    <w:p w14:paraId="4DE0F468" w14:textId="77777777" w:rsidR="009118A2" w:rsidRDefault="009118A2" w:rsidP="009118A2">
      <w:pPr>
        <w:pStyle w:val="berschrift4"/>
      </w:pPr>
      <w:r>
        <w:lastRenderedPageBreak/>
        <w:t>5.6.1 Lernpsychologische Funktion von Visualisierungen</w:t>
      </w:r>
    </w:p>
    <w:p w14:paraId="4A0D066F" w14:textId="77777777" w:rsidR="009118A2" w:rsidRDefault="009118A2" w:rsidP="009118A2">
      <w:pPr>
        <w:pStyle w:val="StandardWeb"/>
      </w:pPr>
      <w:r>
        <w:t>Kognitive Theorien des Lernens betonen, dass Konzepte besonders dann nachhaltig verstanden werden, wenn sie multimodal repräsentiert sind – d. h. gleichzeitig verbal, mathematisch, visuell und interaktiv. Mayer hebt in seinem „</w:t>
      </w:r>
      <w:proofErr w:type="spellStart"/>
      <w:r>
        <w:t>Cognitive</w:t>
      </w:r>
      <w:proofErr w:type="spellEnd"/>
      <w:r>
        <w:t xml:space="preserve"> Theory </w:t>
      </w:r>
      <w:proofErr w:type="spellStart"/>
      <w:r>
        <w:t>of</w:t>
      </w:r>
      <w:proofErr w:type="spellEnd"/>
      <w:r>
        <w:t xml:space="preserve"> Multimedia Learning“ hervor, dass das Verstehen durch Visualisierung erheblich verbessert wird, sofern diese strukturiert und zielgerichtet erfolgt [27].</w:t>
      </w:r>
    </w:p>
    <w:p w14:paraId="70BCA331" w14:textId="77777777" w:rsidR="009118A2" w:rsidRDefault="009118A2" w:rsidP="009118A2">
      <w:pPr>
        <w:pStyle w:val="StandardWeb"/>
      </w:pPr>
      <w:r>
        <w:t xml:space="preserve">Im Kontext funktionaler Modellierung bedeutet dies: Die Darstellung von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als bewegte Kurve, animierter Punkt oder interaktive 3D-Grafik unterstützt das tiefere Verständnis von:</w:t>
      </w:r>
    </w:p>
    <w:p w14:paraId="0FCD8AF6" w14:textId="77777777" w:rsidR="009118A2" w:rsidRDefault="009118A2" w:rsidP="009118A2">
      <w:pPr>
        <w:pStyle w:val="StandardWeb"/>
        <w:numPr>
          <w:ilvl w:val="0"/>
          <w:numId w:val="12"/>
        </w:numPr>
      </w:pPr>
      <w:r>
        <w:t>Bewegungsrichtung und Verlauf</w:t>
      </w:r>
    </w:p>
    <w:p w14:paraId="5B58B218" w14:textId="77777777" w:rsidR="009118A2" w:rsidRDefault="009118A2" w:rsidP="009118A2">
      <w:pPr>
        <w:pStyle w:val="StandardWeb"/>
        <w:numPr>
          <w:ilvl w:val="0"/>
          <w:numId w:val="12"/>
        </w:numPr>
      </w:pPr>
      <w:r>
        <w:t>Frequenz, Amplitude, Periodizität</w:t>
      </w:r>
    </w:p>
    <w:p w14:paraId="74B51B6E" w14:textId="77777777" w:rsidR="009118A2" w:rsidRDefault="009118A2" w:rsidP="009118A2">
      <w:pPr>
        <w:pStyle w:val="StandardWeb"/>
        <w:numPr>
          <w:ilvl w:val="0"/>
          <w:numId w:val="12"/>
        </w:numPr>
      </w:pPr>
      <w:r>
        <w:t>Korrelationen zwischen Dimensionen</w:t>
      </w:r>
    </w:p>
    <w:p w14:paraId="62EA4D8F" w14:textId="77777777" w:rsidR="009118A2" w:rsidRDefault="009118A2" w:rsidP="009118A2">
      <w:pPr>
        <w:pStyle w:val="StandardWeb"/>
      </w:pPr>
      <w:r>
        <w:t>Studierende lernen dadurch nicht nur „was Bewegung ist“, sondern auch wie Bewegung entsteht, wenn man die zugrundeliegenden Funktionen verändert.</w:t>
      </w:r>
    </w:p>
    <w:p w14:paraId="51AE57DE" w14:textId="77777777" w:rsidR="009118A2" w:rsidRDefault="009118A2" w:rsidP="009118A2">
      <w:pPr>
        <w:pStyle w:val="berschrift4"/>
      </w:pPr>
      <w:r>
        <w:t>5.6.2 Exploratives Lernen durch Parameterveränderung</w:t>
      </w:r>
    </w:p>
    <w:p w14:paraId="286DAF39" w14:textId="77777777" w:rsidR="009118A2" w:rsidRDefault="009118A2" w:rsidP="009118A2">
      <w:pPr>
        <w:pStyle w:val="StandardWeb"/>
      </w:pPr>
      <w:r>
        <w:t>Das FRZK ermöglicht ein exploratives Lernsetting: Durch die gezielte Variation einzelner Funktionsparameter können Lernende untersuchen, wie sich das Systemverhalten verändert. Beispielhafte Fragestellungen:</w:t>
      </w:r>
    </w:p>
    <w:p w14:paraId="12E7F3CD" w14:textId="77777777" w:rsidR="009118A2" w:rsidRDefault="009118A2" w:rsidP="009118A2">
      <w:pPr>
        <w:pStyle w:val="StandardWeb"/>
        <w:numPr>
          <w:ilvl w:val="0"/>
          <w:numId w:val="13"/>
        </w:numPr>
      </w:pPr>
      <w:r>
        <w:t xml:space="preserve">Was passiert bei einer Verdopplung von </w:t>
      </w:r>
      <w:r>
        <w:rPr>
          <w:rStyle w:val="katex-mathml"/>
        </w:rPr>
        <w:t>ω\</w:t>
      </w:r>
      <w:proofErr w:type="spellStart"/>
      <w:r>
        <w:rPr>
          <w:rStyle w:val="katex-mathml"/>
        </w:rPr>
        <w:t>omega</w:t>
      </w:r>
      <w:r>
        <w:rPr>
          <w:rStyle w:val="mord"/>
        </w:rPr>
        <w:t>ω</w:t>
      </w:r>
      <w:proofErr w:type="spellEnd"/>
      <w:r>
        <w:t>?</w:t>
      </w:r>
    </w:p>
    <w:p w14:paraId="6780CDFF" w14:textId="77777777" w:rsidR="009118A2" w:rsidRDefault="009118A2" w:rsidP="009118A2">
      <w:pPr>
        <w:pStyle w:val="StandardWeb"/>
        <w:numPr>
          <w:ilvl w:val="0"/>
          <w:numId w:val="13"/>
        </w:numPr>
      </w:pPr>
      <w:r>
        <w:t>Wie wirkt sich eine Phasenverschiebung auf den Bewegungsverlauf aus?</w:t>
      </w:r>
    </w:p>
    <w:p w14:paraId="536B9743" w14:textId="77777777" w:rsidR="009118A2" w:rsidRDefault="009118A2" w:rsidP="009118A2">
      <w:pPr>
        <w:pStyle w:val="StandardWeb"/>
        <w:numPr>
          <w:ilvl w:val="0"/>
          <w:numId w:val="13"/>
        </w:numPr>
      </w:pPr>
      <w:r>
        <w:t xml:space="preserve">Was bedeutet eine negative Amplitude im Kontext von </w:t>
      </w:r>
      <w:r>
        <w:rPr>
          <w:rStyle w:val="katex-mathml"/>
        </w:rPr>
        <w:t>z(t)z(t)</w:t>
      </w:r>
      <w:r>
        <w:rPr>
          <w:rStyle w:val="mord"/>
        </w:rPr>
        <w:t>z</w:t>
      </w:r>
      <w:r>
        <w:rPr>
          <w:rStyle w:val="mopen"/>
        </w:rPr>
        <w:t>(</w:t>
      </w:r>
      <w:r>
        <w:rPr>
          <w:rStyle w:val="mord"/>
        </w:rPr>
        <w:t>t</w:t>
      </w:r>
      <w:r>
        <w:rPr>
          <w:rStyle w:val="mclose"/>
        </w:rPr>
        <w:t>)</w:t>
      </w:r>
      <w:r>
        <w:t>?</w:t>
      </w:r>
    </w:p>
    <w:p w14:paraId="6196C732" w14:textId="77777777" w:rsidR="009118A2" w:rsidRDefault="009118A2" w:rsidP="009118A2">
      <w:pPr>
        <w:pStyle w:val="StandardWeb"/>
      </w:pPr>
      <w:r>
        <w:t>Solche explorativen Aktivitäten fördern ein aktives, hypothesenbasiertes Lernen, wie es von der aktuellen Bildungsforschung als besonders effektiv eingeschätzt wird [28]. Die Lernenden agieren nicht mehr als passive Beobachter, sondern als Modellierer und Experimentatoren im digitalen Raum.</w:t>
      </w:r>
    </w:p>
    <w:p w14:paraId="7064AB8B" w14:textId="77777777" w:rsidR="009118A2" w:rsidRDefault="009118A2" w:rsidP="009118A2">
      <w:pPr>
        <w:pStyle w:val="berschrift4"/>
      </w:pPr>
      <w:r>
        <w:t>5.6.3 Didaktische Potenziale dynamischer Visualisierungen</w:t>
      </w:r>
    </w:p>
    <w:p w14:paraId="6115E04A" w14:textId="77777777" w:rsidR="009118A2" w:rsidRDefault="009118A2" w:rsidP="009118A2">
      <w:pPr>
        <w:pStyle w:val="StandardWeb"/>
      </w:pPr>
      <w:r>
        <w:t>Dynamische Visualisierungen – z. B. mit Hilfe von Simulationssoftware, graphischen Rechnern oder interaktiven Applets – unterstützen:</w:t>
      </w:r>
    </w:p>
    <w:p w14:paraId="1F4A6D32" w14:textId="77777777" w:rsidR="009118A2" w:rsidRDefault="009118A2" w:rsidP="009118A2">
      <w:pPr>
        <w:pStyle w:val="StandardWeb"/>
        <w:numPr>
          <w:ilvl w:val="0"/>
          <w:numId w:val="14"/>
        </w:numPr>
      </w:pPr>
      <w:r>
        <w:t>Konzeptverständnis (Bewegung als Veränderung einer Funktion)</w:t>
      </w:r>
    </w:p>
    <w:p w14:paraId="054BE9BD" w14:textId="77777777" w:rsidR="009118A2" w:rsidRDefault="009118A2" w:rsidP="009118A2">
      <w:pPr>
        <w:pStyle w:val="StandardWeb"/>
        <w:numPr>
          <w:ilvl w:val="0"/>
          <w:numId w:val="14"/>
        </w:numPr>
      </w:pPr>
      <w:r>
        <w:t>Modellbewusstsein (Verständnis der Bedeutung von Parametern)</w:t>
      </w:r>
    </w:p>
    <w:p w14:paraId="4C52B194" w14:textId="77777777" w:rsidR="009118A2" w:rsidRDefault="009118A2" w:rsidP="009118A2">
      <w:pPr>
        <w:pStyle w:val="StandardWeb"/>
        <w:numPr>
          <w:ilvl w:val="0"/>
          <w:numId w:val="14"/>
        </w:numPr>
      </w:pPr>
      <w:r>
        <w:t>Fehlersensibilität (Erkennen unplausibler Modellverläufe)</w:t>
      </w:r>
    </w:p>
    <w:p w14:paraId="1B736444" w14:textId="77777777" w:rsidR="009118A2" w:rsidRDefault="009118A2" w:rsidP="009118A2">
      <w:pPr>
        <w:pStyle w:val="StandardWeb"/>
        <w:numPr>
          <w:ilvl w:val="0"/>
          <w:numId w:val="14"/>
        </w:numPr>
      </w:pPr>
      <w:r>
        <w:t>Transferfähigkeit (Anwendung des Funktionsprinzips auf neue Systeme)</w:t>
      </w:r>
    </w:p>
    <w:p w14:paraId="34DA54F4" w14:textId="77777777" w:rsidR="009118A2" w:rsidRDefault="009118A2" w:rsidP="009118A2">
      <w:pPr>
        <w:pStyle w:val="StandardWeb"/>
      </w:pPr>
      <w:r>
        <w:t>Zugleich ermöglichen sie eine differenzierte Diagnose individueller Lernstände, etwa über Beschreibungsaufgaben zu gezeigten Bewegungsverläufen.</w:t>
      </w:r>
    </w:p>
    <w:p w14:paraId="36F9DCB9" w14:textId="77777777" w:rsidR="009118A2" w:rsidRDefault="009118A2" w:rsidP="009118A2">
      <w:pPr>
        <w:pStyle w:val="berschrift4"/>
      </w:pPr>
      <w:r>
        <w:t>5.6.4 Verknüpfung von Theorie, Praxis und Technologie</w:t>
      </w:r>
    </w:p>
    <w:p w14:paraId="2A957502" w14:textId="77777777" w:rsidR="009118A2" w:rsidRDefault="009118A2" w:rsidP="009118A2">
      <w:pPr>
        <w:pStyle w:val="StandardWeb"/>
      </w:pPr>
      <w:r>
        <w:t xml:space="preserve">Durch den Einsatz von Visualisierungen im FRZK gelingt eine sinnvolle Verbindung zwischen theoretischer Modellierung, experimenteller Praxis und digitaler </w:t>
      </w:r>
      <w:r>
        <w:lastRenderedPageBreak/>
        <w:t>Technologiekompetenz. Lernende erkennen, dass physikalisches Wissen nicht nur aus Formelwissen besteht, sondern auch aus der Fähigkeit, Modelle zu interpretieren, darzustellen und zu modifizieren [29].</w:t>
      </w:r>
    </w:p>
    <w:p w14:paraId="42B6925C" w14:textId="77777777" w:rsidR="009118A2" w:rsidRDefault="009118A2" w:rsidP="009118A2">
      <w:pPr>
        <w:pStyle w:val="StandardWeb"/>
      </w:pPr>
      <w:r>
        <w:t>Diese Kompetenzen sind nicht nur zentral für den schulischen und universitären Physikunterricht, sondern auch für ingenieurwissenschaftliche, medizinische und technologische Studiengänge, in denen Visualisierungen zunehmend als forschungsleitende Werkzeuge dienen.</w:t>
      </w:r>
    </w:p>
    <w:p w14:paraId="0C56E859" w14:textId="77777777" w:rsidR="009118A2" w:rsidRDefault="009118A2" w:rsidP="009118A2">
      <w:pPr>
        <w:pStyle w:val="berschrift3"/>
      </w:pPr>
      <w:r>
        <w:t>5.7 Wissenschaftlicher und methodologischer Nutzen</w:t>
      </w:r>
    </w:p>
    <w:p w14:paraId="7D1C4E5C" w14:textId="77777777" w:rsidR="009118A2" w:rsidRDefault="009118A2" w:rsidP="009118A2">
      <w:pPr>
        <w:pStyle w:val="StandardWeb"/>
      </w:pPr>
      <w:r>
        <w:t>Das Funktionale Raum-Zeit-Koordinatensystem (FRZK) stellt nicht nur ein didaktisches Werkzeug dar, sondern bildet zugleich eine leistungsfähige wissenschaftliche Modellstruktur mit breiter methodologischer Anschlussfähigkeit. Es ermöglicht eine konsistente, funktional differenzierte und erkenntnistheoretisch fundierte Modellierung physikalischer Systeme und lässt sich in verschiedenste Kontexte wissenschaftlicher Praxis und Lehre übertragen.</w:t>
      </w:r>
    </w:p>
    <w:p w14:paraId="41F709D2" w14:textId="77777777" w:rsidR="009118A2" w:rsidRDefault="009118A2" w:rsidP="009118A2">
      <w:pPr>
        <w:pStyle w:val="berschrift4"/>
      </w:pPr>
      <w:r>
        <w:t>5.7.1 Strukturelle Vereinheitlichung physikalischer Modelle</w:t>
      </w:r>
    </w:p>
    <w:p w14:paraId="3D40946E" w14:textId="77777777" w:rsidR="009118A2" w:rsidRDefault="009118A2" w:rsidP="009118A2">
      <w:pPr>
        <w:pStyle w:val="StandardWeb"/>
      </w:pPr>
      <w:r>
        <w:t>Ein zentraler wissenschaftlicher Vorteil des FRZK liegt in der strukturellen Vereinheitlichung der Beschreibung physikalischer Systeme. Bewegungen, Felder, Schwingungen oder Kräfte werden als Zeitfunktionen in einem konsistenten funktionalen Koordinatensystem dargestellt. Das erlaubt eine systematische Klassifikation und Analyse unterschiedlicher Phänomene in einem gemeinsamen mathematischen Rahmen – unabhängig von Maßstab oder Materialität [30].</w:t>
      </w:r>
    </w:p>
    <w:p w14:paraId="718B2350" w14:textId="77777777" w:rsidR="009118A2" w:rsidRDefault="009118A2" w:rsidP="009118A2">
      <w:pPr>
        <w:pStyle w:val="berschrift4"/>
      </w:pPr>
      <w:r>
        <w:t>5.7.2 Methodische Transparenz</w:t>
      </w:r>
    </w:p>
    <w:p w14:paraId="01D6AEB9" w14:textId="77777777" w:rsidR="009118A2" w:rsidRDefault="009118A2" w:rsidP="009118A2">
      <w:pPr>
        <w:pStyle w:val="StandardWeb"/>
      </w:pPr>
      <w:r>
        <w:t>Durch die explizite Angabe von Zeitfunktionen, Anfangsbedingungen und Transformationsregeln erfüllt das FRZK die grundlegenden Anforderungen an methodische Transparenz moderner Wissenschaft:</w:t>
      </w:r>
    </w:p>
    <w:p w14:paraId="23F9B006" w14:textId="77777777" w:rsidR="009118A2" w:rsidRDefault="009118A2" w:rsidP="009118A2">
      <w:pPr>
        <w:pStyle w:val="StandardWeb"/>
        <w:numPr>
          <w:ilvl w:val="0"/>
          <w:numId w:val="15"/>
        </w:numPr>
      </w:pPr>
      <w:r>
        <w:t>Alle Modellannahmen sind offen dokumentiert</w:t>
      </w:r>
    </w:p>
    <w:p w14:paraId="3CE28E3B" w14:textId="77777777" w:rsidR="009118A2" w:rsidRDefault="009118A2" w:rsidP="009118A2">
      <w:pPr>
        <w:pStyle w:val="StandardWeb"/>
        <w:numPr>
          <w:ilvl w:val="0"/>
          <w:numId w:val="15"/>
        </w:numPr>
      </w:pPr>
      <w:r>
        <w:t>Modelle sind vollständig reproduzierbar und nachvollziehbar</w:t>
      </w:r>
    </w:p>
    <w:p w14:paraId="5A7732D1" w14:textId="77777777" w:rsidR="009118A2" w:rsidRDefault="009118A2" w:rsidP="009118A2">
      <w:pPr>
        <w:pStyle w:val="StandardWeb"/>
        <w:numPr>
          <w:ilvl w:val="0"/>
          <w:numId w:val="15"/>
        </w:numPr>
      </w:pPr>
      <w:r>
        <w:t>Vergleichbarkeit zwischen unterschiedlichen Modellen wird systematisch möglich</w:t>
      </w:r>
    </w:p>
    <w:p w14:paraId="29E55D69" w14:textId="77777777" w:rsidR="009118A2" w:rsidRDefault="009118A2" w:rsidP="009118A2">
      <w:pPr>
        <w:pStyle w:val="StandardWeb"/>
      </w:pPr>
      <w:r>
        <w:t>Diese Transparenz entspricht dem Prinzip der „offenen Modellstruktur“, wie sie in der aktuellen Modelltheorie als Voraussetzung für kumulative Wissenschaft gilt [31].</w:t>
      </w:r>
    </w:p>
    <w:p w14:paraId="5F3D44AF" w14:textId="77777777" w:rsidR="009118A2" w:rsidRDefault="009118A2" w:rsidP="009118A2">
      <w:pPr>
        <w:pStyle w:val="berschrift4"/>
      </w:pPr>
      <w:r>
        <w:t>5.7.3 Mathematische Anschlussfähigkeit</w:t>
      </w:r>
    </w:p>
    <w:p w14:paraId="4C80C89D" w14:textId="77777777" w:rsidR="009118A2" w:rsidRDefault="009118A2" w:rsidP="009118A2">
      <w:pPr>
        <w:pStyle w:val="StandardWeb"/>
      </w:pPr>
      <w:r>
        <w:t>Die funktionalen Darstellungen im FRZK sind direkt zugänglich für klassische und moderne mathematische Verfahren:</w:t>
      </w:r>
    </w:p>
    <w:p w14:paraId="039CFD1D" w14:textId="77777777" w:rsidR="009118A2" w:rsidRDefault="009118A2" w:rsidP="009118A2">
      <w:pPr>
        <w:pStyle w:val="StandardWeb"/>
        <w:numPr>
          <w:ilvl w:val="0"/>
          <w:numId w:val="16"/>
        </w:numPr>
      </w:pPr>
      <w:r>
        <w:t>Differentiation und Integration</w:t>
      </w:r>
    </w:p>
    <w:p w14:paraId="38A6FF5A" w14:textId="77777777" w:rsidR="009118A2" w:rsidRDefault="009118A2" w:rsidP="009118A2">
      <w:pPr>
        <w:pStyle w:val="StandardWeb"/>
        <w:numPr>
          <w:ilvl w:val="0"/>
          <w:numId w:val="16"/>
        </w:numPr>
      </w:pPr>
      <w:r>
        <w:t>Fourier-Analyse und Laplace-Transformation</w:t>
      </w:r>
    </w:p>
    <w:p w14:paraId="799EF3E9" w14:textId="77777777" w:rsidR="009118A2" w:rsidRDefault="009118A2" w:rsidP="009118A2">
      <w:pPr>
        <w:pStyle w:val="StandardWeb"/>
        <w:numPr>
          <w:ilvl w:val="0"/>
          <w:numId w:val="16"/>
        </w:numPr>
      </w:pPr>
      <w:r>
        <w:t>Lösungsverfahren für Differentialgleichungen</w:t>
      </w:r>
    </w:p>
    <w:p w14:paraId="62003824" w14:textId="77777777" w:rsidR="009118A2" w:rsidRDefault="009118A2" w:rsidP="009118A2">
      <w:pPr>
        <w:pStyle w:val="StandardWeb"/>
        <w:numPr>
          <w:ilvl w:val="0"/>
          <w:numId w:val="16"/>
        </w:numPr>
      </w:pPr>
      <w:r>
        <w:t>Datenanalyse und Approximation</w:t>
      </w:r>
    </w:p>
    <w:p w14:paraId="3D7698B7" w14:textId="77777777" w:rsidR="009118A2" w:rsidRDefault="009118A2" w:rsidP="009118A2">
      <w:pPr>
        <w:pStyle w:val="StandardWeb"/>
      </w:pPr>
      <w:r>
        <w:lastRenderedPageBreak/>
        <w:t>Dadurch entsteht ein nahtloser Übergang zwischen Theorie, Simulation und empirischer Überprüfung. Auch die Integration in rechnergestützte Analyse- und Visualisierungsumgebungen wird erleichtert [32].</w:t>
      </w:r>
    </w:p>
    <w:p w14:paraId="09CD83F1" w14:textId="77777777" w:rsidR="009118A2" w:rsidRDefault="009118A2" w:rsidP="009118A2">
      <w:pPr>
        <w:pStyle w:val="berschrift4"/>
      </w:pPr>
      <w:r>
        <w:t>5.7.4 Numerische Effizienz und algorithmische Integration</w:t>
      </w:r>
    </w:p>
    <w:p w14:paraId="2C4B77C3" w14:textId="77777777" w:rsidR="009118A2" w:rsidRDefault="009118A2" w:rsidP="009118A2">
      <w:pPr>
        <w:pStyle w:val="StandardWeb"/>
      </w:pPr>
      <w:r>
        <w:t>Im Vergleich zu diskreten Datensätzen bieten funktionale Modelle den Vorteil der höheren numerischen Effizienz. Zeitfunktionen erlauben eine kontinuierliche, mathematisch glatte Darstellung, die:</w:t>
      </w:r>
    </w:p>
    <w:p w14:paraId="663E4B0E" w14:textId="77777777" w:rsidR="009118A2" w:rsidRDefault="009118A2" w:rsidP="009118A2">
      <w:pPr>
        <w:pStyle w:val="StandardWeb"/>
        <w:numPr>
          <w:ilvl w:val="0"/>
          <w:numId w:val="17"/>
        </w:numPr>
      </w:pPr>
      <w:r>
        <w:t>numerische Verfahren stabiler macht</w:t>
      </w:r>
    </w:p>
    <w:p w14:paraId="7ED24268" w14:textId="77777777" w:rsidR="009118A2" w:rsidRDefault="009118A2" w:rsidP="009118A2">
      <w:pPr>
        <w:pStyle w:val="StandardWeb"/>
        <w:numPr>
          <w:ilvl w:val="0"/>
          <w:numId w:val="17"/>
        </w:numPr>
      </w:pPr>
      <w:r>
        <w:t>Algorithmen besser optimierbar gestaltet</w:t>
      </w:r>
    </w:p>
    <w:p w14:paraId="634A8651" w14:textId="77777777" w:rsidR="009118A2" w:rsidRDefault="009118A2" w:rsidP="009118A2">
      <w:pPr>
        <w:pStyle w:val="StandardWeb"/>
        <w:numPr>
          <w:ilvl w:val="0"/>
          <w:numId w:val="17"/>
        </w:numPr>
      </w:pPr>
      <w:r>
        <w:t>und den Einsatz maschinellen Lernens vereinfacht</w:t>
      </w:r>
    </w:p>
    <w:p w14:paraId="3D0FB90D" w14:textId="77777777" w:rsidR="009118A2" w:rsidRDefault="009118A2" w:rsidP="009118A2">
      <w:pPr>
        <w:pStyle w:val="StandardWeb"/>
      </w:pPr>
      <w:r>
        <w:t>In ingenieurwissenschaftlichen, biomechanischen und ökonomischen Anwendungen sind solche Modelle bereits Standard – das FRZK schafft hier die didaktische Brücke [33].</w:t>
      </w:r>
    </w:p>
    <w:p w14:paraId="1F3B0995" w14:textId="77777777" w:rsidR="009118A2" w:rsidRDefault="009118A2" w:rsidP="009118A2">
      <w:pPr>
        <w:pStyle w:val="berschrift4"/>
      </w:pPr>
      <w:r>
        <w:t>5.7.5 Didaktischer Mehrwert durch Modellstruktur</w:t>
      </w:r>
    </w:p>
    <w:p w14:paraId="36EB5526" w14:textId="77777777" w:rsidR="009118A2" w:rsidRDefault="009118A2" w:rsidP="009118A2">
      <w:pPr>
        <w:pStyle w:val="StandardWeb"/>
      </w:pPr>
      <w:r>
        <w:t>Auch methodisch-didaktisch bietet das FRZK erhebliche Vorteile:</w:t>
      </w:r>
    </w:p>
    <w:p w14:paraId="7D2E593C" w14:textId="77777777" w:rsidR="009118A2" w:rsidRDefault="009118A2" w:rsidP="009118A2">
      <w:pPr>
        <w:pStyle w:val="StandardWeb"/>
        <w:numPr>
          <w:ilvl w:val="0"/>
          <w:numId w:val="18"/>
        </w:numPr>
      </w:pPr>
      <w:r>
        <w:t>Kognitive Entlastung durch klare Strukturierung und Visualisierung</w:t>
      </w:r>
    </w:p>
    <w:p w14:paraId="7622491B" w14:textId="77777777" w:rsidR="009118A2" w:rsidRDefault="009118A2" w:rsidP="009118A2">
      <w:pPr>
        <w:pStyle w:val="StandardWeb"/>
        <w:numPr>
          <w:ilvl w:val="0"/>
          <w:numId w:val="18"/>
        </w:numPr>
      </w:pPr>
      <w:r>
        <w:t>Verbindung von Theorie und Praxis durch funktional aufgebaute Bewegungsmodelle</w:t>
      </w:r>
    </w:p>
    <w:p w14:paraId="1C5B89D2" w14:textId="77777777" w:rsidR="009118A2" w:rsidRDefault="009118A2" w:rsidP="009118A2">
      <w:pPr>
        <w:pStyle w:val="StandardWeb"/>
        <w:numPr>
          <w:ilvl w:val="0"/>
          <w:numId w:val="18"/>
        </w:numPr>
      </w:pPr>
      <w:r>
        <w:t>Förderung systemischen Denkens durch Modellreflexion und Parameteranalyse</w:t>
      </w:r>
    </w:p>
    <w:p w14:paraId="7EC2FE40" w14:textId="77777777" w:rsidR="009118A2" w:rsidRDefault="009118A2" w:rsidP="009118A2">
      <w:pPr>
        <w:pStyle w:val="StandardWeb"/>
        <w:numPr>
          <w:ilvl w:val="0"/>
          <w:numId w:val="18"/>
        </w:numPr>
      </w:pPr>
      <w:r>
        <w:t>Erleichterung des Konzeptwandels durch Dezentrierung des Beobachters und Aktivierung metakognitiver Prozesse [34]</w:t>
      </w:r>
    </w:p>
    <w:p w14:paraId="19A0C999" w14:textId="77777777" w:rsidR="009118A2" w:rsidRDefault="009118A2" w:rsidP="009118A2">
      <w:pPr>
        <w:pStyle w:val="StandardWeb"/>
      </w:pPr>
      <w:r>
        <w:t>Somit wirkt das FRZK als Brückenkonzept zwischen formaler Modellbildung und realitätsnaher Anwendung.</w:t>
      </w:r>
    </w:p>
    <w:p w14:paraId="4862BF3C" w14:textId="77777777" w:rsidR="009118A2" w:rsidRDefault="009118A2" w:rsidP="009118A2">
      <w:pPr>
        <w:pStyle w:val="berschrift4"/>
      </w:pPr>
      <w:r>
        <w:t>5.7.6 Interdisziplinäre Anschlussfähigkeit</w:t>
      </w:r>
    </w:p>
    <w:p w14:paraId="0F4F33AC" w14:textId="77777777" w:rsidR="009118A2" w:rsidRDefault="009118A2" w:rsidP="009118A2">
      <w:pPr>
        <w:pStyle w:val="StandardWeb"/>
      </w:pPr>
      <w:r>
        <w:t>Die Struktur des FRZK erlaubt eine domänenübergreifende Anwendung in unterschiedlichsten Disziplinen:</w:t>
      </w:r>
    </w:p>
    <w:p w14:paraId="6C7DFCE9" w14:textId="77777777" w:rsidR="009118A2" w:rsidRDefault="009118A2" w:rsidP="009118A2">
      <w:pPr>
        <w:pStyle w:val="StandardWeb"/>
        <w:numPr>
          <w:ilvl w:val="0"/>
          <w:numId w:val="19"/>
        </w:numPr>
      </w:pPr>
      <w:r>
        <w:t>Robotik und Bewegungsplanung</w:t>
      </w:r>
    </w:p>
    <w:p w14:paraId="385C7606" w14:textId="77777777" w:rsidR="009118A2" w:rsidRDefault="009118A2" w:rsidP="009118A2">
      <w:pPr>
        <w:pStyle w:val="StandardWeb"/>
        <w:numPr>
          <w:ilvl w:val="0"/>
          <w:numId w:val="19"/>
        </w:numPr>
      </w:pPr>
      <w:r>
        <w:t>Medizintechnik (z. B. Modellierung biomechanischer Bewegungen)</w:t>
      </w:r>
    </w:p>
    <w:p w14:paraId="4E2895ED" w14:textId="77777777" w:rsidR="009118A2" w:rsidRDefault="009118A2" w:rsidP="009118A2">
      <w:pPr>
        <w:pStyle w:val="StandardWeb"/>
        <w:numPr>
          <w:ilvl w:val="0"/>
          <w:numId w:val="19"/>
        </w:numPr>
      </w:pPr>
      <w:r>
        <w:t>Geoinformation und Navigation</w:t>
      </w:r>
    </w:p>
    <w:p w14:paraId="060C8576" w14:textId="77777777" w:rsidR="009118A2" w:rsidRDefault="009118A2" w:rsidP="009118A2">
      <w:pPr>
        <w:pStyle w:val="StandardWeb"/>
        <w:numPr>
          <w:ilvl w:val="0"/>
          <w:numId w:val="19"/>
        </w:numPr>
      </w:pPr>
      <w:r>
        <w:t>Verkehrssimulation und Umweltmodellierung</w:t>
      </w:r>
    </w:p>
    <w:p w14:paraId="2968A39C" w14:textId="77777777" w:rsidR="009118A2" w:rsidRDefault="009118A2" w:rsidP="009118A2">
      <w:pPr>
        <w:pStyle w:val="StandardWeb"/>
        <w:numPr>
          <w:ilvl w:val="0"/>
          <w:numId w:val="19"/>
        </w:numPr>
      </w:pPr>
      <w:r>
        <w:t>Künstliche Intelligenz und Sensordatenverarbeitung</w:t>
      </w:r>
    </w:p>
    <w:p w14:paraId="2E5963CD" w14:textId="77777777" w:rsidR="009118A2" w:rsidRDefault="009118A2" w:rsidP="009118A2">
      <w:pPr>
        <w:pStyle w:val="StandardWeb"/>
      </w:pPr>
      <w:r>
        <w:t>Durch seine formal konsistente, modular strukturierte und beobachterreflektierte Form ist das FRZK nicht nur physikalisch fundiert, sondern epistemisch offen und technologisch anschlussfähig [35].</w:t>
      </w:r>
    </w:p>
    <w:p w14:paraId="16FDD013" w14:textId="6A7F988F" w:rsidR="003C6A70" w:rsidRDefault="003C6A70">
      <w:r>
        <w:br w:type="page"/>
      </w:r>
    </w:p>
    <w:p w14:paraId="3CE92EFC" w14:textId="77777777" w:rsidR="003C6A70" w:rsidRDefault="003C6A70" w:rsidP="003C6A70">
      <w:pPr>
        <w:pStyle w:val="berschrift3"/>
      </w:pPr>
      <w:r>
        <w:rPr>
          <w:rStyle w:val="Fett"/>
          <w:b/>
          <w:bCs/>
        </w:rPr>
        <w:lastRenderedPageBreak/>
        <w:t>Literaturverzeichnis Kapitel 5</w:t>
      </w:r>
    </w:p>
    <w:p w14:paraId="58BC4CA4" w14:textId="77777777" w:rsidR="003C6A70" w:rsidRDefault="003C6A70" w:rsidP="003C6A70">
      <w:pPr>
        <w:pStyle w:val="StandardWeb"/>
      </w:pPr>
      <w:r>
        <w:t xml:space="preserve">[1] Kuhn, T. S. (1970).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[2] Karagöz, S., &amp; </w:t>
      </w:r>
      <w:proofErr w:type="spellStart"/>
      <w:r>
        <w:t>Niedderer</w:t>
      </w:r>
      <w:proofErr w:type="spellEnd"/>
      <w:r>
        <w:t xml:space="preserve">, H. (2014). Vom Containerraum zum Koordinatenraum – Strukturwandel im Raumverständnis. </w:t>
      </w:r>
      <w:r>
        <w:rPr>
          <w:rStyle w:val="Hervorhebung"/>
        </w:rPr>
        <w:t>Zeitschrift für Didaktik der Naturwissenschaften</w:t>
      </w:r>
      <w:r>
        <w:t>, 20(2), 137–155.</w:t>
      </w:r>
      <w:r>
        <w:br/>
        <w:t xml:space="preserve">[3] Mittelstraß, J. (2003). </w:t>
      </w:r>
      <w:r>
        <w:rPr>
          <w:rStyle w:val="Hervorhebung"/>
        </w:rPr>
        <w:t>Die Möglichkeit von Wissenschaft</w:t>
      </w:r>
      <w:r>
        <w:t>. Suhrkamp.</w:t>
      </w:r>
      <w:r>
        <w:br/>
        <w:t xml:space="preserve">[4] </w:t>
      </w:r>
      <w:proofErr w:type="spellStart"/>
      <w:r>
        <w:t>Duit</w:t>
      </w:r>
      <w:proofErr w:type="spellEnd"/>
      <w:r>
        <w:t xml:space="preserve">, R. (2006). Konzepte des Lernens und der Lehre in der Physikdidaktik. In: </w:t>
      </w:r>
      <w:r>
        <w:rPr>
          <w:rStyle w:val="Hervorhebung"/>
        </w:rPr>
        <w:t>Physikdidaktik – Forschung und Entwicklung</w:t>
      </w:r>
      <w:r>
        <w:t>. Springer.</w:t>
      </w:r>
      <w:r>
        <w:br/>
        <w:t xml:space="preserve">[5] National Research Council (2012). </w:t>
      </w:r>
      <w:r>
        <w:rPr>
          <w:rStyle w:val="Hervorhebung"/>
        </w:rPr>
        <w:t xml:space="preserve">A Framework </w:t>
      </w:r>
      <w:proofErr w:type="spellStart"/>
      <w:r>
        <w:rPr>
          <w:rStyle w:val="Hervorhebung"/>
        </w:rPr>
        <w:t>for</w:t>
      </w:r>
      <w:proofErr w:type="spellEnd"/>
      <w:r>
        <w:rPr>
          <w:rStyle w:val="Hervorhebung"/>
        </w:rPr>
        <w:t xml:space="preserve"> K-12 Science Education: Practices, </w:t>
      </w:r>
      <w:proofErr w:type="spellStart"/>
      <w:r>
        <w:rPr>
          <w:rStyle w:val="Hervorhebung"/>
        </w:rPr>
        <w:t>Crosscutting</w:t>
      </w:r>
      <w:proofErr w:type="spellEnd"/>
      <w:r>
        <w:rPr>
          <w:rStyle w:val="Hervorhebung"/>
        </w:rPr>
        <w:t xml:space="preserve"> </w:t>
      </w:r>
      <w:proofErr w:type="spellStart"/>
      <w:r>
        <w:rPr>
          <w:rStyle w:val="Hervorhebung"/>
        </w:rPr>
        <w:t>Concepts</w:t>
      </w:r>
      <w:proofErr w:type="spellEnd"/>
      <w:r>
        <w:rPr>
          <w:rStyle w:val="Hervorhebung"/>
        </w:rPr>
        <w:t xml:space="preserve">, and Core </w:t>
      </w:r>
      <w:proofErr w:type="spellStart"/>
      <w:r>
        <w:rPr>
          <w:rStyle w:val="Hervorhebung"/>
        </w:rPr>
        <w:t>Ideas</w:t>
      </w:r>
      <w:proofErr w:type="spellEnd"/>
      <w:r>
        <w:t xml:space="preserve">. National </w:t>
      </w:r>
      <w:proofErr w:type="spellStart"/>
      <w:r>
        <w:t>Academies</w:t>
      </w:r>
      <w:proofErr w:type="spellEnd"/>
      <w:r>
        <w:t xml:space="preserve"> Press.</w:t>
      </w:r>
      <w:r>
        <w:br/>
        <w:t xml:space="preserve">[6] </w:t>
      </w:r>
      <w:proofErr w:type="spellStart"/>
      <w:r>
        <w:t>Duit</w:t>
      </w:r>
      <w:proofErr w:type="spellEnd"/>
      <w:r>
        <w:t xml:space="preserve">, R. (2006). Konzepte des Lernens und der Lehre in der Physikdidaktik. In: </w:t>
      </w:r>
      <w:r>
        <w:rPr>
          <w:rStyle w:val="Hervorhebung"/>
        </w:rPr>
        <w:t>Physikdidaktik – Forschung und Entwicklung</w:t>
      </w:r>
      <w:r>
        <w:t>. Springer.</w:t>
      </w:r>
      <w:r>
        <w:br/>
        <w:t xml:space="preserve">[7] Karagöz, S., &amp; </w:t>
      </w:r>
      <w:proofErr w:type="spellStart"/>
      <w:r>
        <w:t>Niedderer</w:t>
      </w:r>
      <w:proofErr w:type="spellEnd"/>
      <w:r>
        <w:t xml:space="preserve">, H. (2014). Vom Containerraum zum Koordinatenraum – Strukturwandel im Raumverständnis. </w:t>
      </w:r>
      <w:r>
        <w:rPr>
          <w:rStyle w:val="Hervorhebung"/>
        </w:rPr>
        <w:t>Zeitschrift für Didaktik der Naturwissenschaften</w:t>
      </w:r>
      <w:r>
        <w:t>, 20(2), 137–155.</w:t>
      </w:r>
      <w:r>
        <w:br/>
        <w:t xml:space="preserve">[8] </w:t>
      </w:r>
      <w:proofErr w:type="spellStart"/>
      <w:r>
        <w:t>Niedderer</w:t>
      </w:r>
      <w:proofErr w:type="spellEnd"/>
      <w:r>
        <w:t xml:space="preserve">, H., &amp; Riess, F. (2004). Modellbildung und Modellkompetenz im Physikunterricht. In: </w:t>
      </w:r>
      <w:r>
        <w:rPr>
          <w:rStyle w:val="Hervorhebung"/>
        </w:rPr>
        <w:t>Praxis der Naturwissenschaften – Physik</w:t>
      </w:r>
      <w:r>
        <w:t>, 53(7), 10–15.</w:t>
      </w:r>
      <w:r>
        <w:br/>
        <w:t xml:space="preserve">[9] </w:t>
      </w:r>
      <w:proofErr w:type="spellStart"/>
      <w:r>
        <w:t>Justi</w:t>
      </w:r>
      <w:proofErr w:type="spellEnd"/>
      <w:r>
        <w:t xml:space="preserve">, R., &amp; Gilbert, J. (2002). Models and </w:t>
      </w:r>
      <w:proofErr w:type="spellStart"/>
      <w:r>
        <w:t>modelling</w:t>
      </w:r>
      <w:proofErr w:type="spellEnd"/>
      <w:r>
        <w:t xml:space="preserve"> in </w:t>
      </w:r>
      <w:proofErr w:type="spellStart"/>
      <w:r>
        <w:t>chemical</w:t>
      </w:r>
      <w:proofErr w:type="spellEnd"/>
      <w:r>
        <w:t xml:space="preserve"> </w:t>
      </w:r>
      <w:proofErr w:type="spellStart"/>
      <w:r>
        <w:t>education</w:t>
      </w:r>
      <w:proofErr w:type="spellEnd"/>
      <w:r>
        <w:t xml:space="preserve">. </w:t>
      </w:r>
      <w:r>
        <w:rPr>
          <w:rStyle w:val="Hervorhebung"/>
        </w:rPr>
        <w:t>Science Education</w:t>
      </w:r>
      <w:r>
        <w:t>, 86(1), 548–564.</w:t>
      </w:r>
      <w:r>
        <w:br/>
        <w:t xml:space="preserve">[10] OECD (2018). </w:t>
      </w:r>
      <w:r>
        <w:rPr>
          <w:rStyle w:val="Hervorhebung"/>
        </w:rPr>
        <w:t xml:space="preserve">The Future </w:t>
      </w:r>
      <w:proofErr w:type="spellStart"/>
      <w:r>
        <w:rPr>
          <w:rStyle w:val="Hervorhebung"/>
        </w:rPr>
        <w:t>of</w:t>
      </w:r>
      <w:proofErr w:type="spellEnd"/>
      <w:r>
        <w:rPr>
          <w:rStyle w:val="Hervorhebung"/>
        </w:rPr>
        <w:t xml:space="preserve"> Education and Skills: Education 2030</w:t>
      </w:r>
      <w:r>
        <w:t>. OECD Publishing.</w:t>
      </w:r>
      <w:r>
        <w:br/>
        <w:t xml:space="preserve">[11] Fischer, H. E., &amp; </w:t>
      </w:r>
      <w:proofErr w:type="spellStart"/>
      <w:r>
        <w:t>Aufschnaiter</w:t>
      </w:r>
      <w:proofErr w:type="spellEnd"/>
      <w:r>
        <w:t xml:space="preserve">, S. v. (2008). Forschendes Lernen im naturwissenschaftlichen Unterricht. </w:t>
      </w:r>
      <w:r>
        <w:rPr>
          <w:rStyle w:val="Hervorhebung"/>
        </w:rPr>
        <w:t>Zeitschrift für Didaktik der Naturwissenschaften</w:t>
      </w:r>
      <w:r>
        <w:t>, 14, 133–153.</w:t>
      </w:r>
      <w:r>
        <w:br/>
        <w:t xml:space="preserve">[12] </w:t>
      </w:r>
      <w:proofErr w:type="spellStart"/>
      <w:r>
        <w:t>Duit</w:t>
      </w:r>
      <w:proofErr w:type="spellEnd"/>
      <w:r>
        <w:t xml:space="preserve">, R. (2006). Konzepte des Lernens und der Lehre in der Physikdidaktik. In: </w:t>
      </w:r>
      <w:r>
        <w:rPr>
          <w:rStyle w:val="Hervorhebung"/>
        </w:rPr>
        <w:t>Physikdidaktik – Forschung und Entwicklung</w:t>
      </w:r>
      <w:r>
        <w:t>. Springer.</w:t>
      </w:r>
      <w:r>
        <w:br/>
        <w:t xml:space="preserve">[13] Giere, R. N. (2004). </w:t>
      </w:r>
      <w:proofErr w:type="spellStart"/>
      <w:r>
        <w:t>How</w:t>
      </w:r>
      <w:proofErr w:type="spellEnd"/>
      <w:r>
        <w:t xml:space="preserve"> Models Are </w:t>
      </w:r>
      <w:proofErr w:type="spellStart"/>
      <w:r>
        <w:t>Used</w:t>
      </w:r>
      <w:proofErr w:type="spellEnd"/>
      <w:r>
        <w:t xml:space="preserve"> </w:t>
      </w:r>
      <w:proofErr w:type="spellStart"/>
      <w:r>
        <w:t>to</w:t>
      </w:r>
      <w:proofErr w:type="spellEnd"/>
      <w:r>
        <w:t xml:space="preserve"> </w:t>
      </w:r>
      <w:proofErr w:type="spellStart"/>
      <w:r>
        <w:t>Represent</w:t>
      </w:r>
      <w:proofErr w:type="spellEnd"/>
      <w:r>
        <w:t xml:space="preserve"> Reality. </w:t>
      </w:r>
      <w:r>
        <w:rPr>
          <w:rStyle w:val="Hervorhebung"/>
        </w:rPr>
        <w:t xml:space="preserve">Philosophy </w:t>
      </w:r>
      <w:proofErr w:type="spellStart"/>
      <w:r>
        <w:rPr>
          <w:rStyle w:val="Hervorhebung"/>
        </w:rPr>
        <w:t>of</w:t>
      </w:r>
      <w:proofErr w:type="spellEnd"/>
      <w:r>
        <w:rPr>
          <w:rStyle w:val="Hervorhebung"/>
        </w:rPr>
        <w:t xml:space="preserve"> Science</w:t>
      </w:r>
      <w:r>
        <w:t>, 71(5), 742–752.</w:t>
      </w:r>
      <w:r>
        <w:br/>
        <w:t xml:space="preserve">[14] Kuhn, T. S. (1970).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[15] Mittelstraß, J. (2003). </w:t>
      </w:r>
      <w:r>
        <w:rPr>
          <w:rStyle w:val="Hervorhebung"/>
        </w:rPr>
        <w:t>Die Möglichkeit von Wissenschaft</w:t>
      </w:r>
      <w:r>
        <w:t>. Suhrkamp.</w:t>
      </w:r>
      <w:r>
        <w:br/>
        <w:t xml:space="preserve">[16] </w:t>
      </w:r>
      <w:proofErr w:type="spellStart"/>
      <w:r>
        <w:t>Höttecke</w:t>
      </w:r>
      <w:proofErr w:type="spellEnd"/>
      <w:r>
        <w:t xml:space="preserve">, D., &amp; Silva, C. C. (2011). </w:t>
      </w:r>
      <w:proofErr w:type="spellStart"/>
      <w:r>
        <w:t>Why</w:t>
      </w:r>
      <w:proofErr w:type="spellEnd"/>
      <w:r>
        <w:t xml:space="preserve"> </w:t>
      </w:r>
      <w:proofErr w:type="spellStart"/>
      <w:r>
        <w:t>implementing</w:t>
      </w:r>
      <w:proofErr w:type="spellEnd"/>
      <w:r>
        <w:t xml:space="preserve"> </w:t>
      </w:r>
      <w:proofErr w:type="spellStart"/>
      <w:r>
        <w:t>history</w:t>
      </w:r>
      <w:proofErr w:type="spellEnd"/>
      <w:r>
        <w:t xml:space="preserve"> and </w:t>
      </w:r>
      <w:proofErr w:type="spellStart"/>
      <w:r>
        <w:t>philosophy</w:t>
      </w:r>
      <w:proofErr w:type="spellEnd"/>
      <w:r>
        <w:t xml:space="preserve"> in </w:t>
      </w:r>
      <w:proofErr w:type="spellStart"/>
      <w:r>
        <w:t>school</w:t>
      </w:r>
      <w:proofErr w:type="spellEnd"/>
      <w:r>
        <w:t xml:space="preserve"> </w:t>
      </w:r>
      <w:proofErr w:type="spellStart"/>
      <w:r>
        <w:t>science</w:t>
      </w:r>
      <w:proofErr w:type="spellEnd"/>
      <w:r>
        <w:t xml:space="preserve"> </w:t>
      </w:r>
      <w:proofErr w:type="spellStart"/>
      <w:r>
        <w:t>education</w:t>
      </w:r>
      <w:proofErr w:type="spellEnd"/>
      <w:r>
        <w:t xml:space="preserve"> </w:t>
      </w:r>
      <w:proofErr w:type="spellStart"/>
      <w:r>
        <w:t>is</w:t>
      </w:r>
      <w:proofErr w:type="spellEnd"/>
      <w:r>
        <w:t xml:space="preserve"> a </w:t>
      </w:r>
      <w:proofErr w:type="spellStart"/>
      <w:r>
        <w:t>challenge</w:t>
      </w:r>
      <w:proofErr w:type="spellEnd"/>
      <w:r>
        <w:t xml:space="preserve">. </w:t>
      </w:r>
      <w:r>
        <w:rPr>
          <w:rStyle w:val="Hervorhebung"/>
        </w:rPr>
        <w:t>Science &amp; Education</w:t>
      </w:r>
      <w:r>
        <w:t>, 20(3–4), 293–316.</w:t>
      </w:r>
      <w:r>
        <w:br/>
        <w:t xml:space="preserve">[17] </w:t>
      </w:r>
      <w:proofErr w:type="spellStart"/>
      <w:r>
        <w:t>Justi</w:t>
      </w:r>
      <w:proofErr w:type="spellEnd"/>
      <w:r>
        <w:t xml:space="preserve">, R., &amp; Gilbert, J. (2002). Models and </w:t>
      </w:r>
      <w:proofErr w:type="spellStart"/>
      <w:r>
        <w:t>modelling</w:t>
      </w:r>
      <w:proofErr w:type="spellEnd"/>
      <w:r>
        <w:t xml:space="preserve"> in </w:t>
      </w:r>
      <w:proofErr w:type="spellStart"/>
      <w:r>
        <w:t>chemical</w:t>
      </w:r>
      <w:proofErr w:type="spellEnd"/>
      <w:r>
        <w:t xml:space="preserve"> </w:t>
      </w:r>
      <w:proofErr w:type="spellStart"/>
      <w:r>
        <w:t>education</w:t>
      </w:r>
      <w:proofErr w:type="spellEnd"/>
      <w:r>
        <w:t xml:space="preserve">. </w:t>
      </w:r>
      <w:r>
        <w:rPr>
          <w:rStyle w:val="Hervorhebung"/>
        </w:rPr>
        <w:t>Science Education</w:t>
      </w:r>
      <w:r>
        <w:t>, 86(1), 548–564.</w:t>
      </w:r>
      <w:r>
        <w:br/>
        <w:t xml:space="preserve">[18] de Jong, T., &amp; van </w:t>
      </w:r>
      <w:proofErr w:type="spellStart"/>
      <w:r>
        <w:t>Joolingen</w:t>
      </w:r>
      <w:proofErr w:type="spellEnd"/>
      <w:r>
        <w:t xml:space="preserve">, W. R. (1998). Scientific Discovery Learning </w:t>
      </w:r>
      <w:proofErr w:type="spellStart"/>
      <w:r>
        <w:t>with</w:t>
      </w:r>
      <w:proofErr w:type="spellEnd"/>
      <w:r>
        <w:t xml:space="preserve"> Computer </w:t>
      </w:r>
      <w:proofErr w:type="spellStart"/>
      <w:r>
        <w:t>Simulations</w:t>
      </w:r>
      <w:proofErr w:type="spellEnd"/>
      <w:r>
        <w:t xml:space="preserve"> </w:t>
      </w:r>
      <w:proofErr w:type="spellStart"/>
      <w:r>
        <w:t>of</w:t>
      </w:r>
      <w:proofErr w:type="spellEnd"/>
      <w:r>
        <w:t xml:space="preserve"> </w:t>
      </w:r>
      <w:proofErr w:type="spellStart"/>
      <w:r>
        <w:t>Conceptual</w:t>
      </w:r>
      <w:proofErr w:type="spellEnd"/>
      <w:r>
        <w:t xml:space="preserve"> Domains. </w:t>
      </w:r>
      <w:r>
        <w:rPr>
          <w:rStyle w:val="Hervorhebung"/>
        </w:rPr>
        <w:t xml:space="preserve">Review </w:t>
      </w:r>
      <w:proofErr w:type="spellStart"/>
      <w:r>
        <w:rPr>
          <w:rStyle w:val="Hervorhebung"/>
        </w:rPr>
        <w:t>of</w:t>
      </w:r>
      <w:proofErr w:type="spellEnd"/>
      <w:r>
        <w:rPr>
          <w:rStyle w:val="Hervorhebung"/>
        </w:rPr>
        <w:t xml:space="preserve"> Educational Research</w:t>
      </w:r>
      <w:r>
        <w:t>, 68(2), 179–201.</w:t>
      </w:r>
      <w:r>
        <w:br/>
        <w:t xml:space="preserve">[19] Mayer, R. E. (2009). </w:t>
      </w:r>
      <w:r>
        <w:rPr>
          <w:rStyle w:val="Hervorhebung"/>
        </w:rPr>
        <w:t>Multimedia Learning</w:t>
      </w:r>
      <w:r>
        <w:t>. Cambridge University Press.</w:t>
      </w:r>
      <w:r>
        <w:br/>
        <w:t xml:space="preserve">[20] Fischer, H. E., &amp; </w:t>
      </w:r>
      <w:proofErr w:type="spellStart"/>
      <w:r>
        <w:t>Aufschnaiter</w:t>
      </w:r>
      <w:proofErr w:type="spellEnd"/>
      <w:r>
        <w:t xml:space="preserve">, S. v. (2008). Forschendes Lernen im naturwissenschaftlichen Unterricht. </w:t>
      </w:r>
      <w:r>
        <w:rPr>
          <w:rStyle w:val="Hervorhebung"/>
        </w:rPr>
        <w:t>Zeitschrift für Didaktik der Naturwissenschaften</w:t>
      </w:r>
      <w:r>
        <w:t>, 14, 133–153.</w:t>
      </w:r>
      <w:r>
        <w:br/>
        <w:t xml:space="preserve">[21] </w:t>
      </w:r>
      <w:proofErr w:type="spellStart"/>
      <w:r>
        <w:t>Hestenes</w:t>
      </w:r>
      <w:proofErr w:type="spellEnd"/>
      <w:r>
        <w:t xml:space="preserve">, D. (1996). Modeling </w:t>
      </w:r>
      <w:proofErr w:type="spellStart"/>
      <w:r>
        <w:t>Methodology</w:t>
      </w:r>
      <w:proofErr w:type="spellEnd"/>
      <w:r>
        <w:t xml:space="preserve"> </w:t>
      </w:r>
      <w:proofErr w:type="spellStart"/>
      <w:r>
        <w:t>for</w:t>
      </w:r>
      <w:proofErr w:type="spellEnd"/>
      <w:r>
        <w:t xml:space="preserve"> Physics Teachers. In: </w:t>
      </w:r>
      <w:r>
        <w:rPr>
          <w:rStyle w:val="Hervorhebung"/>
        </w:rPr>
        <w:t xml:space="preserve">Proceedings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International Conference on </w:t>
      </w:r>
      <w:proofErr w:type="spellStart"/>
      <w:r>
        <w:rPr>
          <w:rStyle w:val="Hervorhebung"/>
        </w:rPr>
        <w:t>Undergraduate</w:t>
      </w:r>
      <w:proofErr w:type="spellEnd"/>
      <w:r>
        <w:rPr>
          <w:rStyle w:val="Hervorhebung"/>
        </w:rPr>
        <w:t xml:space="preserve"> Physics Education</w:t>
      </w:r>
      <w:r>
        <w:t>.</w:t>
      </w:r>
      <w:r>
        <w:br/>
        <w:t xml:space="preserve">[22] </w:t>
      </w:r>
      <w:proofErr w:type="spellStart"/>
      <w:r>
        <w:t>Tipler</w:t>
      </w:r>
      <w:proofErr w:type="spellEnd"/>
      <w:r>
        <w:t xml:space="preserve">, P. A., &amp; Mosca, G. (2008). </w:t>
      </w:r>
      <w:r>
        <w:rPr>
          <w:rStyle w:val="Hervorhebung"/>
        </w:rPr>
        <w:t xml:space="preserve">Physics </w:t>
      </w:r>
      <w:proofErr w:type="spellStart"/>
      <w:r>
        <w:rPr>
          <w:rStyle w:val="Hervorhebung"/>
        </w:rPr>
        <w:t>for</w:t>
      </w:r>
      <w:proofErr w:type="spellEnd"/>
      <w:r>
        <w:rPr>
          <w:rStyle w:val="Hervorhebung"/>
        </w:rPr>
        <w:t xml:space="preserve"> </w:t>
      </w:r>
      <w:proofErr w:type="spellStart"/>
      <w:r>
        <w:rPr>
          <w:rStyle w:val="Hervorhebung"/>
        </w:rPr>
        <w:t>Scientists</w:t>
      </w:r>
      <w:proofErr w:type="spellEnd"/>
      <w:r>
        <w:rPr>
          <w:rStyle w:val="Hervorhebung"/>
        </w:rPr>
        <w:t xml:space="preserve"> and Engineers</w:t>
      </w:r>
      <w:r>
        <w:t>. W. H. Freeman.</w:t>
      </w:r>
      <w:r>
        <w:br/>
        <w:t xml:space="preserve">[23] Kuhn, T. S. (1970).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[24] de Jong, T., &amp; van </w:t>
      </w:r>
      <w:proofErr w:type="spellStart"/>
      <w:r>
        <w:t>Joolingen</w:t>
      </w:r>
      <w:proofErr w:type="spellEnd"/>
      <w:r>
        <w:t xml:space="preserve">, W. R. (1998). Scientific Discovery Learning </w:t>
      </w:r>
      <w:proofErr w:type="spellStart"/>
      <w:r>
        <w:t>with</w:t>
      </w:r>
      <w:proofErr w:type="spellEnd"/>
      <w:r>
        <w:t xml:space="preserve"> Computer </w:t>
      </w:r>
      <w:proofErr w:type="spellStart"/>
      <w:r>
        <w:t>Simulations</w:t>
      </w:r>
      <w:proofErr w:type="spellEnd"/>
      <w:r>
        <w:t xml:space="preserve">. </w:t>
      </w:r>
      <w:r>
        <w:rPr>
          <w:rStyle w:val="Hervorhebung"/>
        </w:rPr>
        <w:t xml:space="preserve">Review </w:t>
      </w:r>
      <w:proofErr w:type="spellStart"/>
      <w:r>
        <w:rPr>
          <w:rStyle w:val="Hervorhebung"/>
        </w:rPr>
        <w:t>of</w:t>
      </w:r>
      <w:proofErr w:type="spellEnd"/>
      <w:r>
        <w:rPr>
          <w:rStyle w:val="Hervorhebung"/>
        </w:rPr>
        <w:t xml:space="preserve"> Educational Research</w:t>
      </w:r>
      <w:r>
        <w:t>, 68(2), 179–201.</w:t>
      </w:r>
      <w:r>
        <w:br/>
        <w:t xml:space="preserve">[25] </w:t>
      </w:r>
      <w:proofErr w:type="spellStart"/>
      <w:r>
        <w:t>Redish</w:t>
      </w:r>
      <w:proofErr w:type="spellEnd"/>
      <w:r>
        <w:t xml:space="preserve">, E. F. (2005). Problem </w:t>
      </w:r>
      <w:proofErr w:type="spellStart"/>
      <w:r>
        <w:t>Solving</w:t>
      </w:r>
      <w:proofErr w:type="spellEnd"/>
      <w:r>
        <w:t xml:space="preserve"> and </w:t>
      </w:r>
      <w:proofErr w:type="spellStart"/>
      <w:r>
        <w:t>the</w:t>
      </w:r>
      <w:proofErr w:type="spellEnd"/>
      <w:r>
        <w:t xml:space="preserve"> Use </w:t>
      </w:r>
      <w:proofErr w:type="spellStart"/>
      <w:r>
        <w:t>of</w:t>
      </w:r>
      <w:proofErr w:type="spellEnd"/>
      <w:r>
        <w:t xml:space="preserve"> Math in Physics Courses. </w:t>
      </w:r>
      <w:r>
        <w:rPr>
          <w:rStyle w:val="Hervorhebung"/>
        </w:rPr>
        <w:t xml:space="preserve">Proceedings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World View on Physics Education Conference</w:t>
      </w:r>
      <w:r>
        <w:t>.</w:t>
      </w:r>
      <w:r>
        <w:br/>
        <w:t xml:space="preserve">[26] Taylor, E. F., &amp; Wheeler, J. A. (1992). </w:t>
      </w:r>
      <w:proofErr w:type="spellStart"/>
      <w:r>
        <w:rPr>
          <w:rStyle w:val="Hervorhebung"/>
        </w:rPr>
        <w:t>Spacetime</w:t>
      </w:r>
      <w:proofErr w:type="spellEnd"/>
      <w:r>
        <w:rPr>
          <w:rStyle w:val="Hervorhebung"/>
        </w:rPr>
        <w:t xml:space="preserve"> Physics</w:t>
      </w:r>
      <w:r>
        <w:t>. W. H. Freeman.</w:t>
      </w:r>
      <w:r>
        <w:br/>
        <w:t xml:space="preserve">[27] Mayer, R. E. (2009). </w:t>
      </w:r>
      <w:r>
        <w:rPr>
          <w:rStyle w:val="Hervorhebung"/>
        </w:rPr>
        <w:t>Multimedia Learning</w:t>
      </w:r>
      <w:r>
        <w:t xml:space="preserve"> (2nd </w:t>
      </w:r>
      <w:proofErr w:type="spellStart"/>
      <w:r>
        <w:t>ed</w:t>
      </w:r>
      <w:proofErr w:type="spellEnd"/>
      <w:r>
        <w:t>.). Cambridge University Press.</w:t>
      </w:r>
      <w:r>
        <w:br/>
      </w:r>
      <w:r>
        <w:lastRenderedPageBreak/>
        <w:t xml:space="preserve">[28] de Jong, T., &amp; </w:t>
      </w:r>
      <w:proofErr w:type="spellStart"/>
      <w:r>
        <w:t>Lazonder</w:t>
      </w:r>
      <w:proofErr w:type="spellEnd"/>
      <w:r>
        <w:t xml:space="preserve">, A. W. (2014). The </w:t>
      </w:r>
      <w:proofErr w:type="spellStart"/>
      <w:r>
        <w:t>Guided</w:t>
      </w:r>
      <w:proofErr w:type="spellEnd"/>
      <w:r>
        <w:t xml:space="preserve"> Discovery </w:t>
      </w:r>
      <w:proofErr w:type="spellStart"/>
      <w:r>
        <w:t>Principle</w:t>
      </w:r>
      <w:proofErr w:type="spellEnd"/>
      <w:r>
        <w:t xml:space="preserve"> in Multimedia Learning. In: Mayer, R. E. (Ed.), </w:t>
      </w:r>
      <w:r>
        <w:rPr>
          <w:rStyle w:val="Hervorhebung"/>
        </w:rPr>
        <w:t xml:space="preserve">The Cambridge Handbook </w:t>
      </w:r>
      <w:proofErr w:type="spellStart"/>
      <w:r>
        <w:rPr>
          <w:rStyle w:val="Hervorhebung"/>
        </w:rPr>
        <w:t>of</w:t>
      </w:r>
      <w:proofErr w:type="spellEnd"/>
      <w:r>
        <w:rPr>
          <w:rStyle w:val="Hervorhebung"/>
        </w:rPr>
        <w:t xml:space="preserve"> Multimedia Learning</w:t>
      </w:r>
      <w:r>
        <w:t>. Cambridge University Press.</w:t>
      </w:r>
      <w:r>
        <w:br/>
        <w:t xml:space="preserve">[29] van </w:t>
      </w:r>
      <w:proofErr w:type="spellStart"/>
      <w:r>
        <w:t>Joolingen</w:t>
      </w:r>
      <w:proofErr w:type="spellEnd"/>
      <w:r>
        <w:t xml:space="preserve">, W. R., &amp; de Jong, T. (2003). </w:t>
      </w:r>
      <w:proofErr w:type="spellStart"/>
      <w:r>
        <w:t>Simulations</w:t>
      </w:r>
      <w:proofErr w:type="spellEnd"/>
      <w:r>
        <w:t xml:space="preserve"> in Education: </w:t>
      </w:r>
      <w:proofErr w:type="spellStart"/>
      <w:r>
        <w:t>From</w:t>
      </w:r>
      <w:proofErr w:type="spellEnd"/>
      <w:r>
        <w:t xml:space="preserve"> </w:t>
      </w:r>
      <w:proofErr w:type="spellStart"/>
      <w:r>
        <w:t>Representing</w:t>
      </w:r>
      <w:proofErr w:type="spellEnd"/>
      <w:r>
        <w:t xml:space="preserve"> Reality </w:t>
      </w:r>
      <w:proofErr w:type="spellStart"/>
      <w:r>
        <w:t>to</w:t>
      </w:r>
      <w:proofErr w:type="spellEnd"/>
      <w:r>
        <w:t xml:space="preserve"> </w:t>
      </w:r>
      <w:proofErr w:type="spellStart"/>
      <w:r>
        <w:t>Representing</w:t>
      </w:r>
      <w:proofErr w:type="spellEnd"/>
      <w:r>
        <w:t xml:space="preserve"> </w:t>
      </w:r>
      <w:proofErr w:type="spellStart"/>
      <w:r>
        <w:t>Mechanisms</w:t>
      </w:r>
      <w:proofErr w:type="spellEnd"/>
      <w:r>
        <w:t xml:space="preserve">. </w:t>
      </w:r>
      <w:proofErr w:type="spellStart"/>
      <w:r>
        <w:rPr>
          <w:rStyle w:val="Hervorhebung"/>
        </w:rPr>
        <w:t>Themes</w:t>
      </w:r>
      <w:proofErr w:type="spellEnd"/>
      <w:r>
        <w:rPr>
          <w:rStyle w:val="Hervorhebung"/>
        </w:rPr>
        <w:t xml:space="preserve"> in Education</w:t>
      </w:r>
      <w:r>
        <w:t>, 4(2), 273–289.</w:t>
      </w:r>
      <w:r>
        <w:br/>
        <w:t xml:space="preserve">[30] </w:t>
      </w:r>
      <w:proofErr w:type="spellStart"/>
      <w:r>
        <w:t>Hestenes</w:t>
      </w:r>
      <w:proofErr w:type="spellEnd"/>
      <w:r>
        <w:t xml:space="preserve">, D. (1996). Modeling </w:t>
      </w:r>
      <w:proofErr w:type="spellStart"/>
      <w:r>
        <w:t>Methodology</w:t>
      </w:r>
      <w:proofErr w:type="spellEnd"/>
      <w:r>
        <w:t xml:space="preserve"> </w:t>
      </w:r>
      <w:proofErr w:type="spellStart"/>
      <w:r>
        <w:t>for</w:t>
      </w:r>
      <w:proofErr w:type="spellEnd"/>
      <w:r>
        <w:t xml:space="preserve"> Physics Teachers. In: </w:t>
      </w:r>
      <w:r>
        <w:rPr>
          <w:rStyle w:val="Hervorhebung"/>
        </w:rPr>
        <w:t xml:space="preserve">Proceedings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International Conference on </w:t>
      </w:r>
      <w:proofErr w:type="spellStart"/>
      <w:r>
        <w:rPr>
          <w:rStyle w:val="Hervorhebung"/>
        </w:rPr>
        <w:t>Undergraduate</w:t>
      </w:r>
      <w:proofErr w:type="spellEnd"/>
      <w:r>
        <w:rPr>
          <w:rStyle w:val="Hervorhebung"/>
        </w:rPr>
        <w:t xml:space="preserve"> Physics Education</w:t>
      </w:r>
      <w:r>
        <w:t>.</w:t>
      </w:r>
      <w:r>
        <w:br/>
        <w:t xml:space="preserve">[31] </w:t>
      </w:r>
      <w:proofErr w:type="spellStart"/>
      <w:r>
        <w:t>Suppes</w:t>
      </w:r>
      <w:proofErr w:type="spellEnd"/>
      <w:r>
        <w:t xml:space="preserve">, P. (1962). Models </w:t>
      </w:r>
      <w:proofErr w:type="spellStart"/>
      <w:r>
        <w:t>of</w:t>
      </w:r>
      <w:proofErr w:type="spellEnd"/>
      <w:r>
        <w:t xml:space="preserve"> Data. In: </w:t>
      </w:r>
      <w:proofErr w:type="spellStart"/>
      <w:r>
        <w:rPr>
          <w:rStyle w:val="Hervorhebung"/>
        </w:rPr>
        <w:t>Logic</w:t>
      </w:r>
      <w:proofErr w:type="spellEnd"/>
      <w:r>
        <w:rPr>
          <w:rStyle w:val="Hervorhebung"/>
        </w:rPr>
        <w:t xml:space="preserve">, </w:t>
      </w:r>
      <w:proofErr w:type="spellStart"/>
      <w:r>
        <w:rPr>
          <w:rStyle w:val="Hervorhebung"/>
        </w:rPr>
        <w:t>Methodology</w:t>
      </w:r>
      <w:proofErr w:type="spellEnd"/>
      <w:r>
        <w:rPr>
          <w:rStyle w:val="Hervorhebung"/>
        </w:rPr>
        <w:t xml:space="preserve"> and Philosophy </w:t>
      </w:r>
      <w:proofErr w:type="spellStart"/>
      <w:r>
        <w:rPr>
          <w:rStyle w:val="Hervorhebung"/>
        </w:rPr>
        <w:t>of</w:t>
      </w:r>
      <w:proofErr w:type="spellEnd"/>
      <w:r>
        <w:rPr>
          <w:rStyle w:val="Hervorhebung"/>
        </w:rPr>
        <w:t xml:space="preserve"> Science: Proceedings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1960 International </w:t>
      </w:r>
      <w:proofErr w:type="spellStart"/>
      <w:r>
        <w:rPr>
          <w:rStyle w:val="Hervorhebung"/>
        </w:rPr>
        <w:t>Congress</w:t>
      </w:r>
      <w:proofErr w:type="spellEnd"/>
      <w:r>
        <w:t>. Stanford University Press.</w:t>
      </w:r>
      <w:r>
        <w:br/>
        <w:t xml:space="preserve">[32] </w:t>
      </w:r>
      <w:proofErr w:type="spellStart"/>
      <w:r>
        <w:t>Arfken</w:t>
      </w:r>
      <w:proofErr w:type="spellEnd"/>
      <w:r>
        <w:t xml:space="preserve">, G. B., &amp; Weber, H. J. (2005). </w:t>
      </w:r>
      <w:proofErr w:type="spellStart"/>
      <w:r>
        <w:rPr>
          <w:rStyle w:val="Hervorhebung"/>
        </w:rPr>
        <w:t>Mathematical</w:t>
      </w:r>
      <w:proofErr w:type="spellEnd"/>
      <w:r>
        <w:rPr>
          <w:rStyle w:val="Hervorhebung"/>
        </w:rPr>
        <w:t xml:space="preserve"> Methods </w:t>
      </w:r>
      <w:proofErr w:type="spellStart"/>
      <w:r>
        <w:rPr>
          <w:rStyle w:val="Hervorhebung"/>
        </w:rPr>
        <w:t>for</w:t>
      </w:r>
      <w:proofErr w:type="spellEnd"/>
      <w:r>
        <w:rPr>
          <w:rStyle w:val="Hervorhebung"/>
        </w:rPr>
        <w:t xml:space="preserve"> </w:t>
      </w:r>
      <w:proofErr w:type="spellStart"/>
      <w:r>
        <w:rPr>
          <w:rStyle w:val="Hervorhebung"/>
        </w:rPr>
        <w:t>Physicists</w:t>
      </w:r>
      <w:proofErr w:type="spellEnd"/>
      <w:r>
        <w:t xml:space="preserve"> (6th </w:t>
      </w:r>
      <w:proofErr w:type="spellStart"/>
      <w:r>
        <w:t>ed</w:t>
      </w:r>
      <w:proofErr w:type="spellEnd"/>
      <w:r>
        <w:t>.). Elsevier Academic Press.</w:t>
      </w:r>
      <w:r>
        <w:br/>
        <w:t xml:space="preserve">[33] Hastie, T., </w:t>
      </w:r>
      <w:proofErr w:type="spellStart"/>
      <w:r>
        <w:t>Tibshirani</w:t>
      </w:r>
      <w:proofErr w:type="spellEnd"/>
      <w:r>
        <w:t xml:space="preserve">, R., &amp; Friedman, J. (2009). </w:t>
      </w:r>
      <w:r>
        <w:rPr>
          <w:rStyle w:val="Hervorhebung"/>
        </w:rPr>
        <w:t xml:space="preserve">The Elements </w:t>
      </w:r>
      <w:proofErr w:type="spellStart"/>
      <w:r>
        <w:rPr>
          <w:rStyle w:val="Hervorhebung"/>
        </w:rPr>
        <w:t>of</w:t>
      </w:r>
      <w:proofErr w:type="spellEnd"/>
      <w:r>
        <w:rPr>
          <w:rStyle w:val="Hervorhebung"/>
        </w:rPr>
        <w:t xml:space="preserve"> Statistical Learning</w:t>
      </w:r>
      <w:r>
        <w:t>. Springer.</w:t>
      </w:r>
      <w:r>
        <w:br/>
        <w:t xml:space="preserve">[34] </w:t>
      </w:r>
      <w:proofErr w:type="spellStart"/>
      <w:r>
        <w:t>Duit</w:t>
      </w:r>
      <w:proofErr w:type="spellEnd"/>
      <w:r>
        <w:t xml:space="preserve">, R. (2006). Konzepte des Lernens und der Lehre in der Physikdidaktik. In: </w:t>
      </w:r>
      <w:r>
        <w:rPr>
          <w:rStyle w:val="Hervorhebung"/>
        </w:rPr>
        <w:t>Physikdidaktik – Forschung und Entwicklung</w:t>
      </w:r>
      <w:r>
        <w:t>. Springer.</w:t>
      </w:r>
      <w:r>
        <w:br/>
        <w:t xml:space="preserve">[35] Fischer, H. E., &amp; </w:t>
      </w:r>
      <w:proofErr w:type="spellStart"/>
      <w:r>
        <w:t>Aufschnaiter</w:t>
      </w:r>
      <w:proofErr w:type="spellEnd"/>
      <w:r>
        <w:t xml:space="preserve">, S. v. (2008). Forschendes Lernen im naturwissenschaftlichen Unterricht. </w:t>
      </w:r>
      <w:r>
        <w:rPr>
          <w:rStyle w:val="Hervorhebung"/>
        </w:rPr>
        <w:t>Zeitschrift für Didaktik der Naturwissenschaften</w:t>
      </w:r>
      <w:r>
        <w:t>, 14, 133–153.</w:t>
      </w:r>
    </w:p>
    <w:p w14:paraId="38CD39C7" w14:textId="77777777" w:rsidR="003429CD" w:rsidRPr="003429CD" w:rsidRDefault="003429CD" w:rsidP="003429C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429CD">
        <w:rPr>
          <w:rFonts w:ascii="Segoe UI Emoji" w:eastAsia="Times New Roman" w:hAnsi="Segoe UI Emoji" w:cs="Segoe UI Emoji"/>
          <w:b/>
          <w:bCs/>
          <w:sz w:val="27"/>
          <w:szCs w:val="27"/>
          <w:lang w:eastAsia="de-DE"/>
        </w:rPr>
        <w:t>📑</w:t>
      </w:r>
      <w:r w:rsidRPr="003429CD">
        <w:rPr>
          <w:rFonts w:ascii="Times New Roman" w:eastAsia="Times New Roman" w:hAnsi="Times New Roman" w:cs="Times New Roman"/>
          <w:b/>
          <w:bCs/>
          <w:sz w:val="27"/>
          <w:szCs w:val="27"/>
          <w:lang w:eastAsia="de-DE"/>
        </w:rPr>
        <w:t xml:space="preserve"> Anlagentabelle zu Kapitel 5 –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4094"/>
        <w:gridCol w:w="1976"/>
        <w:gridCol w:w="1933"/>
      </w:tblGrid>
      <w:tr w:rsidR="003429CD" w:rsidRPr="003429CD" w14:paraId="076C4CF4" w14:textId="77777777" w:rsidTr="003429CD">
        <w:trPr>
          <w:tblHeader/>
          <w:tblCellSpacing w:w="15" w:type="dxa"/>
        </w:trPr>
        <w:tc>
          <w:tcPr>
            <w:tcW w:w="0" w:type="auto"/>
            <w:vAlign w:val="center"/>
            <w:hideMark/>
          </w:tcPr>
          <w:p w14:paraId="342E5645" w14:textId="77777777" w:rsidR="003429CD" w:rsidRPr="003429CD" w:rsidRDefault="003429CD" w:rsidP="003429CD">
            <w:pPr>
              <w:spacing w:after="0" w:line="240" w:lineRule="auto"/>
              <w:jc w:val="center"/>
              <w:rPr>
                <w:rFonts w:ascii="Times New Roman" w:eastAsia="Times New Roman" w:hAnsi="Times New Roman" w:cs="Times New Roman"/>
                <w:b/>
                <w:bCs/>
                <w:sz w:val="24"/>
                <w:szCs w:val="24"/>
                <w:lang w:eastAsia="de-DE"/>
              </w:rPr>
            </w:pPr>
            <w:r w:rsidRPr="003429CD">
              <w:rPr>
                <w:rFonts w:ascii="Times New Roman" w:eastAsia="Times New Roman" w:hAnsi="Times New Roman" w:cs="Times New Roman"/>
                <w:b/>
                <w:bCs/>
                <w:sz w:val="24"/>
                <w:szCs w:val="24"/>
                <w:lang w:eastAsia="de-DE"/>
              </w:rPr>
              <w:t>Textstelle (Kapitel 5.x)</w:t>
            </w:r>
          </w:p>
        </w:tc>
        <w:tc>
          <w:tcPr>
            <w:tcW w:w="0" w:type="auto"/>
            <w:vAlign w:val="center"/>
            <w:hideMark/>
          </w:tcPr>
          <w:p w14:paraId="70B059C6" w14:textId="77777777" w:rsidR="003429CD" w:rsidRPr="003429CD" w:rsidRDefault="003429CD" w:rsidP="003429CD">
            <w:pPr>
              <w:spacing w:after="0" w:line="240" w:lineRule="auto"/>
              <w:jc w:val="center"/>
              <w:rPr>
                <w:rFonts w:ascii="Times New Roman" w:eastAsia="Times New Roman" w:hAnsi="Times New Roman" w:cs="Times New Roman"/>
                <w:b/>
                <w:bCs/>
                <w:sz w:val="24"/>
                <w:szCs w:val="24"/>
                <w:lang w:eastAsia="de-DE"/>
              </w:rPr>
            </w:pPr>
            <w:r w:rsidRPr="003429CD">
              <w:rPr>
                <w:rFonts w:ascii="Times New Roman" w:eastAsia="Times New Roman" w:hAnsi="Times New Roman" w:cs="Times New Roman"/>
                <w:b/>
                <w:bCs/>
                <w:sz w:val="24"/>
                <w:szCs w:val="24"/>
                <w:lang w:eastAsia="de-DE"/>
              </w:rPr>
              <w:t>Name der Anlage</w:t>
            </w:r>
          </w:p>
        </w:tc>
        <w:tc>
          <w:tcPr>
            <w:tcW w:w="0" w:type="auto"/>
            <w:vAlign w:val="center"/>
            <w:hideMark/>
          </w:tcPr>
          <w:p w14:paraId="3870F06C" w14:textId="77777777" w:rsidR="003429CD" w:rsidRPr="003429CD" w:rsidRDefault="003429CD" w:rsidP="003429CD">
            <w:pPr>
              <w:spacing w:after="0" w:line="240" w:lineRule="auto"/>
              <w:jc w:val="center"/>
              <w:rPr>
                <w:rFonts w:ascii="Times New Roman" w:eastAsia="Times New Roman" w:hAnsi="Times New Roman" w:cs="Times New Roman"/>
                <w:b/>
                <w:bCs/>
                <w:sz w:val="24"/>
                <w:szCs w:val="24"/>
                <w:lang w:eastAsia="de-DE"/>
              </w:rPr>
            </w:pPr>
            <w:r w:rsidRPr="003429CD">
              <w:rPr>
                <w:rFonts w:ascii="Times New Roman" w:eastAsia="Times New Roman" w:hAnsi="Times New Roman" w:cs="Times New Roman"/>
                <w:b/>
                <w:bCs/>
                <w:sz w:val="24"/>
                <w:szCs w:val="24"/>
                <w:lang w:eastAsia="de-DE"/>
              </w:rPr>
              <w:t>Beschreibung</w:t>
            </w:r>
          </w:p>
        </w:tc>
        <w:tc>
          <w:tcPr>
            <w:tcW w:w="0" w:type="auto"/>
            <w:vAlign w:val="center"/>
            <w:hideMark/>
          </w:tcPr>
          <w:p w14:paraId="5FC443DD" w14:textId="77777777" w:rsidR="003429CD" w:rsidRPr="003429CD" w:rsidRDefault="003429CD" w:rsidP="003429CD">
            <w:pPr>
              <w:spacing w:after="0" w:line="240" w:lineRule="auto"/>
              <w:jc w:val="center"/>
              <w:rPr>
                <w:rFonts w:ascii="Times New Roman" w:eastAsia="Times New Roman" w:hAnsi="Times New Roman" w:cs="Times New Roman"/>
                <w:b/>
                <w:bCs/>
                <w:sz w:val="24"/>
                <w:szCs w:val="24"/>
                <w:lang w:eastAsia="de-DE"/>
              </w:rPr>
            </w:pPr>
            <w:r w:rsidRPr="003429CD">
              <w:rPr>
                <w:rFonts w:ascii="Times New Roman" w:eastAsia="Times New Roman" w:hAnsi="Times New Roman" w:cs="Times New Roman"/>
                <w:b/>
                <w:bCs/>
                <w:sz w:val="24"/>
                <w:szCs w:val="24"/>
                <w:lang w:eastAsia="de-DE"/>
              </w:rPr>
              <w:t>Bemerkungen</w:t>
            </w:r>
          </w:p>
        </w:tc>
      </w:tr>
      <w:tr w:rsidR="003429CD" w:rsidRPr="003429CD" w14:paraId="7AE7217D" w14:textId="77777777" w:rsidTr="003429CD">
        <w:trPr>
          <w:tblCellSpacing w:w="15" w:type="dxa"/>
        </w:trPr>
        <w:tc>
          <w:tcPr>
            <w:tcW w:w="0" w:type="auto"/>
            <w:vAlign w:val="center"/>
            <w:hideMark/>
          </w:tcPr>
          <w:p w14:paraId="60D0F40C"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5.1</w:t>
            </w:r>
          </w:p>
        </w:tc>
        <w:tc>
          <w:tcPr>
            <w:tcW w:w="0" w:type="auto"/>
            <w:vAlign w:val="center"/>
            <w:hideMark/>
          </w:tcPr>
          <w:p w14:paraId="4B2F4E2B"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FRZK_Grundkonzept_Grafik</w:t>
            </w:r>
            <w:proofErr w:type="spellEnd"/>
          </w:p>
        </w:tc>
        <w:tc>
          <w:tcPr>
            <w:tcW w:w="0" w:type="auto"/>
            <w:vAlign w:val="center"/>
            <w:hideMark/>
          </w:tcPr>
          <w:p w14:paraId="70D6B158"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Schaubild zur Gegenüberstellung von klassischem und funktionalem Bezugssystem</w:t>
            </w:r>
          </w:p>
        </w:tc>
        <w:tc>
          <w:tcPr>
            <w:tcW w:w="0" w:type="auto"/>
            <w:vAlign w:val="center"/>
            <w:hideMark/>
          </w:tcPr>
          <w:p w14:paraId="775E621E"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Grafische Darstellung zur Diskussion in Einleitung</w:t>
            </w:r>
          </w:p>
        </w:tc>
      </w:tr>
      <w:tr w:rsidR="003429CD" w:rsidRPr="003429CD" w14:paraId="3C1976E9" w14:textId="77777777" w:rsidTr="003429CD">
        <w:trPr>
          <w:tblCellSpacing w:w="15" w:type="dxa"/>
        </w:trPr>
        <w:tc>
          <w:tcPr>
            <w:tcW w:w="0" w:type="auto"/>
            <w:vAlign w:val="center"/>
            <w:hideMark/>
          </w:tcPr>
          <w:p w14:paraId="0FFCBDB6"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5.2</w:t>
            </w:r>
          </w:p>
        </w:tc>
        <w:tc>
          <w:tcPr>
            <w:tcW w:w="0" w:type="auto"/>
            <w:vAlign w:val="center"/>
            <w:hideMark/>
          </w:tcPr>
          <w:p w14:paraId="6E06A7FC"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Koordinatenreflexion_Arbeitsblatt</w:t>
            </w:r>
            <w:proofErr w:type="spellEnd"/>
          </w:p>
        </w:tc>
        <w:tc>
          <w:tcPr>
            <w:tcW w:w="0" w:type="auto"/>
            <w:vAlign w:val="center"/>
            <w:hideMark/>
          </w:tcPr>
          <w:p w14:paraId="10676995"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Schülerarbeitsblatt zur eigenständigen Festlegung von Ursprung, Achsen, Zeitrichtung</w:t>
            </w:r>
          </w:p>
        </w:tc>
        <w:tc>
          <w:tcPr>
            <w:tcW w:w="0" w:type="auto"/>
            <w:vAlign w:val="center"/>
            <w:hideMark/>
          </w:tcPr>
          <w:p w14:paraId="6A4A367E"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Grundlage für Diskussion über Raumverständnis</w:t>
            </w:r>
          </w:p>
        </w:tc>
      </w:tr>
      <w:tr w:rsidR="003429CD" w:rsidRPr="003429CD" w14:paraId="788967C4" w14:textId="77777777" w:rsidTr="003429CD">
        <w:trPr>
          <w:tblCellSpacing w:w="15" w:type="dxa"/>
        </w:trPr>
        <w:tc>
          <w:tcPr>
            <w:tcW w:w="0" w:type="auto"/>
            <w:vAlign w:val="center"/>
            <w:hideMark/>
          </w:tcPr>
          <w:p w14:paraId="37F39B24"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5.3</w:t>
            </w:r>
          </w:p>
        </w:tc>
        <w:tc>
          <w:tcPr>
            <w:tcW w:w="0" w:type="auto"/>
            <w:vAlign w:val="center"/>
            <w:hideMark/>
          </w:tcPr>
          <w:p w14:paraId="17938D65"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Modellvergleich_Tafelbild</w:t>
            </w:r>
            <w:proofErr w:type="spellEnd"/>
          </w:p>
        </w:tc>
        <w:tc>
          <w:tcPr>
            <w:tcW w:w="0" w:type="auto"/>
            <w:vAlign w:val="center"/>
            <w:hideMark/>
          </w:tcPr>
          <w:p w14:paraId="12A422F4"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Visualisierung: FRZK vs. klassisches Modell (tabellarisch und grafisch)</w:t>
            </w:r>
          </w:p>
        </w:tc>
        <w:tc>
          <w:tcPr>
            <w:tcW w:w="0" w:type="auto"/>
            <w:vAlign w:val="center"/>
            <w:hideMark/>
          </w:tcPr>
          <w:p w14:paraId="3DDD9427"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Auch geeignet für Lehrerfortbildung</w:t>
            </w:r>
          </w:p>
        </w:tc>
      </w:tr>
      <w:tr w:rsidR="003429CD" w:rsidRPr="003429CD" w14:paraId="62BE04B5" w14:textId="77777777" w:rsidTr="003429CD">
        <w:trPr>
          <w:tblCellSpacing w:w="15" w:type="dxa"/>
        </w:trPr>
        <w:tc>
          <w:tcPr>
            <w:tcW w:w="0" w:type="auto"/>
            <w:vAlign w:val="center"/>
            <w:hideMark/>
          </w:tcPr>
          <w:p w14:paraId="4A5ED4F8"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5.4</w:t>
            </w:r>
          </w:p>
        </w:tc>
        <w:tc>
          <w:tcPr>
            <w:tcW w:w="0" w:type="auto"/>
            <w:vAlign w:val="center"/>
            <w:hideMark/>
          </w:tcPr>
          <w:p w14:paraId="331D1738"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Python_Simulation_Bootsmodell</w:t>
            </w:r>
            <w:proofErr w:type="spellEnd"/>
          </w:p>
        </w:tc>
        <w:tc>
          <w:tcPr>
            <w:tcW w:w="0" w:type="auto"/>
            <w:vAlign w:val="center"/>
            <w:hideMark/>
          </w:tcPr>
          <w:p w14:paraId="7E10931C"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Programmiertes Beispiel einer 3D-Bewegung mit Zeitfunktionen</w:t>
            </w:r>
          </w:p>
        </w:tc>
        <w:tc>
          <w:tcPr>
            <w:tcW w:w="0" w:type="auto"/>
            <w:vAlign w:val="center"/>
            <w:hideMark/>
          </w:tcPr>
          <w:p w14:paraId="5CE89C38"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Kann als Einstieg in dynamische Systeme genutzt werden</w:t>
            </w:r>
          </w:p>
        </w:tc>
      </w:tr>
      <w:tr w:rsidR="003429CD" w:rsidRPr="003429CD" w14:paraId="7782CB78" w14:textId="77777777" w:rsidTr="003429CD">
        <w:trPr>
          <w:tblCellSpacing w:w="15" w:type="dxa"/>
        </w:trPr>
        <w:tc>
          <w:tcPr>
            <w:tcW w:w="0" w:type="auto"/>
            <w:vAlign w:val="center"/>
            <w:hideMark/>
          </w:tcPr>
          <w:p w14:paraId="2EC770F7"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5.5</w:t>
            </w:r>
          </w:p>
        </w:tc>
        <w:tc>
          <w:tcPr>
            <w:tcW w:w="0" w:type="auto"/>
            <w:vAlign w:val="center"/>
            <w:hideMark/>
          </w:tcPr>
          <w:p w14:paraId="34458C12"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FRZK_Vorteils</w:t>
            </w:r>
            <w:proofErr w:type="spellEnd"/>
            <w:r w:rsidRPr="003429CD">
              <w:rPr>
                <w:rFonts w:ascii="Times New Roman" w:eastAsia="Times New Roman" w:hAnsi="Times New Roman" w:cs="Times New Roman"/>
                <w:i/>
                <w:iCs/>
                <w:sz w:val="24"/>
                <w:szCs w:val="24"/>
                <w:lang w:eastAsia="de-DE"/>
              </w:rPr>
              <w:t>-Matrix</w:t>
            </w:r>
          </w:p>
        </w:tc>
        <w:tc>
          <w:tcPr>
            <w:tcW w:w="0" w:type="auto"/>
            <w:vAlign w:val="center"/>
            <w:hideMark/>
          </w:tcPr>
          <w:p w14:paraId="6B1B6E4C"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Tabelle mit wissenschaftlichen Vorteilen funktionaler Modellierung</w:t>
            </w:r>
          </w:p>
        </w:tc>
        <w:tc>
          <w:tcPr>
            <w:tcW w:w="0" w:type="auto"/>
            <w:vAlign w:val="center"/>
            <w:hideMark/>
          </w:tcPr>
          <w:p w14:paraId="166338B2"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Für argumentative Einbindung in didaktische Theorien</w:t>
            </w:r>
          </w:p>
        </w:tc>
      </w:tr>
      <w:tr w:rsidR="003429CD" w:rsidRPr="003429CD" w14:paraId="3268B616" w14:textId="77777777" w:rsidTr="003429CD">
        <w:trPr>
          <w:tblCellSpacing w:w="15" w:type="dxa"/>
        </w:trPr>
        <w:tc>
          <w:tcPr>
            <w:tcW w:w="0" w:type="auto"/>
            <w:vAlign w:val="center"/>
            <w:hideMark/>
          </w:tcPr>
          <w:p w14:paraId="6FC4AD62"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lastRenderedPageBreak/>
              <w:t>5.6</w:t>
            </w:r>
          </w:p>
        </w:tc>
        <w:tc>
          <w:tcPr>
            <w:tcW w:w="0" w:type="auto"/>
            <w:vAlign w:val="center"/>
            <w:hideMark/>
          </w:tcPr>
          <w:p w14:paraId="673C6CEE"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Visualisierung_GeoGebra_Template</w:t>
            </w:r>
            <w:proofErr w:type="spellEnd"/>
          </w:p>
        </w:tc>
        <w:tc>
          <w:tcPr>
            <w:tcW w:w="0" w:type="auto"/>
            <w:vAlign w:val="center"/>
            <w:hideMark/>
          </w:tcPr>
          <w:p w14:paraId="142BC8B2"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Vorlage zur interaktiven Simulation der Parabel (Schieberegler: a, b, c)</w:t>
            </w:r>
          </w:p>
        </w:tc>
        <w:tc>
          <w:tcPr>
            <w:tcW w:w="0" w:type="auto"/>
            <w:vAlign w:val="center"/>
            <w:hideMark/>
          </w:tcPr>
          <w:p w14:paraId="6EBF0D28"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Kombination mit Schülerexploration (</w:t>
            </w:r>
            <w:proofErr w:type="spellStart"/>
            <w:r w:rsidRPr="003429CD">
              <w:rPr>
                <w:rFonts w:ascii="Times New Roman" w:eastAsia="Times New Roman" w:hAnsi="Times New Roman" w:cs="Times New Roman"/>
                <w:sz w:val="24"/>
                <w:szCs w:val="24"/>
                <w:lang w:eastAsia="de-DE"/>
              </w:rPr>
              <w:t>Geogebra</w:t>
            </w:r>
            <w:proofErr w:type="spellEnd"/>
            <w:r w:rsidRPr="003429CD">
              <w:rPr>
                <w:rFonts w:ascii="Times New Roman" w:eastAsia="Times New Roman" w:hAnsi="Times New Roman" w:cs="Times New Roman"/>
                <w:sz w:val="24"/>
                <w:szCs w:val="24"/>
                <w:lang w:eastAsia="de-DE"/>
              </w:rPr>
              <w:t xml:space="preserve"> Classroom möglich)</w:t>
            </w:r>
          </w:p>
        </w:tc>
      </w:tr>
      <w:tr w:rsidR="003429CD" w:rsidRPr="003429CD" w14:paraId="5ADB40FB" w14:textId="77777777" w:rsidTr="003429CD">
        <w:trPr>
          <w:tblCellSpacing w:w="15" w:type="dxa"/>
        </w:trPr>
        <w:tc>
          <w:tcPr>
            <w:tcW w:w="0" w:type="auto"/>
            <w:vAlign w:val="center"/>
            <w:hideMark/>
          </w:tcPr>
          <w:p w14:paraId="761E3BE3"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5.7</w:t>
            </w:r>
          </w:p>
        </w:tc>
        <w:tc>
          <w:tcPr>
            <w:tcW w:w="0" w:type="auto"/>
            <w:vAlign w:val="center"/>
            <w:hideMark/>
          </w:tcPr>
          <w:p w14:paraId="00EC61C3"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FRZK_Einsatzanalyse_Lehrkraft</w:t>
            </w:r>
            <w:proofErr w:type="spellEnd"/>
          </w:p>
        </w:tc>
        <w:tc>
          <w:tcPr>
            <w:tcW w:w="0" w:type="auto"/>
            <w:vAlign w:val="center"/>
            <w:hideMark/>
          </w:tcPr>
          <w:p w14:paraId="076F37B5"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Rubrizierte Bewertungsmatrix für Lehrer zur Reflexion von Effektivität und Wirksamkeit</w:t>
            </w:r>
          </w:p>
        </w:tc>
        <w:tc>
          <w:tcPr>
            <w:tcW w:w="0" w:type="auto"/>
            <w:vAlign w:val="center"/>
            <w:hideMark/>
          </w:tcPr>
          <w:p w14:paraId="50B8C144"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Unterstützt wissenschaftliche Reflexion im Methodenteil</w:t>
            </w:r>
          </w:p>
        </w:tc>
      </w:tr>
      <w:tr w:rsidR="003429CD" w:rsidRPr="003429CD" w14:paraId="1DB78ADA" w14:textId="77777777" w:rsidTr="003429CD">
        <w:trPr>
          <w:tblCellSpacing w:w="15" w:type="dxa"/>
        </w:trPr>
        <w:tc>
          <w:tcPr>
            <w:tcW w:w="0" w:type="auto"/>
            <w:vAlign w:val="center"/>
            <w:hideMark/>
          </w:tcPr>
          <w:p w14:paraId="2858B54D"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5.7</w:t>
            </w:r>
          </w:p>
        </w:tc>
        <w:tc>
          <w:tcPr>
            <w:tcW w:w="0" w:type="auto"/>
            <w:vAlign w:val="center"/>
            <w:hideMark/>
          </w:tcPr>
          <w:p w14:paraId="6E3015D3"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FRZK_Evaluation_Skript</w:t>
            </w:r>
            <w:proofErr w:type="spellEnd"/>
          </w:p>
        </w:tc>
        <w:tc>
          <w:tcPr>
            <w:tcW w:w="0" w:type="auto"/>
            <w:vAlign w:val="center"/>
            <w:hideMark/>
          </w:tcPr>
          <w:p w14:paraId="45C22B19"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Python-Skript zur Eingabe &amp; Auswertung der Lehrkraftbewertung mit Diagramm</w:t>
            </w:r>
          </w:p>
        </w:tc>
        <w:tc>
          <w:tcPr>
            <w:tcW w:w="0" w:type="auto"/>
            <w:vAlign w:val="center"/>
            <w:hideMark/>
          </w:tcPr>
          <w:p w14:paraId="44FC4A34"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Kombinierbar mit digitalen Fortbildungsformaten</w:t>
            </w:r>
          </w:p>
        </w:tc>
      </w:tr>
      <w:tr w:rsidR="003429CD" w:rsidRPr="003429CD" w14:paraId="434763FB" w14:textId="77777777" w:rsidTr="003429CD">
        <w:trPr>
          <w:tblCellSpacing w:w="15" w:type="dxa"/>
        </w:trPr>
        <w:tc>
          <w:tcPr>
            <w:tcW w:w="0" w:type="auto"/>
            <w:vAlign w:val="center"/>
            <w:hideMark/>
          </w:tcPr>
          <w:p w14:paraId="25569E7F"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Querschnitt (5.1–5.7)</w:t>
            </w:r>
          </w:p>
        </w:tc>
        <w:tc>
          <w:tcPr>
            <w:tcW w:w="0" w:type="auto"/>
            <w:vAlign w:val="center"/>
            <w:hideMark/>
          </w:tcPr>
          <w:p w14:paraId="070B24B0"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Unterrichtsanlage_FRZK_QuadratischeFkt</w:t>
            </w:r>
            <w:proofErr w:type="spellEnd"/>
          </w:p>
        </w:tc>
        <w:tc>
          <w:tcPr>
            <w:tcW w:w="0" w:type="auto"/>
            <w:vAlign w:val="center"/>
            <w:hideMark/>
          </w:tcPr>
          <w:p w14:paraId="518B3067"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Gesamtplan zur Unterrichtsreihe inklusive Vorbereitung, Durchführung, Nachbereitung</w:t>
            </w:r>
          </w:p>
        </w:tc>
        <w:tc>
          <w:tcPr>
            <w:tcW w:w="0" w:type="auto"/>
            <w:vAlign w:val="center"/>
            <w:hideMark/>
          </w:tcPr>
          <w:p w14:paraId="63CCCFA9"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Lehrplanbezug + didaktische Zielvernetzung</w:t>
            </w:r>
          </w:p>
        </w:tc>
      </w:tr>
      <w:tr w:rsidR="003429CD" w:rsidRPr="003429CD" w14:paraId="59DD2DDF" w14:textId="77777777" w:rsidTr="003429CD">
        <w:trPr>
          <w:tblCellSpacing w:w="15" w:type="dxa"/>
        </w:trPr>
        <w:tc>
          <w:tcPr>
            <w:tcW w:w="0" w:type="auto"/>
            <w:vAlign w:val="center"/>
            <w:hideMark/>
          </w:tcPr>
          <w:p w14:paraId="24D36901"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Querschnitt (5.1–5.3)</w:t>
            </w:r>
          </w:p>
        </w:tc>
        <w:tc>
          <w:tcPr>
            <w:tcW w:w="0" w:type="auto"/>
            <w:vAlign w:val="center"/>
            <w:hideMark/>
          </w:tcPr>
          <w:p w14:paraId="5D701684"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Einheit_FRZK_Einführung_Python_GeoGebra</w:t>
            </w:r>
            <w:proofErr w:type="spellEnd"/>
          </w:p>
        </w:tc>
        <w:tc>
          <w:tcPr>
            <w:tcW w:w="0" w:type="auto"/>
            <w:vAlign w:val="center"/>
            <w:hideMark/>
          </w:tcPr>
          <w:p w14:paraId="301CA6E9"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45-Minuten-Einheit zur Einführung des FRZK mit Python/GeoGebra</w:t>
            </w:r>
          </w:p>
        </w:tc>
        <w:tc>
          <w:tcPr>
            <w:tcW w:w="0" w:type="auto"/>
            <w:vAlign w:val="center"/>
            <w:hideMark/>
          </w:tcPr>
          <w:p w14:paraId="563C1422"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Einstieg in den technischen Umgang mit FRZK</w:t>
            </w:r>
          </w:p>
        </w:tc>
      </w:tr>
      <w:tr w:rsidR="003429CD" w:rsidRPr="003429CD" w14:paraId="64EA19C0" w14:textId="77777777" w:rsidTr="003429CD">
        <w:trPr>
          <w:tblCellSpacing w:w="15" w:type="dxa"/>
        </w:trPr>
        <w:tc>
          <w:tcPr>
            <w:tcW w:w="0" w:type="auto"/>
            <w:vAlign w:val="center"/>
            <w:hideMark/>
          </w:tcPr>
          <w:p w14:paraId="1535B5D5"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Querschnitt (alle)</w:t>
            </w:r>
          </w:p>
        </w:tc>
        <w:tc>
          <w:tcPr>
            <w:tcW w:w="0" w:type="auto"/>
            <w:vAlign w:val="center"/>
            <w:hideMark/>
          </w:tcPr>
          <w:p w14:paraId="488D5C7C"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Schüleraufgabe_Verladestation</w:t>
            </w:r>
            <w:proofErr w:type="spellEnd"/>
          </w:p>
        </w:tc>
        <w:tc>
          <w:tcPr>
            <w:tcW w:w="0" w:type="auto"/>
            <w:vAlign w:val="center"/>
            <w:hideMark/>
          </w:tcPr>
          <w:p w14:paraId="7221CC0C"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Komplexe praxisorientierte Modellierungsaufgabe inkl. Lasersystem, Förderband, Impuls</w:t>
            </w:r>
          </w:p>
        </w:tc>
        <w:tc>
          <w:tcPr>
            <w:tcW w:w="0" w:type="auto"/>
            <w:vAlign w:val="center"/>
            <w:hideMark/>
          </w:tcPr>
          <w:p w14:paraId="159DE1BF"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Abschlussaufgabe mit Realweltbezug; geeignet für schriftliche Leistungsbewertung</w:t>
            </w:r>
          </w:p>
        </w:tc>
      </w:tr>
      <w:tr w:rsidR="003429CD" w:rsidRPr="003429CD" w14:paraId="67A37040" w14:textId="77777777" w:rsidTr="003429CD">
        <w:trPr>
          <w:tblCellSpacing w:w="15" w:type="dxa"/>
        </w:trPr>
        <w:tc>
          <w:tcPr>
            <w:tcW w:w="0" w:type="auto"/>
            <w:vAlign w:val="center"/>
            <w:hideMark/>
          </w:tcPr>
          <w:p w14:paraId="03EAD1E4"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Querschnitt (alle)</w:t>
            </w:r>
          </w:p>
        </w:tc>
        <w:tc>
          <w:tcPr>
            <w:tcW w:w="0" w:type="auto"/>
            <w:vAlign w:val="center"/>
            <w:hideMark/>
          </w:tcPr>
          <w:p w14:paraId="6282C3F6"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proofErr w:type="spellStart"/>
            <w:r w:rsidRPr="003429CD">
              <w:rPr>
                <w:rFonts w:ascii="Times New Roman" w:eastAsia="Times New Roman" w:hAnsi="Times New Roman" w:cs="Times New Roman"/>
                <w:i/>
                <w:iCs/>
                <w:sz w:val="24"/>
                <w:szCs w:val="24"/>
                <w:lang w:eastAsia="de-DE"/>
              </w:rPr>
              <w:t>Schülerrückmeldung_FRZK_Reflexion</w:t>
            </w:r>
            <w:proofErr w:type="spellEnd"/>
          </w:p>
        </w:tc>
        <w:tc>
          <w:tcPr>
            <w:tcW w:w="0" w:type="auto"/>
            <w:vAlign w:val="center"/>
            <w:hideMark/>
          </w:tcPr>
          <w:p w14:paraId="4DA48DAE"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(Geplant) Feedbackinstrument zur Evaluation der Schülerperspektive auf Modellarbeit mit FRZK</w:t>
            </w:r>
          </w:p>
        </w:tc>
        <w:tc>
          <w:tcPr>
            <w:tcW w:w="0" w:type="auto"/>
            <w:vAlign w:val="center"/>
            <w:hideMark/>
          </w:tcPr>
          <w:p w14:paraId="3CDC39D5"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Noch offen – kann optional entwickelt werden</w:t>
            </w:r>
          </w:p>
        </w:tc>
      </w:tr>
    </w:tbl>
    <w:p w14:paraId="04163938" w14:textId="77777777" w:rsidR="003429CD" w:rsidRPr="003429CD" w:rsidRDefault="003429CD" w:rsidP="003429CD">
      <w:pPr>
        <w:spacing w:after="0"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pict w14:anchorId="3BF81F15">
          <v:rect id="_x0000_i1025" style="width:0;height:1.5pt" o:hralign="center" o:hrstd="t" o:hr="t" fillcolor="#a0a0a0" stroked="f"/>
        </w:pict>
      </w:r>
    </w:p>
    <w:p w14:paraId="639DD762" w14:textId="77777777" w:rsidR="003429CD" w:rsidRPr="003429CD" w:rsidRDefault="003429CD" w:rsidP="003429C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429CD">
        <w:rPr>
          <w:rFonts w:ascii="Segoe UI Emoji" w:eastAsia="Times New Roman" w:hAnsi="Segoe UI Emoji" w:cs="Segoe UI Emoji"/>
          <w:b/>
          <w:bCs/>
          <w:sz w:val="27"/>
          <w:szCs w:val="27"/>
          <w:lang w:eastAsia="de-DE"/>
        </w:rPr>
        <w:t>🔧</w:t>
      </w:r>
      <w:r w:rsidRPr="003429CD">
        <w:rPr>
          <w:rFonts w:ascii="Times New Roman" w:eastAsia="Times New Roman" w:hAnsi="Times New Roman" w:cs="Times New Roman"/>
          <w:b/>
          <w:bCs/>
          <w:sz w:val="27"/>
          <w:szCs w:val="27"/>
          <w:lang w:eastAsia="de-DE"/>
        </w:rPr>
        <w:t xml:space="preserve"> Hinweise:</w:t>
      </w:r>
    </w:p>
    <w:p w14:paraId="395CB3BA" w14:textId="77777777" w:rsidR="003429CD" w:rsidRPr="003429CD" w:rsidRDefault="003429CD" w:rsidP="003429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Alle Anlagen sollten eindeutig benannt, durchnummeriert und mit einem Querverweis zur Kapitelstruktur versehen werden.</w:t>
      </w:r>
    </w:p>
    <w:p w14:paraId="3467BA57" w14:textId="77777777" w:rsidR="003429CD" w:rsidRPr="003429CD" w:rsidRDefault="003429CD" w:rsidP="003429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lastRenderedPageBreak/>
        <w:t xml:space="preserve">Du kannst die Dokumente zusätzlich in ein gemeinsames </w:t>
      </w:r>
      <w:r w:rsidRPr="003429CD">
        <w:rPr>
          <w:rFonts w:ascii="Times New Roman" w:eastAsia="Times New Roman" w:hAnsi="Times New Roman" w:cs="Times New Roman"/>
          <w:b/>
          <w:bCs/>
          <w:sz w:val="24"/>
          <w:szCs w:val="24"/>
          <w:lang w:eastAsia="de-DE"/>
        </w:rPr>
        <w:t>Anlagenverzeichnis</w:t>
      </w:r>
      <w:r w:rsidRPr="003429CD">
        <w:rPr>
          <w:rFonts w:ascii="Times New Roman" w:eastAsia="Times New Roman" w:hAnsi="Times New Roman" w:cs="Times New Roman"/>
          <w:sz w:val="24"/>
          <w:szCs w:val="24"/>
          <w:lang w:eastAsia="de-DE"/>
        </w:rPr>
        <w:t xml:space="preserve"> in deiner Dissertation aufnehmen.</w:t>
      </w:r>
    </w:p>
    <w:p w14:paraId="0A64784C" w14:textId="77777777" w:rsidR="003429CD" w:rsidRPr="003429CD" w:rsidRDefault="003429CD" w:rsidP="003429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429CD">
        <w:rPr>
          <w:rFonts w:ascii="Times New Roman" w:eastAsia="Times New Roman" w:hAnsi="Times New Roman" w:cs="Times New Roman"/>
          <w:sz w:val="24"/>
          <w:szCs w:val="24"/>
          <w:lang w:eastAsia="de-DE"/>
        </w:rPr>
        <w:t>Farbige Codierung oder Symbole (</w:t>
      </w:r>
      <w:r w:rsidRPr="003429CD">
        <w:rPr>
          <w:rFonts w:ascii="Segoe UI Emoji" w:eastAsia="Times New Roman" w:hAnsi="Segoe UI Emoji" w:cs="Segoe UI Emoji"/>
          <w:sz w:val="24"/>
          <w:szCs w:val="24"/>
          <w:lang w:eastAsia="de-DE"/>
        </w:rPr>
        <w:t>📘</w:t>
      </w:r>
      <w:r w:rsidRPr="003429CD">
        <w:rPr>
          <w:rFonts w:ascii="Times New Roman" w:eastAsia="Times New Roman" w:hAnsi="Times New Roman" w:cs="Times New Roman"/>
          <w:sz w:val="24"/>
          <w:szCs w:val="24"/>
          <w:lang w:eastAsia="de-DE"/>
        </w:rPr>
        <w:t xml:space="preserve"> = Schüler, </w:t>
      </w:r>
      <w:r w:rsidRPr="003429CD">
        <w:rPr>
          <w:rFonts w:ascii="Segoe UI Emoji" w:eastAsia="Times New Roman" w:hAnsi="Segoe UI Emoji" w:cs="Segoe UI Emoji"/>
          <w:sz w:val="24"/>
          <w:szCs w:val="24"/>
          <w:lang w:eastAsia="de-DE"/>
        </w:rPr>
        <w:t>🧑</w:t>
      </w:r>
      <w:r w:rsidRPr="003429CD">
        <w:rPr>
          <w:rFonts w:ascii="Times New Roman" w:eastAsia="Times New Roman" w:hAnsi="Times New Roman" w:cs="Times New Roman"/>
          <w:sz w:val="24"/>
          <w:szCs w:val="24"/>
          <w:lang w:eastAsia="de-DE"/>
        </w:rPr>
        <w:t>‍</w:t>
      </w:r>
      <w:r w:rsidRPr="003429CD">
        <w:rPr>
          <w:rFonts w:ascii="Segoe UI Emoji" w:eastAsia="Times New Roman" w:hAnsi="Segoe UI Emoji" w:cs="Segoe UI Emoji"/>
          <w:sz w:val="24"/>
          <w:szCs w:val="24"/>
          <w:lang w:eastAsia="de-DE"/>
        </w:rPr>
        <w:t>🏫</w:t>
      </w:r>
      <w:r w:rsidRPr="003429CD">
        <w:rPr>
          <w:rFonts w:ascii="Times New Roman" w:eastAsia="Times New Roman" w:hAnsi="Times New Roman" w:cs="Times New Roman"/>
          <w:sz w:val="24"/>
          <w:szCs w:val="24"/>
          <w:lang w:eastAsia="de-DE"/>
        </w:rPr>
        <w:t xml:space="preserve"> = Lehrer, </w:t>
      </w:r>
      <w:r w:rsidRPr="003429CD">
        <w:rPr>
          <w:rFonts w:ascii="Segoe UI Emoji" w:eastAsia="Times New Roman" w:hAnsi="Segoe UI Emoji" w:cs="Segoe UI Emoji"/>
          <w:sz w:val="24"/>
          <w:szCs w:val="24"/>
          <w:lang w:eastAsia="de-DE"/>
        </w:rPr>
        <w:t>🧪</w:t>
      </w:r>
      <w:r w:rsidRPr="003429CD">
        <w:rPr>
          <w:rFonts w:ascii="Times New Roman" w:eastAsia="Times New Roman" w:hAnsi="Times New Roman" w:cs="Times New Roman"/>
          <w:sz w:val="24"/>
          <w:szCs w:val="24"/>
          <w:lang w:eastAsia="de-DE"/>
        </w:rPr>
        <w:t xml:space="preserve"> = Simulation) helfen bei der internen Organisation.</w:t>
      </w:r>
    </w:p>
    <w:p w14:paraId="3C0C9538" w14:textId="77777777" w:rsidR="00596362" w:rsidRDefault="00596362"/>
    <w:sectPr w:rsidR="005963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FA4"/>
    <w:multiLevelType w:val="multilevel"/>
    <w:tmpl w:val="64F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6E0C"/>
    <w:multiLevelType w:val="multilevel"/>
    <w:tmpl w:val="193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5CF7"/>
    <w:multiLevelType w:val="multilevel"/>
    <w:tmpl w:val="8E3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470BC"/>
    <w:multiLevelType w:val="multilevel"/>
    <w:tmpl w:val="4162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771E4"/>
    <w:multiLevelType w:val="multilevel"/>
    <w:tmpl w:val="21C6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A1200"/>
    <w:multiLevelType w:val="multilevel"/>
    <w:tmpl w:val="6E1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90A36"/>
    <w:multiLevelType w:val="multilevel"/>
    <w:tmpl w:val="D71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23882"/>
    <w:multiLevelType w:val="multilevel"/>
    <w:tmpl w:val="4A80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24859"/>
    <w:multiLevelType w:val="multilevel"/>
    <w:tmpl w:val="87B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B0CED"/>
    <w:multiLevelType w:val="multilevel"/>
    <w:tmpl w:val="068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F2754"/>
    <w:multiLevelType w:val="multilevel"/>
    <w:tmpl w:val="01C8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72699B"/>
    <w:multiLevelType w:val="multilevel"/>
    <w:tmpl w:val="4FC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41202"/>
    <w:multiLevelType w:val="multilevel"/>
    <w:tmpl w:val="2D56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955E6"/>
    <w:multiLevelType w:val="multilevel"/>
    <w:tmpl w:val="434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444B1"/>
    <w:multiLevelType w:val="multilevel"/>
    <w:tmpl w:val="1846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C01DD"/>
    <w:multiLevelType w:val="multilevel"/>
    <w:tmpl w:val="465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A01F3"/>
    <w:multiLevelType w:val="multilevel"/>
    <w:tmpl w:val="D16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015A5"/>
    <w:multiLevelType w:val="multilevel"/>
    <w:tmpl w:val="0F0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84C0E"/>
    <w:multiLevelType w:val="multilevel"/>
    <w:tmpl w:val="D56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313BC"/>
    <w:multiLevelType w:val="multilevel"/>
    <w:tmpl w:val="7BF0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0"/>
  </w:num>
  <w:num w:numId="4">
    <w:abstractNumId w:val="2"/>
  </w:num>
  <w:num w:numId="5">
    <w:abstractNumId w:val="9"/>
  </w:num>
  <w:num w:numId="6">
    <w:abstractNumId w:val="16"/>
  </w:num>
  <w:num w:numId="7">
    <w:abstractNumId w:val="13"/>
  </w:num>
  <w:num w:numId="8">
    <w:abstractNumId w:val="11"/>
  </w:num>
  <w:num w:numId="9">
    <w:abstractNumId w:val="12"/>
  </w:num>
  <w:num w:numId="10">
    <w:abstractNumId w:val="8"/>
  </w:num>
  <w:num w:numId="11">
    <w:abstractNumId w:val="5"/>
  </w:num>
  <w:num w:numId="12">
    <w:abstractNumId w:val="7"/>
  </w:num>
  <w:num w:numId="13">
    <w:abstractNumId w:val="4"/>
  </w:num>
  <w:num w:numId="14">
    <w:abstractNumId w:val="1"/>
  </w:num>
  <w:num w:numId="15">
    <w:abstractNumId w:val="15"/>
  </w:num>
  <w:num w:numId="16">
    <w:abstractNumId w:val="19"/>
  </w:num>
  <w:num w:numId="17">
    <w:abstractNumId w:val="17"/>
  </w:num>
  <w:num w:numId="18">
    <w:abstractNumId w:val="18"/>
  </w:num>
  <w:num w:numId="19">
    <w:abstractNumId w:val="14"/>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70"/>
    <w:rsid w:val="003429CD"/>
    <w:rsid w:val="003C6A70"/>
    <w:rsid w:val="00596362"/>
    <w:rsid w:val="008871CF"/>
    <w:rsid w:val="009118A2"/>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42AB7"/>
  <w15:chartTrackingRefBased/>
  <w15:docId w15:val="{0892163B-9DFB-44BD-8324-A35E2A9F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3C6A70"/>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3C6A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3C6A70"/>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3C6A7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3C6A70"/>
  </w:style>
  <w:style w:type="character" w:customStyle="1" w:styleId="mord">
    <w:name w:val="mord"/>
    <w:basedOn w:val="Absatz-Standardschriftart"/>
    <w:rsid w:val="003C6A70"/>
  </w:style>
  <w:style w:type="character" w:customStyle="1" w:styleId="mopen">
    <w:name w:val="mopen"/>
    <w:basedOn w:val="Absatz-Standardschriftart"/>
    <w:rsid w:val="003C6A70"/>
  </w:style>
  <w:style w:type="character" w:customStyle="1" w:styleId="mclose">
    <w:name w:val="mclose"/>
    <w:basedOn w:val="Absatz-Standardschriftart"/>
    <w:rsid w:val="003C6A70"/>
  </w:style>
  <w:style w:type="character" w:customStyle="1" w:styleId="mpunct">
    <w:name w:val="mpunct"/>
    <w:basedOn w:val="Absatz-Standardschriftart"/>
    <w:rsid w:val="003C6A70"/>
  </w:style>
  <w:style w:type="character" w:styleId="Fett">
    <w:name w:val="Strong"/>
    <w:basedOn w:val="Absatz-Standardschriftart"/>
    <w:uiPriority w:val="22"/>
    <w:qFormat/>
    <w:rsid w:val="003C6A70"/>
    <w:rPr>
      <w:b/>
      <w:bCs/>
    </w:rPr>
  </w:style>
  <w:style w:type="character" w:customStyle="1" w:styleId="berschrift4Zchn">
    <w:name w:val="Überschrift 4 Zchn"/>
    <w:basedOn w:val="Absatz-Standardschriftart"/>
    <w:link w:val="berschrift4"/>
    <w:uiPriority w:val="9"/>
    <w:semiHidden/>
    <w:rsid w:val="003C6A70"/>
    <w:rPr>
      <w:rFonts w:asciiTheme="majorHAnsi" w:eastAsiaTheme="majorEastAsia" w:hAnsiTheme="majorHAnsi" w:cstheme="majorBidi"/>
      <w:i/>
      <w:iCs/>
      <w:color w:val="2F5496" w:themeColor="accent1" w:themeShade="BF"/>
    </w:rPr>
  </w:style>
  <w:style w:type="character" w:styleId="Hervorhebung">
    <w:name w:val="Emphasis"/>
    <w:basedOn w:val="Absatz-Standardschriftart"/>
    <w:uiPriority w:val="20"/>
    <w:qFormat/>
    <w:rsid w:val="003C6A70"/>
    <w:rPr>
      <w:i/>
      <w:iCs/>
    </w:rPr>
  </w:style>
  <w:style w:type="character" w:customStyle="1" w:styleId="mrel">
    <w:name w:val="mrel"/>
    <w:basedOn w:val="Absatz-Standardschriftart"/>
    <w:rsid w:val="009118A2"/>
  </w:style>
  <w:style w:type="character" w:customStyle="1" w:styleId="mbin">
    <w:name w:val="mbin"/>
    <w:basedOn w:val="Absatz-Standardschriftart"/>
    <w:rsid w:val="009118A2"/>
  </w:style>
  <w:style w:type="character" w:customStyle="1" w:styleId="mop">
    <w:name w:val="mop"/>
    <w:basedOn w:val="Absatz-Standardschriftart"/>
    <w:rsid w:val="009118A2"/>
  </w:style>
  <w:style w:type="character" w:customStyle="1" w:styleId="vlist-s">
    <w:name w:val="vlist-s"/>
    <w:basedOn w:val="Absatz-Standardschriftart"/>
    <w:rsid w:val="00911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303314">
      <w:bodyDiv w:val="1"/>
      <w:marLeft w:val="0"/>
      <w:marRight w:val="0"/>
      <w:marTop w:val="0"/>
      <w:marBottom w:val="0"/>
      <w:divBdr>
        <w:top w:val="none" w:sz="0" w:space="0" w:color="auto"/>
        <w:left w:val="none" w:sz="0" w:space="0" w:color="auto"/>
        <w:bottom w:val="none" w:sz="0" w:space="0" w:color="auto"/>
        <w:right w:val="none" w:sz="0" w:space="0" w:color="auto"/>
      </w:divBdr>
    </w:div>
    <w:div w:id="556090456">
      <w:bodyDiv w:val="1"/>
      <w:marLeft w:val="0"/>
      <w:marRight w:val="0"/>
      <w:marTop w:val="0"/>
      <w:marBottom w:val="0"/>
      <w:divBdr>
        <w:top w:val="none" w:sz="0" w:space="0" w:color="auto"/>
        <w:left w:val="none" w:sz="0" w:space="0" w:color="auto"/>
        <w:bottom w:val="none" w:sz="0" w:space="0" w:color="auto"/>
        <w:right w:val="none" w:sz="0" w:space="0" w:color="auto"/>
      </w:divBdr>
    </w:div>
    <w:div w:id="839195988">
      <w:bodyDiv w:val="1"/>
      <w:marLeft w:val="0"/>
      <w:marRight w:val="0"/>
      <w:marTop w:val="0"/>
      <w:marBottom w:val="0"/>
      <w:divBdr>
        <w:top w:val="none" w:sz="0" w:space="0" w:color="auto"/>
        <w:left w:val="none" w:sz="0" w:space="0" w:color="auto"/>
        <w:bottom w:val="none" w:sz="0" w:space="0" w:color="auto"/>
        <w:right w:val="none" w:sz="0" w:space="0" w:color="auto"/>
      </w:divBdr>
    </w:div>
    <w:div w:id="1066144651">
      <w:bodyDiv w:val="1"/>
      <w:marLeft w:val="0"/>
      <w:marRight w:val="0"/>
      <w:marTop w:val="0"/>
      <w:marBottom w:val="0"/>
      <w:divBdr>
        <w:top w:val="none" w:sz="0" w:space="0" w:color="auto"/>
        <w:left w:val="none" w:sz="0" w:space="0" w:color="auto"/>
        <w:bottom w:val="none" w:sz="0" w:space="0" w:color="auto"/>
        <w:right w:val="none" w:sz="0" w:space="0" w:color="auto"/>
      </w:divBdr>
    </w:div>
    <w:div w:id="1082145130">
      <w:bodyDiv w:val="1"/>
      <w:marLeft w:val="0"/>
      <w:marRight w:val="0"/>
      <w:marTop w:val="0"/>
      <w:marBottom w:val="0"/>
      <w:divBdr>
        <w:top w:val="none" w:sz="0" w:space="0" w:color="auto"/>
        <w:left w:val="none" w:sz="0" w:space="0" w:color="auto"/>
        <w:bottom w:val="none" w:sz="0" w:space="0" w:color="auto"/>
        <w:right w:val="none" w:sz="0" w:space="0" w:color="auto"/>
      </w:divBdr>
    </w:div>
    <w:div w:id="1090544611">
      <w:bodyDiv w:val="1"/>
      <w:marLeft w:val="0"/>
      <w:marRight w:val="0"/>
      <w:marTop w:val="0"/>
      <w:marBottom w:val="0"/>
      <w:divBdr>
        <w:top w:val="none" w:sz="0" w:space="0" w:color="auto"/>
        <w:left w:val="none" w:sz="0" w:space="0" w:color="auto"/>
        <w:bottom w:val="none" w:sz="0" w:space="0" w:color="auto"/>
        <w:right w:val="none" w:sz="0" w:space="0" w:color="auto"/>
      </w:divBdr>
    </w:div>
    <w:div w:id="1355155761">
      <w:bodyDiv w:val="1"/>
      <w:marLeft w:val="0"/>
      <w:marRight w:val="0"/>
      <w:marTop w:val="0"/>
      <w:marBottom w:val="0"/>
      <w:divBdr>
        <w:top w:val="none" w:sz="0" w:space="0" w:color="auto"/>
        <w:left w:val="none" w:sz="0" w:space="0" w:color="auto"/>
        <w:bottom w:val="none" w:sz="0" w:space="0" w:color="auto"/>
        <w:right w:val="none" w:sz="0" w:space="0" w:color="auto"/>
      </w:divBdr>
    </w:div>
    <w:div w:id="1648973142">
      <w:bodyDiv w:val="1"/>
      <w:marLeft w:val="0"/>
      <w:marRight w:val="0"/>
      <w:marTop w:val="0"/>
      <w:marBottom w:val="0"/>
      <w:divBdr>
        <w:top w:val="none" w:sz="0" w:space="0" w:color="auto"/>
        <w:left w:val="none" w:sz="0" w:space="0" w:color="auto"/>
        <w:bottom w:val="none" w:sz="0" w:space="0" w:color="auto"/>
        <w:right w:val="none" w:sz="0" w:space="0" w:color="auto"/>
      </w:divBdr>
    </w:div>
    <w:div w:id="1736392304">
      <w:bodyDiv w:val="1"/>
      <w:marLeft w:val="0"/>
      <w:marRight w:val="0"/>
      <w:marTop w:val="0"/>
      <w:marBottom w:val="0"/>
      <w:divBdr>
        <w:top w:val="none" w:sz="0" w:space="0" w:color="auto"/>
        <w:left w:val="none" w:sz="0" w:space="0" w:color="auto"/>
        <w:bottom w:val="none" w:sz="0" w:space="0" w:color="auto"/>
        <w:right w:val="none" w:sz="0" w:space="0" w:color="auto"/>
      </w:divBdr>
      <w:divsChild>
        <w:div w:id="1529560003">
          <w:marLeft w:val="0"/>
          <w:marRight w:val="0"/>
          <w:marTop w:val="0"/>
          <w:marBottom w:val="0"/>
          <w:divBdr>
            <w:top w:val="none" w:sz="0" w:space="0" w:color="auto"/>
            <w:left w:val="none" w:sz="0" w:space="0" w:color="auto"/>
            <w:bottom w:val="none" w:sz="0" w:space="0" w:color="auto"/>
            <w:right w:val="none" w:sz="0" w:space="0" w:color="auto"/>
          </w:divBdr>
          <w:divsChild>
            <w:div w:id="11398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4399</Words>
  <Characters>27714</Characters>
  <Application>Microsoft Office Word</Application>
  <DocSecurity>0</DocSecurity>
  <Lines>230</Lines>
  <Paragraphs>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2025-05-29T08:42:00Z</dcterms:created>
  <dcterms:modified xsi:type="dcterms:W3CDTF">2025-05-29T09:29:00Z</dcterms:modified>
</cp:coreProperties>
</file>