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EFE37"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Anlagen C zur Dissertation von Dipl.-Ing. Olaf Thiele</w:t>
      </w:r>
      <w:r w:rsidRPr="009343F7">
        <w:rPr>
          <w:rFonts w:ascii="Times New Roman" w:eastAsia="Times New Roman" w:hAnsi="Times New Roman" w:cs="Times New Roman"/>
          <w:sz w:val="24"/>
          <w:szCs w:val="24"/>
          <w:lang w:eastAsia="de-DE"/>
        </w:rPr>
        <w:br/>
      </w:r>
      <w:r w:rsidRPr="009343F7">
        <w:rPr>
          <w:rFonts w:ascii="Times New Roman" w:eastAsia="Times New Roman" w:hAnsi="Times New Roman" w:cs="Times New Roman"/>
          <w:i/>
          <w:iCs/>
          <w:sz w:val="24"/>
          <w:szCs w:val="24"/>
          <w:lang w:eastAsia="de-DE"/>
        </w:rPr>
        <w:t>Funktionale Didaktik und Anwendung des FZRK im Unterricht</w:t>
      </w:r>
    </w:p>
    <w:p w14:paraId="0C3B6D1C"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4086BF73">
          <v:rect id="_x0000_i1025" style="width:0;height:1.5pt" o:hralign="center" o:hrstd="t" o:hr="t" fillcolor="#a0a0a0" stroked="f"/>
        </w:pict>
      </w:r>
    </w:p>
    <w:p w14:paraId="5ED57894"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C.1 Einleitung &amp; Zielsetzung</w:t>
      </w:r>
    </w:p>
    <w:p w14:paraId="3E7FA274"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Diese Anlage stellt die Grundidee der funktionalen Datenmodellierung nach dem FZRK dar. Ziel ist es, Schülerverhalten, Lernverläufe und kognitive Entwicklung nicht nur zu beobachten, sondern als funktionale Zuweisung innerhalb eines rekonstruierbaren Systems darzustellen.</w:t>
      </w:r>
    </w:p>
    <w:p w14:paraId="41880A11"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Zielsetzung:</w:t>
      </w:r>
    </w:p>
    <w:p w14:paraId="1AF7046C" w14:textId="77777777" w:rsidR="009343F7" w:rsidRPr="009343F7" w:rsidRDefault="009343F7" w:rsidP="009343F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Schaffung eines nachvollziehbaren didaktischen Analysemodells</w:t>
      </w:r>
    </w:p>
    <w:p w14:paraId="11715956" w14:textId="77777777" w:rsidR="009343F7" w:rsidRPr="009343F7" w:rsidRDefault="009343F7" w:rsidP="009343F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Verknüpfung von Sozialverhalten, Lernverhalten und Leistungsmustern</w:t>
      </w:r>
    </w:p>
    <w:p w14:paraId="447CF143" w14:textId="77777777" w:rsidR="009343F7" w:rsidRPr="009343F7" w:rsidRDefault="009343F7" w:rsidP="009343F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Entwicklung technischer Werkzeuge zur codierten Beobachtung</w:t>
      </w:r>
    </w:p>
    <w:p w14:paraId="084079F3" w14:textId="77777777" w:rsidR="009343F7" w:rsidRPr="009343F7" w:rsidRDefault="009343F7" w:rsidP="009343F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Umsetzung in der Unterrichtspraxis zur Diagnose und Förderung</w:t>
      </w:r>
    </w:p>
    <w:p w14:paraId="2C931441"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Der Ansatz orientiert sich an aktuellen bildungswissenschaftlichen Anforderungen an kompetenzorientierte Diagnostik [1], an konstruktivistischen Perspektiven der Wissensgenese [2] sowie an funktionalen Beschreibungsmodellen aus der theoretischen Physik und Mathematik [3].</w:t>
      </w:r>
    </w:p>
    <w:p w14:paraId="217CC533"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0C6B8283">
          <v:rect id="_x0000_i1026" style="width:0;height:1.5pt" o:hralign="center" o:hrstd="t" o:hr="t" fillcolor="#a0a0a0" stroked="f"/>
        </w:pict>
      </w:r>
    </w:p>
    <w:p w14:paraId="4AA60939"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C.2 Funktionale Datenstruktur: Sozial- und Lernmatrix</w:t>
      </w:r>
    </w:p>
    <w:p w14:paraId="5EBCA56C"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Die funktionale Matrixstruktur unterteilt Beobachtungsdaten in drei Hauptbereiche:</w:t>
      </w:r>
    </w:p>
    <w:p w14:paraId="062318A6"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1. Sozialverhalten</w:t>
      </w:r>
    </w:p>
    <w:p w14:paraId="0B7547D0" w14:textId="77777777" w:rsidR="009343F7" w:rsidRPr="009343F7" w:rsidRDefault="009343F7" w:rsidP="009343F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Absprachen einhaltend / nicht einhaltend</w:t>
      </w:r>
    </w:p>
    <w:p w14:paraId="2D50B02F" w14:textId="77777777" w:rsidR="009343F7" w:rsidRPr="009343F7" w:rsidRDefault="009343F7" w:rsidP="009343F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Beteiligung / Störung</w:t>
      </w:r>
    </w:p>
    <w:p w14:paraId="0B83C8B4" w14:textId="77777777" w:rsidR="009343F7" w:rsidRPr="009343F7" w:rsidRDefault="009343F7" w:rsidP="009343F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Engagement / Gleichgültigkeit</w:t>
      </w:r>
    </w:p>
    <w:p w14:paraId="59B75BC2"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2. Lernverhalten</w:t>
      </w:r>
    </w:p>
    <w:p w14:paraId="6A480E6C" w14:textId="77777777" w:rsidR="009343F7" w:rsidRPr="009343F7" w:rsidRDefault="009343F7" w:rsidP="009343F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Konzentration</w:t>
      </w:r>
    </w:p>
    <w:p w14:paraId="695E231E" w14:textId="77777777" w:rsidR="009343F7" w:rsidRPr="009343F7" w:rsidRDefault="009343F7" w:rsidP="009343F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Vorbereitung</w:t>
      </w:r>
    </w:p>
    <w:p w14:paraId="5B762697" w14:textId="77777777" w:rsidR="009343F7" w:rsidRPr="009343F7" w:rsidRDefault="009343F7" w:rsidP="009343F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Selbständigkeit</w:t>
      </w:r>
    </w:p>
    <w:p w14:paraId="5EB34FE3" w14:textId="77777777" w:rsidR="009343F7" w:rsidRPr="009343F7" w:rsidRDefault="009343F7" w:rsidP="009343F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Materialverfügbarkeit</w:t>
      </w:r>
    </w:p>
    <w:p w14:paraId="200C99EC"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3. Wissensstand / Kompetenzen</w:t>
      </w:r>
    </w:p>
    <w:p w14:paraId="1E79C023" w14:textId="77777777" w:rsidR="009343F7" w:rsidRPr="009343F7" w:rsidRDefault="009343F7" w:rsidP="009343F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Lernfortschritt</w:t>
      </w:r>
    </w:p>
    <w:p w14:paraId="3FCCCA8B" w14:textId="77777777" w:rsidR="009343F7" w:rsidRPr="009343F7" w:rsidRDefault="009343F7" w:rsidP="009343F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Basiswissen vorhanden</w:t>
      </w:r>
    </w:p>
    <w:p w14:paraId="2E830971" w14:textId="77777777" w:rsidR="009343F7" w:rsidRPr="009343F7" w:rsidRDefault="009343F7" w:rsidP="009343F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Transferfähigkeit</w:t>
      </w:r>
    </w:p>
    <w:p w14:paraId="740E10CF" w14:textId="77777777" w:rsidR="009343F7" w:rsidRPr="009343F7" w:rsidRDefault="009343F7" w:rsidP="009343F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Themenbeherrschung</w:t>
      </w:r>
    </w:p>
    <w:p w14:paraId="5AA7D074"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lastRenderedPageBreak/>
        <w:t>Die codierte Erfassung dieser Merkmale entspricht den Empfehlungen zur evidenzbasierten Lernverlaufsdiagnostik [4] und ermöglicht die datenbasierte Rekonstruktion individueller Lernprofile.</w:t>
      </w:r>
    </w:p>
    <w:p w14:paraId="72F4EAB3"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137A8601">
          <v:rect id="_x0000_i1027" style="width:0;height:1.5pt" o:hralign="center" o:hrstd="t" o:hr="t" fillcolor="#a0a0a0" stroked="f"/>
        </w:pict>
      </w:r>
    </w:p>
    <w:p w14:paraId="38DCB8D5"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C.2b Leistungsmatrix (fachliche Dimension)</w:t>
      </w:r>
    </w:p>
    <w:p w14:paraId="06AB9B20"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Die Leistungsmatrix ergänzt die Sozial- und Lernmatrix durch fachliche Kompetenzmerkmale:</w:t>
      </w:r>
    </w:p>
    <w:p w14:paraId="006AC2A4" w14:textId="77777777" w:rsidR="009343F7" w:rsidRPr="009343F7" w:rsidRDefault="009343F7" w:rsidP="009343F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Aufgabenlösung (vollständig, korrekt, strukturiert)</w:t>
      </w:r>
    </w:p>
    <w:p w14:paraId="1AB9C0E8" w14:textId="77777777" w:rsidR="009343F7" w:rsidRPr="009343F7" w:rsidRDefault="009343F7" w:rsidP="009343F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Transferleistungen (Anwendung auf neue Kontexte)</w:t>
      </w:r>
    </w:p>
    <w:p w14:paraId="632A4804" w14:textId="77777777" w:rsidR="009343F7" w:rsidRPr="009343F7" w:rsidRDefault="009343F7" w:rsidP="009343F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Argumentationsfähigkeit</w:t>
      </w:r>
    </w:p>
    <w:p w14:paraId="6819AE96" w14:textId="77777777" w:rsidR="009343F7" w:rsidRPr="009343F7" w:rsidRDefault="009343F7" w:rsidP="009343F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Selbstkontrolle &amp; Reflexion</w:t>
      </w:r>
    </w:p>
    <w:p w14:paraId="3C4B8CA8"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Diese Kategorien orientieren sich an den KMK-Bildungsstandards [5] und den Prinzipien der mathematischen Kompetenzmodelle im PISA-Kontext [6].</w:t>
      </w:r>
    </w:p>
    <w:p w14:paraId="395FCC8B"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5E73807F">
          <v:rect id="_x0000_i1028" style="width:0;height:1.5pt" o:hralign="center" o:hrstd="t" o:hr="t" fillcolor="#a0a0a0" stroked="f"/>
        </w:pict>
      </w:r>
    </w:p>
    <w:p w14:paraId="2B36BD39"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C.2c Clusterbildung und Überblicksschemata</w:t>
      </w:r>
    </w:p>
    <w:p w14:paraId="6E060D8B"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Funktionale Zuweisungen lassen sich über Clusteranalysen verdichten:</w:t>
      </w:r>
    </w:p>
    <w:p w14:paraId="79428587" w14:textId="77777777" w:rsidR="009343F7" w:rsidRPr="009343F7" w:rsidRDefault="009343F7" w:rsidP="009343F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Gruppenzugehörigkeiten (z. B. "selbstorganisiert arbeitend")</w:t>
      </w:r>
    </w:p>
    <w:p w14:paraId="08098BF3" w14:textId="77777777" w:rsidR="009343F7" w:rsidRPr="009343F7" w:rsidRDefault="009343F7" w:rsidP="009343F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Mustererkennung (z. B. wiederkehrende Transferprobleme)</w:t>
      </w:r>
    </w:p>
    <w:p w14:paraId="714A9F26" w14:textId="77777777" w:rsidR="009343F7" w:rsidRPr="009343F7" w:rsidRDefault="009343F7" w:rsidP="009343F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Verortung im FZRK-Raum: Kombination aus Sozial/Lern/Leistung</w:t>
      </w:r>
    </w:p>
    <w:p w14:paraId="56C865A5"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Dabei werden Verfahren aus der lernpsychologischen Netzwerkanalyse [7] sowie Prinzipien semantischer Kodierung genutzt, wie sie aus der Systemtheorie bekannt sind [8].</w:t>
      </w:r>
    </w:p>
    <w:p w14:paraId="60F05A0F"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10156174">
          <v:rect id="_x0000_i1029" style="width:0;height:1.5pt" o:hralign="center" o:hrstd="t" o:hr="t" fillcolor="#a0a0a0" stroked="f"/>
        </w:pict>
      </w:r>
    </w:p>
    <w:p w14:paraId="7FBBD999"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C.2d Visualisierte Auswertungsplattform (FZRK-GUI)</w:t>
      </w:r>
    </w:p>
    <w:p w14:paraId="6497AEDA"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Ein prototypisches Python-basiertes Frontend erlaubt:</w:t>
      </w:r>
    </w:p>
    <w:p w14:paraId="2A1BCD2B" w14:textId="77777777" w:rsidR="009343F7" w:rsidRPr="009343F7" w:rsidRDefault="009343F7" w:rsidP="009343F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Checkbox-Eingabe sozialer und kognitiver Merkmale</w:t>
      </w:r>
    </w:p>
    <w:p w14:paraId="079ABAA6" w14:textId="77777777" w:rsidR="009343F7" w:rsidRPr="009343F7" w:rsidRDefault="009343F7" w:rsidP="009343F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Automatisierte Codierung der Zuweisungen</w:t>
      </w:r>
    </w:p>
    <w:p w14:paraId="55F7257B" w14:textId="77777777" w:rsidR="009343F7" w:rsidRPr="009343F7" w:rsidRDefault="009343F7" w:rsidP="009343F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 xml:space="preserve">Visualisierung als </w:t>
      </w:r>
      <w:proofErr w:type="spellStart"/>
      <w:r w:rsidRPr="009343F7">
        <w:rPr>
          <w:rFonts w:ascii="Times New Roman" w:eastAsia="Times New Roman" w:hAnsi="Times New Roman" w:cs="Times New Roman"/>
          <w:sz w:val="24"/>
          <w:szCs w:val="24"/>
          <w:lang w:eastAsia="de-DE"/>
        </w:rPr>
        <w:t>Heatmap</w:t>
      </w:r>
      <w:proofErr w:type="spellEnd"/>
      <w:r w:rsidRPr="009343F7">
        <w:rPr>
          <w:rFonts w:ascii="Times New Roman" w:eastAsia="Times New Roman" w:hAnsi="Times New Roman" w:cs="Times New Roman"/>
          <w:sz w:val="24"/>
          <w:szCs w:val="24"/>
          <w:lang w:eastAsia="de-DE"/>
        </w:rPr>
        <w:t>, Verlaufsgraf oder Profilkarte</w:t>
      </w:r>
    </w:p>
    <w:p w14:paraId="0565BBD9" w14:textId="77777777" w:rsidR="009343F7" w:rsidRPr="009343F7" w:rsidRDefault="009343F7" w:rsidP="009343F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Exportfunktionen für schulische Analyse, Elterngespräche, interne Evaluation</w:t>
      </w:r>
    </w:p>
    <w:p w14:paraId="2AE43758"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 xml:space="preserve">Technologisch basiert dies auf gängigen Bibliotheken (Pandas, </w:t>
      </w:r>
      <w:proofErr w:type="spellStart"/>
      <w:r w:rsidRPr="009343F7">
        <w:rPr>
          <w:rFonts w:ascii="Times New Roman" w:eastAsia="Times New Roman" w:hAnsi="Times New Roman" w:cs="Times New Roman"/>
          <w:sz w:val="24"/>
          <w:szCs w:val="24"/>
          <w:lang w:eastAsia="de-DE"/>
        </w:rPr>
        <w:t>Plotly</w:t>
      </w:r>
      <w:proofErr w:type="spellEnd"/>
      <w:r w:rsidRPr="009343F7">
        <w:rPr>
          <w:rFonts w:ascii="Times New Roman" w:eastAsia="Times New Roman" w:hAnsi="Times New Roman" w:cs="Times New Roman"/>
          <w:sz w:val="24"/>
          <w:szCs w:val="24"/>
          <w:lang w:eastAsia="de-DE"/>
        </w:rPr>
        <w:t xml:space="preserve">, </w:t>
      </w:r>
      <w:proofErr w:type="spellStart"/>
      <w:r w:rsidRPr="009343F7">
        <w:rPr>
          <w:rFonts w:ascii="Times New Roman" w:eastAsia="Times New Roman" w:hAnsi="Times New Roman" w:cs="Times New Roman"/>
          <w:sz w:val="24"/>
          <w:szCs w:val="24"/>
          <w:lang w:eastAsia="de-DE"/>
        </w:rPr>
        <w:t>Seaborn</w:t>
      </w:r>
      <w:proofErr w:type="spellEnd"/>
      <w:r w:rsidRPr="009343F7">
        <w:rPr>
          <w:rFonts w:ascii="Times New Roman" w:eastAsia="Times New Roman" w:hAnsi="Times New Roman" w:cs="Times New Roman"/>
          <w:sz w:val="24"/>
          <w:szCs w:val="24"/>
          <w:lang w:eastAsia="de-DE"/>
        </w:rPr>
        <w:t>) und realisiert so ein didaktisches Dashboard zur evidenzbasierten Steuerung [9].</w:t>
      </w:r>
    </w:p>
    <w:p w14:paraId="102BF7B3"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1F486666">
          <v:rect id="_x0000_i1030" style="width:0;height:1.5pt" o:hralign="center" o:hrstd="t" o:hr="t" fillcolor="#a0a0a0" stroked="f"/>
        </w:pict>
      </w:r>
    </w:p>
    <w:p w14:paraId="01CA4182"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C.3 Didaktische Methoden: Klassenstufenmodell D.2 – D.4</w:t>
      </w:r>
    </w:p>
    <w:p w14:paraId="473FC389"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lastRenderedPageBreak/>
        <w:t>D.2 Grundschule (Klasse 2–4)</w:t>
      </w:r>
      <w:r w:rsidRPr="009343F7">
        <w:rPr>
          <w:rFonts w:ascii="Times New Roman" w:eastAsia="Times New Roman" w:hAnsi="Times New Roman" w:cs="Times New Roman"/>
          <w:sz w:val="24"/>
          <w:szCs w:val="24"/>
          <w:lang w:eastAsia="de-DE"/>
        </w:rPr>
        <w:br/>
        <w:t>Fokus: Aufbau eines stabilen Rechenweges. Methode:</w:t>
      </w:r>
    </w:p>
    <w:p w14:paraId="743D3829" w14:textId="77777777" w:rsidR="009343F7" w:rsidRPr="009343F7" w:rsidRDefault="009343F7" w:rsidP="009343F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Ergebnisprüfung einfacher Aufgaben</w:t>
      </w:r>
    </w:p>
    <w:p w14:paraId="6BA0621F" w14:textId="77777777" w:rsidR="009343F7" w:rsidRPr="009343F7" w:rsidRDefault="009343F7" w:rsidP="009343F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Einzelstrategie festigen</w:t>
      </w:r>
    </w:p>
    <w:p w14:paraId="02E12864" w14:textId="77777777" w:rsidR="009343F7" w:rsidRPr="009343F7" w:rsidRDefault="009343F7" w:rsidP="009343F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Sachaufgaben strukturieren (Unterstreichtechnik)</w:t>
      </w:r>
    </w:p>
    <w:p w14:paraId="12D731D0" w14:textId="77777777" w:rsidR="009343F7" w:rsidRPr="009343F7" w:rsidRDefault="009343F7" w:rsidP="009343F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Transfer auf andere Zahlenräume</w:t>
      </w:r>
    </w:p>
    <w:p w14:paraId="649EB5DB"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D.3 Mittelstufe (Klasse 5–7)</w:t>
      </w:r>
      <w:r w:rsidRPr="009343F7">
        <w:rPr>
          <w:rFonts w:ascii="Times New Roman" w:eastAsia="Times New Roman" w:hAnsi="Times New Roman" w:cs="Times New Roman"/>
          <w:sz w:val="24"/>
          <w:szCs w:val="24"/>
          <w:lang w:eastAsia="de-DE"/>
        </w:rPr>
        <w:br/>
        <w:t>Fokus: Strukturierte Problemzerlegung. Methode:</w:t>
      </w:r>
    </w:p>
    <w:p w14:paraId="37B3735E" w14:textId="77777777" w:rsidR="009343F7" w:rsidRPr="009343F7" w:rsidRDefault="009343F7" w:rsidP="009343F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Erkennen von Aufgabenarten (z. B. Dreisatz, Gleichungen)</w:t>
      </w:r>
    </w:p>
    <w:p w14:paraId="7A5DAAB2" w14:textId="77777777" w:rsidR="009343F7" w:rsidRPr="009343F7" w:rsidRDefault="009343F7" w:rsidP="009343F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Kombination visueller Hilfen (Tabellen, Skizzen)</w:t>
      </w:r>
    </w:p>
    <w:p w14:paraId="766A6ECA" w14:textId="77777777" w:rsidR="009343F7" w:rsidRPr="009343F7" w:rsidRDefault="009343F7" w:rsidP="009343F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Aufbau logischer Repräsentationen</w:t>
      </w:r>
    </w:p>
    <w:p w14:paraId="6C292C99"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b/>
          <w:bCs/>
          <w:sz w:val="24"/>
          <w:szCs w:val="24"/>
          <w:lang w:eastAsia="de-DE"/>
        </w:rPr>
        <w:t>D.4 Sekundarstufe I/II (Klasse 8–13)</w:t>
      </w:r>
      <w:r w:rsidRPr="009343F7">
        <w:rPr>
          <w:rFonts w:ascii="Times New Roman" w:eastAsia="Times New Roman" w:hAnsi="Times New Roman" w:cs="Times New Roman"/>
          <w:sz w:val="24"/>
          <w:szCs w:val="24"/>
          <w:lang w:eastAsia="de-DE"/>
        </w:rPr>
        <w:br/>
        <w:t>Fokus: Problemlösungskompetenz. Methode:</w:t>
      </w:r>
    </w:p>
    <w:p w14:paraId="02A0D51C" w14:textId="77777777" w:rsidR="009343F7" w:rsidRPr="009343F7" w:rsidRDefault="009343F7" w:rsidP="009343F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Mathematische Modellierung komplexer Aufgaben</w:t>
      </w:r>
    </w:p>
    <w:p w14:paraId="6F1C3975" w14:textId="77777777" w:rsidR="009343F7" w:rsidRPr="009343F7" w:rsidRDefault="009343F7" w:rsidP="009343F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Vergleich mehrerer Rechenstrategien</w:t>
      </w:r>
    </w:p>
    <w:p w14:paraId="28D536BE" w14:textId="77777777" w:rsidR="009343F7" w:rsidRPr="009343F7" w:rsidRDefault="009343F7" w:rsidP="009343F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Reflexion und Begründung von Lösungswegen</w:t>
      </w:r>
    </w:p>
    <w:p w14:paraId="16A1DD89"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Diese Methoden basieren auf lernpsychologischen Entwicklungsmodellen (z. B. Stufen nach Bruner [10]) sowie auf heuristischen Lernstrategien im Mathematikunterricht [11].</w:t>
      </w:r>
    </w:p>
    <w:p w14:paraId="5ABC8152"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378D26EE">
          <v:rect id="_x0000_i1031" style="width:0;height:1.5pt" o:hralign="center" o:hrstd="t" o:hr="t" fillcolor="#a0a0a0" stroked="f"/>
        </w:pict>
      </w:r>
    </w:p>
    <w:p w14:paraId="0CBA1B9B"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C.4 HTML-Eingabeprotokoll (ICAS 7)</w:t>
      </w:r>
    </w:p>
    <w:p w14:paraId="5AC1C39A"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 xml:space="preserve">Standardisiertes Protokoll zur Beobachtung von </w:t>
      </w:r>
      <w:proofErr w:type="spellStart"/>
      <w:proofErr w:type="gramStart"/>
      <w:r w:rsidRPr="009343F7">
        <w:rPr>
          <w:rFonts w:ascii="Times New Roman" w:eastAsia="Times New Roman" w:hAnsi="Times New Roman" w:cs="Times New Roman"/>
          <w:sz w:val="24"/>
          <w:szCs w:val="24"/>
          <w:lang w:eastAsia="de-DE"/>
        </w:rPr>
        <w:t>Schüler:innen</w:t>
      </w:r>
      <w:proofErr w:type="spellEnd"/>
      <w:proofErr w:type="gramEnd"/>
      <w:r w:rsidRPr="009343F7">
        <w:rPr>
          <w:rFonts w:ascii="Times New Roman" w:eastAsia="Times New Roman" w:hAnsi="Times New Roman" w:cs="Times New Roman"/>
          <w:sz w:val="24"/>
          <w:szCs w:val="24"/>
          <w:lang w:eastAsia="de-DE"/>
        </w:rPr>
        <w:t xml:space="preserve"> im Kontext des FZRK. Felder:</w:t>
      </w:r>
    </w:p>
    <w:p w14:paraId="5679D0EC"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Themenwahl (</w:t>
      </w:r>
      <w:proofErr w:type="spellStart"/>
      <w:r w:rsidRPr="009343F7">
        <w:rPr>
          <w:rFonts w:ascii="Times New Roman" w:eastAsia="Times New Roman" w:hAnsi="Times New Roman" w:cs="Times New Roman"/>
          <w:sz w:val="24"/>
          <w:szCs w:val="24"/>
          <w:lang w:eastAsia="de-DE"/>
        </w:rPr>
        <w:t>Autocomplete</w:t>
      </w:r>
      <w:proofErr w:type="spellEnd"/>
      <w:r w:rsidRPr="009343F7">
        <w:rPr>
          <w:rFonts w:ascii="Times New Roman" w:eastAsia="Times New Roman" w:hAnsi="Times New Roman" w:cs="Times New Roman"/>
          <w:sz w:val="24"/>
          <w:szCs w:val="24"/>
          <w:lang w:eastAsia="de-DE"/>
        </w:rPr>
        <w:t>)</w:t>
      </w:r>
    </w:p>
    <w:p w14:paraId="1A50CFBE"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An- und Abwesenheit (Checkbox)</w:t>
      </w:r>
    </w:p>
    <w:p w14:paraId="293E75FB"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Sozialverhalten (Checkbox-Auswahl)</w:t>
      </w:r>
    </w:p>
    <w:p w14:paraId="5C40DC5F"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Lernverhalten (Checkbox-Auswahl)</w:t>
      </w:r>
    </w:p>
    <w:p w14:paraId="3F531F93"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Wissensstand (Checkbox-Auswahl)</w:t>
      </w:r>
    </w:p>
    <w:p w14:paraId="72EF15ED" w14:textId="77777777" w:rsidR="009343F7" w:rsidRPr="009343F7" w:rsidRDefault="009343F7" w:rsidP="009343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Freitextkommentare zur Ergänzung</w:t>
      </w:r>
    </w:p>
    <w:p w14:paraId="592928E5"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Ziel: Strukturierte Eingabe der Beobachtungen im digitalen Kontext mit anschließender Datenmatrixverarbeitung. Dieses Verfahren erlaubt eine saubere Trennung von Erhebung, Interpretation und Visualisierung [12].</w:t>
      </w:r>
    </w:p>
    <w:p w14:paraId="1B12C684" w14:textId="77777777" w:rsidR="009343F7" w:rsidRPr="009343F7" w:rsidRDefault="009343F7" w:rsidP="009343F7">
      <w:pPr>
        <w:spacing w:after="0"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pict w14:anchorId="3D1B4410">
          <v:rect id="_x0000_i1032" style="width:0;height:1.5pt" o:hralign="center" o:hrstd="t" o:hr="t" fillcolor="#a0a0a0" stroked="f"/>
        </w:pict>
      </w:r>
    </w:p>
    <w:p w14:paraId="3A5669F4" w14:textId="77777777" w:rsidR="009343F7" w:rsidRPr="009343F7" w:rsidRDefault="009343F7" w:rsidP="009343F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43F7">
        <w:rPr>
          <w:rFonts w:ascii="Times New Roman" w:eastAsia="Times New Roman" w:hAnsi="Times New Roman" w:cs="Times New Roman"/>
          <w:b/>
          <w:bCs/>
          <w:sz w:val="27"/>
          <w:szCs w:val="27"/>
          <w:lang w:eastAsia="de-DE"/>
        </w:rPr>
        <w:t>Literaturverweise (Anlagen C)</w:t>
      </w:r>
    </w:p>
    <w:p w14:paraId="202B91BB" w14:textId="77777777" w:rsidR="009343F7" w:rsidRPr="009343F7" w:rsidRDefault="009343F7" w:rsidP="009343F7">
      <w:pPr>
        <w:spacing w:before="100" w:beforeAutospacing="1" w:after="100" w:afterAutospacing="1" w:line="240" w:lineRule="auto"/>
        <w:rPr>
          <w:rFonts w:ascii="Times New Roman" w:eastAsia="Times New Roman" w:hAnsi="Times New Roman" w:cs="Times New Roman"/>
          <w:sz w:val="24"/>
          <w:szCs w:val="24"/>
          <w:lang w:eastAsia="de-DE"/>
        </w:rPr>
      </w:pPr>
      <w:r w:rsidRPr="009343F7">
        <w:rPr>
          <w:rFonts w:ascii="Times New Roman" w:eastAsia="Times New Roman" w:hAnsi="Times New Roman" w:cs="Times New Roman"/>
          <w:sz w:val="24"/>
          <w:szCs w:val="24"/>
          <w:lang w:eastAsia="de-DE"/>
        </w:rPr>
        <w:t xml:space="preserve">[1] Helmke, A. (2017). </w:t>
      </w:r>
      <w:r w:rsidRPr="009343F7">
        <w:rPr>
          <w:rFonts w:ascii="Times New Roman" w:eastAsia="Times New Roman" w:hAnsi="Times New Roman" w:cs="Times New Roman"/>
          <w:i/>
          <w:iCs/>
          <w:sz w:val="24"/>
          <w:szCs w:val="24"/>
          <w:lang w:eastAsia="de-DE"/>
        </w:rPr>
        <w:t>Unterrichtsqualität und Lehrerprofessionalität</w:t>
      </w:r>
      <w:r w:rsidRPr="009343F7">
        <w:rPr>
          <w:rFonts w:ascii="Times New Roman" w:eastAsia="Times New Roman" w:hAnsi="Times New Roman" w:cs="Times New Roman"/>
          <w:sz w:val="24"/>
          <w:szCs w:val="24"/>
          <w:lang w:eastAsia="de-DE"/>
        </w:rPr>
        <w:t>. Klett-Cotta.</w:t>
      </w:r>
      <w:r w:rsidRPr="009343F7">
        <w:rPr>
          <w:rFonts w:ascii="Times New Roman" w:eastAsia="Times New Roman" w:hAnsi="Times New Roman" w:cs="Times New Roman"/>
          <w:sz w:val="24"/>
          <w:szCs w:val="24"/>
          <w:lang w:eastAsia="de-DE"/>
        </w:rPr>
        <w:br/>
        <w:t xml:space="preserve">[2] von </w:t>
      </w:r>
      <w:proofErr w:type="spellStart"/>
      <w:r w:rsidRPr="009343F7">
        <w:rPr>
          <w:rFonts w:ascii="Times New Roman" w:eastAsia="Times New Roman" w:hAnsi="Times New Roman" w:cs="Times New Roman"/>
          <w:sz w:val="24"/>
          <w:szCs w:val="24"/>
          <w:lang w:eastAsia="de-DE"/>
        </w:rPr>
        <w:t>Glasersfeld</w:t>
      </w:r>
      <w:proofErr w:type="spellEnd"/>
      <w:r w:rsidRPr="009343F7">
        <w:rPr>
          <w:rFonts w:ascii="Times New Roman" w:eastAsia="Times New Roman" w:hAnsi="Times New Roman" w:cs="Times New Roman"/>
          <w:sz w:val="24"/>
          <w:szCs w:val="24"/>
          <w:lang w:eastAsia="de-DE"/>
        </w:rPr>
        <w:t xml:space="preserve">, E. (1995). </w:t>
      </w:r>
      <w:r w:rsidRPr="009343F7">
        <w:rPr>
          <w:rFonts w:ascii="Times New Roman" w:eastAsia="Times New Roman" w:hAnsi="Times New Roman" w:cs="Times New Roman"/>
          <w:i/>
          <w:iCs/>
          <w:sz w:val="24"/>
          <w:szCs w:val="24"/>
          <w:lang w:eastAsia="de-DE"/>
        </w:rPr>
        <w:t>Radikaler Konstruktivismus</w:t>
      </w:r>
      <w:r w:rsidRPr="009343F7">
        <w:rPr>
          <w:rFonts w:ascii="Times New Roman" w:eastAsia="Times New Roman" w:hAnsi="Times New Roman" w:cs="Times New Roman"/>
          <w:sz w:val="24"/>
          <w:szCs w:val="24"/>
          <w:lang w:eastAsia="de-DE"/>
        </w:rPr>
        <w:t>. Suhrkamp.</w:t>
      </w:r>
      <w:r w:rsidRPr="009343F7">
        <w:rPr>
          <w:rFonts w:ascii="Times New Roman" w:eastAsia="Times New Roman" w:hAnsi="Times New Roman" w:cs="Times New Roman"/>
          <w:sz w:val="24"/>
          <w:szCs w:val="24"/>
          <w:lang w:eastAsia="de-DE"/>
        </w:rPr>
        <w:br/>
        <w:t xml:space="preserve">[3] Baez, J. &amp; </w:t>
      </w:r>
      <w:proofErr w:type="spellStart"/>
      <w:r w:rsidRPr="009343F7">
        <w:rPr>
          <w:rFonts w:ascii="Times New Roman" w:eastAsia="Times New Roman" w:hAnsi="Times New Roman" w:cs="Times New Roman"/>
          <w:sz w:val="24"/>
          <w:szCs w:val="24"/>
          <w:lang w:eastAsia="de-DE"/>
        </w:rPr>
        <w:t>Stay</w:t>
      </w:r>
      <w:proofErr w:type="spellEnd"/>
      <w:r w:rsidRPr="009343F7">
        <w:rPr>
          <w:rFonts w:ascii="Times New Roman" w:eastAsia="Times New Roman" w:hAnsi="Times New Roman" w:cs="Times New Roman"/>
          <w:sz w:val="24"/>
          <w:szCs w:val="24"/>
          <w:lang w:eastAsia="de-DE"/>
        </w:rPr>
        <w:t xml:space="preserve">, M. (2011). </w:t>
      </w:r>
      <w:r w:rsidRPr="009343F7">
        <w:rPr>
          <w:rFonts w:ascii="Times New Roman" w:eastAsia="Times New Roman" w:hAnsi="Times New Roman" w:cs="Times New Roman"/>
          <w:i/>
          <w:iCs/>
          <w:sz w:val="24"/>
          <w:szCs w:val="24"/>
          <w:lang w:eastAsia="de-DE"/>
        </w:rPr>
        <w:t xml:space="preserve">Physics, </w:t>
      </w:r>
      <w:proofErr w:type="spellStart"/>
      <w:r w:rsidRPr="009343F7">
        <w:rPr>
          <w:rFonts w:ascii="Times New Roman" w:eastAsia="Times New Roman" w:hAnsi="Times New Roman" w:cs="Times New Roman"/>
          <w:i/>
          <w:iCs/>
          <w:sz w:val="24"/>
          <w:szCs w:val="24"/>
          <w:lang w:eastAsia="de-DE"/>
        </w:rPr>
        <w:t>Topology</w:t>
      </w:r>
      <w:proofErr w:type="spellEnd"/>
      <w:r w:rsidRPr="009343F7">
        <w:rPr>
          <w:rFonts w:ascii="Times New Roman" w:eastAsia="Times New Roman" w:hAnsi="Times New Roman" w:cs="Times New Roman"/>
          <w:i/>
          <w:iCs/>
          <w:sz w:val="24"/>
          <w:szCs w:val="24"/>
          <w:lang w:eastAsia="de-DE"/>
        </w:rPr>
        <w:t xml:space="preserve">, </w:t>
      </w:r>
      <w:proofErr w:type="spellStart"/>
      <w:r w:rsidRPr="009343F7">
        <w:rPr>
          <w:rFonts w:ascii="Times New Roman" w:eastAsia="Times New Roman" w:hAnsi="Times New Roman" w:cs="Times New Roman"/>
          <w:i/>
          <w:iCs/>
          <w:sz w:val="24"/>
          <w:szCs w:val="24"/>
          <w:lang w:eastAsia="de-DE"/>
        </w:rPr>
        <w:t>Logic</w:t>
      </w:r>
      <w:proofErr w:type="spellEnd"/>
      <w:r w:rsidRPr="009343F7">
        <w:rPr>
          <w:rFonts w:ascii="Times New Roman" w:eastAsia="Times New Roman" w:hAnsi="Times New Roman" w:cs="Times New Roman"/>
          <w:i/>
          <w:iCs/>
          <w:sz w:val="24"/>
          <w:szCs w:val="24"/>
          <w:lang w:eastAsia="de-DE"/>
        </w:rPr>
        <w:t xml:space="preserve"> and </w:t>
      </w:r>
      <w:proofErr w:type="spellStart"/>
      <w:r w:rsidRPr="009343F7">
        <w:rPr>
          <w:rFonts w:ascii="Times New Roman" w:eastAsia="Times New Roman" w:hAnsi="Times New Roman" w:cs="Times New Roman"/>
          <w:i/>
          <w:iCs/>
          <w:sz w:val="24"/>
          <w:szCs w:val="24"/>
          <w:lang w:eastAsia="de-DE"/>
        </w:rPr>
        <w:t>Computation</w:t>
      </w:r>
      <w:proofErr w:type="spellEnd"/>
      <w:r w:rsidRPr="009343F7">
        <w:rPr>
          <w:rFonts w:ascii="Times New Roman" w:eastAsia="Times New Roman" w:hAnsi="Times New Roman" w:cs="Times New Roman"/>
          <w:i/>
          <w:iCs/>
          <w:sz w:val="24"/>
          <w:szCs w:val="24"/>
          <w:lang w:eastAsia="de-DE"/>
        </w:rPr>
        <w:t>: A Rosetta Stone</w:t>
      </w:r>
      <w:r w:rsidRPr="009343F7">
        <w:rPr>
          <w:rFonts w:ascii="Times New Roman" w:eastAsia="Times New Roman" w:hAnsi="Times New Roman" w:cs="Times New Roman"/>
          <w:sz w:val="24"/>
          <w:szCs w:val="24"/>
          <w:lang w:eastAsia="de-DE"/>
        </w:rPr>
        <w:t>. Springer.</w:t>
      </w:r>
      <w:r w:rsidRPr="009343F7">
        <w:rPr>
          <w:rFonts w:ascii="Times New Roman" w:eastAsia="Times New Roman" w:hAnsi="Times New Roman" w:cs="Times New Roman"/>
          <w:sz w:val="24"/>
          <w:szCs w:val="24"/>
          <w:lang w:eastAsia="de-DE"/>
        </w:rPr>
        <w:br/>
        <w:t xml:space="preserve">[4] Schrader, F.-W. (2011). </w:t>
      </w:r>
      <w:r w:rsidRPr="009343F7">
        <w:rPr>
          <w:rFonts w:ascii="Times New Roman" w:eastAsia="Times New Roman" w:hAnsi="Times New Roman" w:cs="Times New Roman"/>
          <w:i/>
          <w:iCs/>
          <w:sz w:val="24"/>
          <w:szCs w:val="24"/>
          <w:lang w:eastAsia="de-DE"/>
        </w:rPr>
        <w:t>Leistungsdiagnostik in der Schule</w:t>
      </w:r>
      <w:r w:rsidRPr="009343F7">
        <w:rPr>
          <w:rFonts w:ascii="Times New Roman" w:eastAsia="Times New Roman" w:hAnsi="Times New Roman" w:cs="Times New Roman"/>
          <w:sz w:val="24"/>
          <w:szCs w:val="24"/>
          <w:lang w:eastAsia="de-DE"/>
        </w:rPr>
        <w:t>. Waxmann.</w:t>
      </w:r>
      <w:r w:rsidRPr="009343F7">
        <w:rPr>
          <w:rFonts w:ascii="Times New Roman" w:eastAsia="Times New Roman" w:hAnsi="Times New Roman" w:cs="Times New Roman"/>
          <w:sz w:val="24"/>
          <w:szCs w:val="24"/>
          <w:lang w:eastAsia="de-DE"/>
        </w:rPr>
        <w:br/>
      </w:r>
      <w:r w:rsidRPr="009343F7">
        <w:rPr>
          <w:rFonts w:ascii="Times New Roman" w:eastAsia="Times New Roman" w:hAnsi="Times New Roman" w:cs="Times New Roman"/>
          <w:sz w:val="24"/>
          <w:szCs w:val="24"/>
          <w:lang w:eastAsia="de-DE"/>
        </w:rPr>
        <w:lastRenderedPageBreak/>
        <w:t xml:space="preserve">[5] KMK (2022). </w:t>
      </w:r>
      <w:r w:rsidRPr="009343F7">
        <w:rPr>
          <w:rFonts w:ascii="Times New Roman" w:eastAsia="Times New Roman" w:hAnsi="Times New Roman" w:cs="Times New Roman"/>
          <w:i/>
          <w:iCs/>
          <w:sz w:val="24"/>
          <w:szCs w:val="24"/>
          <w:lang w:eastAsia="de-DE"/>
        </w:rPr>
        <w:t>Bildungsstandards Mathematik Sek. I</w:t>
      </w:r>
      <w:r w:rsidRPr="009343F7">
        <w:rPr>
          <w:rFonts w:ascii="Times New Roman" w:eastAsia="Times New Roman" w:hAnsi="Times New Roman" w:cs="Times New Roman"/>
          <w:sz w:val="24"/>
          <w:szCs w:val="24"/>
          <w:lang w:eastAsia="de-DE"/>
        </w:rPr>
        <w:t>.</w:t>
      </w:r>
      <w:r w:rsidRPr="009343F7">
        <w:rPr>
          <w:rFonts w:ascii="Times New Roman" w:eastAsia="Times New Roman" w:hAnsi="Times New Roman" w:cs="Times New Roman"/>
          <w:sz w:val="24"/>
          <w:szCs w:val="24"/>
          <w:lang w:eastAsia="de-DE"/>
        </w:rPr>
        <w:br/>
        <w:t xml:space="preserve">[6] OECD (2019). </w:t>
      </w:r>
      <w:r w:rsidRPr="009343F7">
        <w:rPr>
          <w:rFonts w:ascii="Times New Roman" w:eastAsia="Times New Roman" w:hAnsi="Times New Roman" w:cs="Times New Roman"/>
          <w:i/>
          <w:iCs/>
          <w:sz w:val="24"/>
          <w:szCs w:val="24"/>
          <w:lang w:eastAsia="de-DE"/>
        </w:rPr>
        <w:t xml:space="preserve">PISA 2018 </w:t>
      </w:r>
      <w:proofErr w:type="spellStart"/>
      <w:r w:rsidRPr="009343F7">
        <w:rPr>
          <w:rFonts w:ascii="Times New Roman" w:eastAsia="Times New Roman" w:hAnsi="Times New Roman" w:cs="Times New Roman"/>
          <w:i/>
          <w:iCs/>
          <w:sz w:val="24"/>
          <w:szCs w:val="24"/>
          <w:lang w:eastAsia="de-DE"/>
        </w:rPr>
        <w:t>Results</w:t>
      </w:r>
      <w:proofErr w:type="spellEnd"/>
      <w:r w:rsidRPr="009343F7">
        <w:rPr>
          <w:rFonts w:ascii="Times New Roman" w:eastAsia="Times New Roman" w:hAnsi="Times New Roman" w:cs="Times New Roman"/>
          <w:sz w:val="24"/>
          <w:szCs w:val="24"/>
          <w:lang w:eastAsia="de-DE"/>
        </w:rPr>
        <w:t>. Band I–III.</w:t>
      </w:r>
      <w:r w:rsidRPr="009343F7">
        <w:rPr>
          <w:rFonts w:ascii="Times New Roman" w:eastAsia="Times New Roman" w:hAnsi="Times New Roman" w:cs="Times New Roman"/>
          <w:sz w:val="24"/>
          <w:szCs w:val="24"/>
          <w:lang w:eastAsia="de-DE"/>
        </w:rPr>
        <w:br/>
        <w:t xml:space="preserve">[7] Hahne, J. &amp; Blömeke, S. (2015). </w:t>
      </w:r>
      <w:r w:rsidRPr="009343F7">
        <w:rPr>
          <w:rFonts w:ascii="Times New Roman" w:eastAsia="Times New Roman" w:hAnsi="Times New Roman" w:cs="Times New Roman"/>
          <w:i/>
          <w:iCs/>
          <w:sz w:val="24"/>
          <w:szCs w:val="24"/>
          <w:lang w:eastAsia="de-DE"/>
        </w:rPr>
        <w:t>Lernen in Netzwerken</w:t>
      </w:r>
      <w:r w:rsidRPr="009343F7">
        <w:rPr>
          <w:rFonts w:ascii="Times New Roman" w:eastAsia="Times New Roman" w:hAnsi="Times New Roman" w:cs="Times New Roman"/>
          <w:sz w:val="24"/>
          <w:szCs w:val="24"/>
          <w:lang w:eastAsia="de-DE"/>
        </w:rPr>
        <w:t>. Springer VS.</w:t>
      </w:r>
      <w:r w:rsidRPr="009343F7">
        <w:rPr>
          <w:rFonts w:ascii="Times New Roman" w:eastAsia="Times New Roman" w:hAnsi="Times New Roman" w:cs="Times New Roman"/>
          <w:sz w:val="24"/>
          <w:szCs w:val="24"/>
          <w:lang w:eastAsia="de-DE"/>
        </w:rPr>
        <w:br/>
        <w:t xml:space="preserve">[8] Luhmann, N. (1997). </w:t>
      </w:r>
      <w:r w:rsidRPr="009343F7">
        <w:rPr>
          <w:rFonts w:ascii="Times New Roman" w:eastAsia="Times New Roman" w:hAnsi="Times New Roman" w:cs="Times New Roman"/>
          <w:i/>
          <w:iCs/>
          <w:sz w:val="24"/>
          <w:szCs w:val="24"/>
          <w:lang w:eastAsia="de-DE"/>
        </w:rPr>
        <w:t>Die Gesellschaft der Gesellschaft</w:t>
      </w:r>
      <w:r w:rsidRPr="009343F7">
        <w:rPr>
          <w:rFonts w:ascii="Times New Roman" w:eastAsia="Times New Roman" w:hAnsi="Times New Roman" w:cs="Times New Roman"/>
          <w:sz w:val="24"/>
          <w:szCs w:val="24"/>
          <w:lang w:eastAsia="de-DE"/>
        </w:rPr>
        <w:t>. Suhrkamp.</w:t>
      </w:r>
      <w:r w:rsidRPr="009343F7">
        <w:rPr>
          <w:rFonts w:ascii="Times New Roman" w:eastAsia="Times New Roman" w:hAnsi="Times New Roman" w:cs="Times New Roman"/>
          <w:sz w:val="24"/>
          <w:szCs w:val="24"/>
          <w:lang w:eastAsia="de-DE"/>
        </w:rPr>
        <w:br/>
        <w:t xml:space="preserve">[9] McKinney, W. (2017). </w:t>
      </w:r>
      <w:r w:rsidRPr="009343F7">
        <w:rPr>
          <w:rFonts w:ascii="Times New Roman" w:eastAsia="Times New Roman" w:hAnsi="Times New Roman" w:cs="Times New Roman"/>
          <w:i/>
          <w:iCs/>
          <w:sz w:val="24"/>
          <w:szCs w:val="24"/>
          <w:lang w:eastAsia="de-DE"/>
        </w:rPr>
        <w:t xml:space="preserve">Python </w:t>
      </w:r>
      <w:proofErr w:type="spellStart"/>
      <w:r w:rsidRPr="009343F7">
        <w:rPr>
          <w:rFonts w:ascii="Times New Roman" w:eastAsia="Times New Roman" w:hAnsi="Times New Roman" w:cs="Times New Roman"/>
          <w:i/>
          <w:iCs/>
          <w:sz w:val="24"/>
          <w:szCs w:val="24"/>
          <w:lang w:eastAsia="de-DE"/>
        </w:rPr>
        <w:t>for</w:t>
      </w:r>
      <w:proofErr w:type="spellEnd"/>
      <w:r w:rsidRPr="009343F7">
        <w:rPr>
          <w:rFonts w:ascii="Times New Roman" w:eastAsia="Times New Roman" w:hAnsi="Times New Roman" w:cs="Times New Roman"/>
          <w:i/>
          <w:iCs/>
          <w:sz w:val="24"/>
          <w:szCs w:val="24"/>
          <w:lang w:eastAsia="de-DE"/>
        </w:rPr>
        <w:t xml:space="preserve"> Data Analysis</w:t>
      </w:r>
      <w:r w:rsidRPr="009343F7">
        <w:rPr>
          <w:rFonts w:ascii="Times New Roman" w:eastAsia="Times New Roman" w:hAnsi="Times New Roman" w:cs="Times New Roman"/>
          <w:sz w:val="24"/>
          <w:szCs w:val="24"/>
          <w:lang w:eastAsia="de-DE"/>
        </w:rPr>
        <w:t>. O'Reilly.</w:t>
      </w:r>
      <w:r w:rsidRPr="009343F7">
        <w:rPr>
          <w:rFonts w:ascii="Times New Roman" w:eastAsia="Times New Roman" w:hAnsi="Times New Roman" w:cs="Times New Roman"/>
          <w:sz w:val="24"/>
          <w:szCs w:val="24"/>
          <w:lang w:eastAsia="de-DE"/>
        </w:rPr>
        <w:br/>
        <w:t xml:space="preserve">[10] Bruner, J. (1960). </w:t>
      </w:r>
      <w:r w:rsidRPr="009343F7">
        <w:rPr>
          <w:rFonts w:ascii="Times New Roman" w:eastAsia="Times New Roman" w:hAnsi="Times New Roman" w:cs="Times New Roman"/>
          <w:i/>
          <w:iCs/>
          <w:sz w:val="24"/>
          <w:szCs w:val="24"/>
          <w:lang w:eastAsia="de-DE"/>
        </w:rPr>
        <w:t xml:space="preserve">The </w:t>
      </w:r>
      <w:proofErr w:type="spellStart"/>
      <w:r w:rsidRPr="009343F7">
        <w:rPr>
          <w:rFonts w:ascii="Times New Roman" w:eastAsia="Times New Roman" w:hAnsi="Times New Roman" w:cs="Times New Roman"/>
          <w:i/>
          <w:iCs/>
          <w:sz w:val="24"/>
          <w:szCs w:val="24"/>
          <w:lang w:eastAsia="de-DE"/>
        </w:rPr>
        <w:t>Process</w:t>
      </w:r>
      <w:proofErr w:type="spellEnd"/>
      <w:r w:rsidRPr="009343F7">
        <w:rPr>
          <w:rFonts w:ascii="Times New Roman" w:eastAsia="Times New Roman" w:hAnsi="Times New Roman" w:cs="Times New Roman"/>
          <w:i/>
          <w:iCs/>
          <w:sz w:val="24"/>
          <w:szCs w:val="24"/>
          <w:lang w:eastAsia="de-DE"/>
        </w:rPr>
        <w:t xml:space="preserve"> </w:t>
      </w:r>
      <w:proofErr w:type="spellStart"/>
      <w:r w:rsidRPr="009343F7">
        <w:rPr>
          <w:rFonts w:ascii="Times New Roman" w:eastAsia="Times New Roman" w:hAnsi="Times New Roman" w:cs="Times New Roman"/>
          <w:i/>
          <w:iCs/>
          <w:sz w:val="24"/>
          <w:szCs w:val="24"/>
          <w:lang w:eastAsia="de-DE"/>
        </w:rPr>
        <w:t>of</w:t>
      </w:r>
      <w:proofErr w:type="spellEnd"/>
      <w:r w:rsidRPr="009343F7">
        <w:rPr>
          <w:rFonts w:ascii="Times New Roman" w:eastAsia="Times New Roman" w:hAnsi="Times New Roman" w:cs="Times New Roman"/>
          <w:i/>
          <w:iCs/>
          <w:sz w:val="24"/>
          <w:szCs w:val="24"/>
          <w:lang w:eastAsia="de-DE"/>
        </w:rPr>
        <w:t xml:space="preserve"> Education</w:t>
      </w:r>
      <w:r w:rsidRPr="009343F7">
        <w:rPr>
          <w:rFonts w:ascii="Times New Roman" w:eastAsia="Times New Roman" w:hAnsi="Times New Roman" w:cs="Times New Roman"/>
          <w:sz w:val="24"/>
          <w:szCs w:val="24"/>
          <w:lang w:eastAsia="de-DE"/>
        </w:rPr>
        <w:t>. Harvard University Press.</w:t>
      </w:r>
      <w:r w:rsidRPr="009343F7">
        <w:rPr>
          <w:rFonts w:ascii="Times New Roman" w:eastAsia="Times New Roman" w:hAnsi="Times New Roman" w:cs="Times New Roman"/>
          <w:sz w:val="24"/>
          <w:szCs w:val="24"/>
          <w:lang w:eastAsia="de-DE"/>
        </w:rPr>
        <w:br/>
        <w:t xml:space="preserve">[11] Selter, C. (2015). </w:t>
      </w:r>
      <w:r w:rsidRPr="009343F7">
        <w:rPr>
          <w:rFonts w:ascii="Times New Roman" w:eastAsia="Times New Roman" w:hAnsi="Times New Roman" w:cs="Times New Roman"/>
          <w:i/>
          <w:iCs/>
          <w:sz w:val="24"/>
          <w:szCs w:val="24"/>
          <w:lang w:eastAsia="de-DE"/>
        </w:rPr>
        <w:t>Mathematikdidaktik in der Sekundarstufe</w:t>
      </w:r>
      <w:r w:rsidRPr="009343F7">
        <w:rPr>
          <w:rFonts w:ascii="Times New Roman" w:eastAsia="Times New Roman" w:hAnsi="Times New Roman" w:cs="Times New Roman"/>
          <w:sz w:val="24"/>
          <w:szCs w:val="24"/>
          <w:lang w:eastAsia="de-DE"/>
        </w:rPr>
        <w:t>. Springer.</w:t>
      </w:r>
      <w:r w:rsidRPr="009343F7">
        <w:rPr>
          <w:rFonts w:ascii="Times New Roman" w:eastAsia="Times New Roman" w:hAnsi="Times New Roman" w:cs="Times New Roman"/>
          <w:sz w:val="24"/>
          <w:szCs w:val="24"/>
          <w:lang w:eastAsia="de-DE"/>
        </w:rPr>
        <w:br/>
        <w:t xml:space="preserve">[12] Schöler, H. (2009). </w:t>
      </w:r>
      <w:r w:rsidRPr="009343F7">
        <w:rPr>
          <w:rFonts w:ascii="Times New Roman" w:eastAsia="Times New Roman" w:hAnsi="Times New Roman" w:cs="Times New Roman"/>
          <w:i/>
          <w:iCs/>
          <w:sz w:val="24"/>
          <w:szCs w:val="24"/>
          <w:lang w:eastAsia="de-DE"/>
        </w:rPr>
        <w:t>Bildung durch Evaluation: Empirische Befunde</w:t>
      </w:r>
      <w:r w:rsidRPr="009343F7">
        <w:rPr>
          <w:rFonts w:ascii="Times New Roman" w:eastAsia="Times New Roman" w:hAnsi="Times New Roman" w:cs="Times New Roman"/>
          <w:sz w:val="24"/>
          <w:szCs w:val="24"/>
          <w:lang w:eastAsia="de-DE"/>
        </w:rPr>
        <w:t>. Beltz Juventa.</w:t>
      </w:r>
    </w:p>
    <w:p w14:paraId="4759BFFA" w14:textId="77777777" w:rsidR="00C21A09" w:rsidRDefault="00C21A09"/>
    <w:sectPr w:rsidR="00C21A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06D3"/>
    <w:multiLevelType w:val="multilevel"/>
    <w:tmpl w:val="E98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037F"/>
    <w:multiLevelType w:val="multilevel"/>
    <w:tmpl w:val="7A0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14082"/>
    <w:multiLevelType w:val="multilevel"/>
    <w:tmpl w:val="0F6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C3B95"/>
    <w:multiLevelType w:val="multilevel"/>
    <w:tmpl w:val="EEE4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692F"/>
    <w:multiLevelType w:val="multilevel"/>
    <w:tmpl w:val="EF8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712C1"/>
    <w:multiLevelType w:val="multilevel"/>
    <w:tmpl w:val="315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F6209"/>
    <w:multiLevelType w:val="multilevel"/>
    <w:tmpl w:val="9DC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E6F1C"/>
    <w:multiLevelType w:val="multilevel"/>
    <w:tmpl w:val="CDB0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403D0"/>
    <w:multiLevelType w:val="multilevel"/>
    <w:tmpl w:val="073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60FF9"/>
    <w:multiLevelType w:val="multilevel"/>
    <w:tmpl w:val="E57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B5617"/>
    <w:multiLevelType w:val="multilevel"/>
    <w:tmpl w:val="0B6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9"/>
  </w:num>
  <w:num w:numId="4">
    <w:abstractNumId w:val="6"/>
  </w:num>
  <w:num w:numId="5">
    <w:abstractNumId w:val="0"/>
  </w:num>
  <w:num w:numId="6">
    <w:abstractNumId w:val="4"/>
  </w:num>
  <w:num w:numId="7">
    <w:abstractNumId w:val="8"/>
  </w:num>
  <w:num w:numId="8">
    <w:abstractNumId w:val="7"/>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F7"/>
    <w:rsid w:val="008871CF"/>
    <w:rsid w:val="009343F7"/>
    <w:rsid w:val="00C21A0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7BD8"/>
  <w15:chartTrackingRefBased/>
  <w15:docId w15:val="{C3F5AD2C-95BD-43AD-AB2F-153D4AF0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9343F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9343F7"/>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9343F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343F7"/>
    <w:rPr>
      <w:b/>
      <w:bCs/>
    </w:rPr>
  </w:style>
  <w:style w:type="character" w:styleId="Hervorhebung">
    <w:name w:val="Emphasis"/>
    <w:basedOn w:val="Absatz-Standardschriftart"/>
    <w:uiPriority w:val="20"/>
    <w:qFormat/>
    <w:rsid w:val="009343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58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720</Words>
  <Characters>4542</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2025-05-31T08:28:00Z</dcterms:created>
  <dcterms:modified xsi:type="dcterms:W3CDTF">2025-05-31T08:29:00Z</dcterms:modified>
</cp:coreProperties>
</file>