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7 – Adaptive Geometrie &amp; Fehleroptimierung</w:t>
      </w:r>
    </w:p>
    <w:p>
      <w:pPr>
        <w:pStyle w:val="Heading2"/>
      </w:pPr>
      <w:r>
        <w:t>7.1 Ziel der Geometrieanpassung</w:t>
      </w:r>
    </w:p>
    <w:p>
      <w:r>
        <w:t>In lichtlaufzeitbasierten Erfassungssystemen entsteht ein direkter Zusammenhang zwischen geometrischer Form des Empfangssystems und der Signalqualität. Ziel dieses Kapitels ist es, ein mathematisch-technisches Konzept für eine adaptive Geometrie zu entwickeln, das die Rückprojektion der Signale auf eine optimal geformte Fläche erlaubt. Die Anpassung erfolgt unter Berücksichtigung von Reflexionsverhältnissen, Einfallswinkeln und Signaldivergenz.</w:t>
      </w:r>
    </w:p>
    <w:p>
      <w:pPr>
        <w:pStyle w:val="Heading2"/>
      </w:pPr>
      <w:r>
        <w:t>7.2 Formmodelle und Thermomechanik</w:t>
      </w:r>
    </w:p>
    <w:p>
      <w:r>
        <w:t>Das Empfangsdreieck kann durch Formdrähte entlang der Seiten und Winkelhalbierenden mit gezielter Energiezufuhr verformt werden. Als Grundmaterial wird ein thermoplastischer Kunststoff wie Polyethylen (PE) vorgeschlagen, dessen thermischer Ausdehnungskoeffizient im Bereich 20–40 °C stark nichtlinear ist. Die Heizdrähte (etwa 10 pro Seite) sind in spiralförmiger Wicklung eingebracht und ermöglichen lokale Formänderungen.</w:t>
      </w:r>
    </w:p>
    <w:p>
      <w:pPr>
        <w:pStyle w:val="Heading2"/>
      </w:pPr>
      <w:r>
        <w:t>7.3 Fehlerquellen und Modellanpassung</w:t>
      </w:r>
    </w:p>
    <w:p>
      <w:r>
        <w:t>Die zentrale Fehlerquelle besteht in der Streuung der Rückreflexion. Je nach Orientierung der Fläche zum einfallenden Lichtstrahl variiert die Rücklaufzeit signifikant. Eine adaptive Formung kann die Normale an den Reflexionspunkt dynamisch optimieren und so die Signalqualität erhöhen. Mathematisch entspricht dies der Anpassung eines gekrümmten Flächenmodells an ein einfallendes Strahlungsbündel.</w:t>
      </w:r>
    </w:p>
    <w:p>
      <w:pPr>
        <w:pStyle w:val="Heading2"/>
      </w:pPr>
      <w:r>
        <w:t>7.4 Fehlerquote bei planarer Fläche</w:t>
      </w:r>
    </w:p>
    <w:p>
      <w:r>
        <w:t>Die Fehlerquote ε bei einer statischen planaren Fläche lässt sich überschlägig abschätzen als:</w:t>
        <w:br/>
        <w:t>ε ≈ (mittlerer Streuwinkel × Pixeldurchmesser) / mittlerer Einfallsabstand.</w:t>
        <w:br/>
        <w:t>Für typische Systeme mit 1 cm Seitenlänge ergeben sich Fehler im Bereich von 1–3 %. Durch adaptive Geometrie kann dieser Wert erheblich gesenkt werden.</w:t>
      </w:r>
    </w:p>
    <w:p>
      <w:pPr>
        <w:pStyle w:val="Heading2"/>
      </w:pPr>
      <w:r>
        <w:t>7.5 Didaktischer Zugang zur adaptiven Struktur</w:t>
      </w:r>
    </w:p>
    <w:p>
      <w:r>
        <w:t>Das Konzept der formbaren Sensorfläche bietet vielfältige Lernanlässe:</w:t>
        <w:br/>
        <w:t>- Thermische Ausdehnung in Materialien (Physik),</w:t>
        <w:br/>
        <w:t>- Energieübertragung und Steuerung (Technik),</w:t>
        <w:br/>
        <w:t>- Modellierung gekrümmter Flächen (Mathematik),</w:t>
        <w:br/>
        <w:t>- Sensortechnologie und Signalverarbeitung (Informatik).</w:t>
        <w:br/>
        <w:t>Es eignet sich sowohl für den Technikunterricht als auch für fächerverbindende Projekte in der beruflichen Bildung.</w:t>
      </w:r>
    </w:p>
    <w:p>
      <w:pPr>
        <w:pStyle w:val="Heading2"/>
      </w:pPr>
      <w:r>
        <w:t>Literaturverzeichnis</w:t>
      </w:r>
    </w:p>
    <w:p>
      <w:r>
        <w:br/>
        <w:t xml:space="preserve">Günther, R. (2006). *Modellbildung in der Technik*. Springer.  </w:t>
        <w:br/>
        <w:t xml:space="preserve">Lambrecht, T., &amp; Höhne, J. (2019). *Technikdidaktik kompakt*. Springer VS.  </w:t>
        <w:br/>
        <w:t>Murray, J. D. (2003). *Mathematical Biology II: Spatial Models and Biomedical Applications*. Springer.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