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F7773" w14:textId="77777777" w:rsidR="00AD2D95" w:rsidRDefault="00AD2D95" w:rsidP="00AD2D95">
      <w:r>
        <w:t>Zeige technische Anwendungen des Beobachtungstetraeders.</w:t>
      </w:r>
    </w:p>
    <w:p w14:paraId="13965783" w14:textId="77777777" w:rsidR="00AD2D95" w:rsidRDefault="00AD2D95" w:rsidP="00AD2D95">
      <w:pPr>
        <w:pStyle w:val="berschrift6"/>
      </w:pPr>
      <w:proofErr w:type="spellStart"/>
      <w:r>
        <w:t>ChatGPT</w:t>
      </w:r>
      <w:proofErr w:type="spellEnd"/>
      <w:r>
        <w:t>:</w:t>
      </w:r>
    </w:p>
    <w:p w14:paraId="09A80340" w14:textId="77777777" w:rsidR="00AD2D95" w:rsidRDefault="00AD2D95" w:rsidP="00AD2D95">
      <w:pPr>
        <w:pStyle w:val="StandardWeb"/>
      </w:pPr>
      <w:r>
        <w:t>Technische Anwendungen des Beobachtungstetraeders ergeben sich aus seiner einzigartigen Eigenschaft, Signale funktional und geometrisch im Raum zu verorten. Seine projektive Struktur – als normierter Raumkörper aus vier Punkten mit gerichteten Flächen – erlaubt es, reale physikalische Signalprozesse als rekonstruktive Geometrie zu modellieren. Im Folgenden sind zentrale technische Anwendungsfelder aufgeführt:</w:t>
      </w:r>
    </w:p>
    <w:p w14:paraId="0D916CBE" w14:textId="77777777" w:rsidR="00AD2D95" w:rsidRDefault="00AD2D95" w:rsidP="00AD2D95">
      <w:r>
        <w:pict w14:anchorId="609F6F09">
          <v:rect id="_x0000_i1025" style="width:0;height:1.5pt" o:hralign="center" o:hrstd="t" o:hr="t" fillcolor="#a0a0a0" stroked="f"/>
        </w:pict>
      </w:r>
    </w:p>
    <w:p w14:paraId="1F057B3C" w14:textId="77777777" w:rsidR="00AD2D95" w:rsidRDefault="00AD2D95" w:rsidP="00AD2D95">
      <w:pPr>
        <w:pStyle w:val="berschrift3"/>
      </w:pPr>
      <w:r>
        <w:rPr>
          <w:rFonts w:ascii="Segoe UI Emoji" w:hAnsi="Segoe UI Emoji" w:cs="Segoe UI Emoji"/>
        </w:rPr>
        <w:t>📡</w:t>
      </w:r>
      <w:r>
        <w:t xml:space="preserve"> 1. Radar- und LIDAR-Systeme</w:t>
      </w:r>
    </w:p>
    <w:p w14:paraId="305567D7" w14:textId="77777777" w:rsidR="00AD2D95" w:rsidRDefault="00AD2D95" w:rsidP="00AD2D95">
      <w:pPr>
        <w:pStyle w:val="StandardWeb"/>
      </w:pPr>
      <w:r>
        <w:rPr>
          <w:rStyle w:val="Fett"/>
        </w:rPr>
        <w:t>Anwendung:</w:t>
      </w:r>
      <w:r>
        <w:t xml:space="preserve"> Abstandsmessung, Objekterkennung, 3D-Umgebungskartierung</w:t>
      </w:r>
      <w:r>
        <w:br/>
      </w:r>
      <w:r>
        <w:rPr>
          <w:rStyle w:val="Fett"/>
        </w:rPr>
        <w:t>Nutzen des Beobachtungstetraeders:</w:t>
      </w:r>
    </w:p>
    <w:p w14:paraId="577D820A" w14:textId="77777777" w:rsidR="00AD2D95" w:rsidRDefault="00AD2D95" w:rsidP="00AD2D95">
      <w:pPr>
        <w:pStyle w:val="StandardWeb"/>
        <w:numPr>
          <w:ilvl w:val="0"/>
          <w:numId w:val="1"/>
        </w:numPr>
      </w:pPr>
      <w:r>
        <w:t>Triangulation mittels normierter Projektionspunkte ermöglicht präzise Raumortung aus verschiedenen Signalquellen.</w:t>
      </w:r>
    </w:p>
    <w:p w14:paraId="04F298CC" w14:textId="77777777" w:rsidR="00AD2D95" w:rsidRDefault="00AD2D95" w:rsidP="00AD2D95">
      <w:pPr>
        <w:pStyle w:val="StandardWeb"/>
        <w:numPr>
          <w:ilvl w:val="0"/>
          <w:numId w:val="1"/>
        </w:numPr>
      </w:pPr>
      <w:r>
        <w:t xml:space="preserve">Durch die </w:t>
      </w:r>
      <w:r>
        <w:rPr>
          <w:rStyle w:val="Fett"/>
        </w:rPr>
        <w:t>normierte Struktur</w:t>
      </w:r>
      <w:r>
        <w:t xml:space="preserve"> lassen sich Signallaufzeiten systematisch vergleichen und auf geometrische Entfernungen abbilden.</w:t>
      </w:r>
    </w:p>
    <w:p w14:paraId="69DC7172" w14:textId="77777777" w:rsidR="00AD2D95" w:rsidRDefault="00AD2D95" w:rsidP="00AD2D95">
      <w:pPr>
        <w:pStyle w:val="StandardWeb"/>
        <w:numPr>
          <w:ilvl w:val="0"/>
          <w:numId w:val="1"/>
        </w:numPr>
      </w:pPr>
      <w:r>
        <w:t xml:space="preserve">Die Struktur unterstützt </w:t>
      </w:r>
      <w:r>
        <w:rPr>
          <w:rStyle w:val="Fett"/>
        </w:rPr>
        <w:t>multi-perspektivische Rückprojektion</w:t>
      </w:r>
      <w:r>
        <w:t xml:space="preserve"> (z. B. Rückstrahlung in Drohnen- oder Fahrzeugnavigation).</w:t>
      </w:r>
    </w:p>
    <w:p w14:paraId="48F90A1D" w14:textId="77777777" w:rsidR="00AD2D95" w:rsidRDefault="00AD2D95" w:rsidP="00AD2D95">
      <w:r>
        <w:pict w14:anchorId="5F73971E">
          <v:rect id="_x0000_i1026" style="width:0;height:1.5pt" o:hralign="center" o:hrstd="t" o:hr="t" fillcolor="#a0a0a0" stroked="f"/>
        </w:pict>
      </w:r>
    </w:p>
    <w:p w14:paraId="1505E35D" w14:textId="77777777" w:rsidR="00AD2D95" w:rsidRDefault="00AD2D95" w:rsidP="00AD2D95">
      <w:pPr>
        <w:pStyle w:val="berschrift3"/>
      </w:pPr>
      <w:r>
        <w:rPr>
          <w:rFonts w:ascii="Segoe UI Emoji" w:hAnsi="Segoe UI Emoji" w:cs="Segoe UI Emoji"/>
        </w:rPr>
        <w:t>🧠</w:t>
      </w:r>
      <w:r>
        <w:t xml:space="preserve"> 2. Neurotechnologie und sensorische Rückprojektion</w:t>
      </w:r>
    </w:p>
    <w:p w14:paraId="1DF01EAF" w14:textId="77777777" w:rsidR="00AD2D95" w:rsidRDefault="00AD2D95" w:rsidP="00AD2D95">
      <w:pPr>
        <w:pStyle w:val="StandardWeb"/>
      </w:pPr>
      <w:r>
        <w:rPr>
          <w:rStyle w:val="Fett"/>
        </w:rPr>
        <w:t>Anwendung:</w:t>
      </w:r>
      <w:r>
        <w:t xml:space="preserve"> Repräsentation sensorischer Daten (visuell, auditiv, taktil) im neuronalen Raum</w:t>
      </w:r>
      <w:r>
        <w:br/>
      </w:r>
      <w:r>
        <w:rPr>
          <w:rStyle w:val="Fett"/>
        </w:rPr>
        <w:t>Nutzen:</w:t>
      </w:r>
    </w:p>
    <w:p w14:paraId="1FD5E662" w14:textId="77777777" w:rsidR="00AD2D95" w:rsidRDefault="00AD2D95" w:rsidP="00AD2D95">
      <w:pPr>
        <w:pStyle w:val="StandardWeb"/>
        <w:numPr>
          <w:ilvl w:val="0"/>
          <w:numId w:val="2"/>
        </w:numPr>
      </w:pPr>
      <w:r>
        <w:t xml:space="preserve">Modellierung von </w:t>
      </w:r>
      <w:r>
        <w:rPr>
          <w:rStyle w:val="Fett"/>
        </w:rPr>
        <w:t>sensorischen Dreiecken</w:t>
      </w:r>
      <w:r>
        <w:t xml:space="preserve"> im Körper (z. B. HRTF – Head-</w:t>
      </w:r>
      <w:proofErr w:type="spellStart"/>
      <w:r>
        <w:t>Related</w:t>
      </w:r>
      <w:proofErr w:type="spellEnd"/>
      <w:r>
        <w:t xml:space="preserve"> Transfer </w:t>
      </w:r>
      <w:proofErr w:type="spellStart"/>
      <w:r>
        <w:t>Function</w:t>
      </w:r>
      <w:proofErr w:type="spellEnd"/>
      <w:r>
        <w:t xml:space="preserve"> bei auditiver Raumverortung).</w:t>
      </w:r>
    </w:p>
    <w:p w14:paraId="6BF40A07" w14:textId="77777777" w:rsidR="00AD2D95" w:rsidRDefault="00AD2D95" w:rsidP="00AD2D95">
      <w:pPr>
        <w:pStyle w:val="StandardWeb"/>
        <w:numPr>
          <w:ilvl w:val="0"/>
          <w:numId w:val="2"/>
        </w:numPr>
      </w:pPr>
      <w:r>
        <w:t xml:space="preserve">Projektive Interpretation taktiler Reize auf Basis eines Beobachtungsdreiecks, z. B. zur Steuerung von Prothesen oder </w:t>
      </w:r>
      <w:proofErr w:type="spellStart"/>
      <w:r>
        <w:t>Robotikarmen</w:t>
      </w:r>
      <w:proofErr w:type="spellEnd"/>
      <w:r>
        <w:t>.</w:t>
      </w:r>
    </w:p>
    <w:p w14:paraId="0C3192E0" w14:textId="77777777" w:rsidR="00AD2D95" w:rsidRDefault="00AD2D95" w:rsidP="00AD2D95">
      <w:pPr>
        <w:pStyle w:val="StandardWeb"/>
        <w:numPr>
          <w:ilvl w:val="0"/>
          <w:numId w:val="2"/>
        </w:numPr>
      </w:pPr>
      <w:r>
        <w:t xml:space="preserve">Normierung erlaubt </w:t>
      </w:r>
      <w:r>
        <w:rPr>
          <w:rStyle w:val="Fett"/>
        </w:rPr>
        <w:t>einheitliche Kodierung von Laufzeitdaten</w:t>
      </w:r>
      <w:r>
        <w:t xml:space="preserve"> (z. B. Reaktionsverzögerung in Nervensystemen).</w:t>
      </w:r>
    </w:p>
    <w:p w14:paraId="64DC573E" w14:textId="77777777" w:rsidR="00AD2D95" w:rsidRDefault="00AD2D95" w:rsidP="00AD2D95">
      <w:r>
        <w:pict w14:anchorId="7079347C">
          <v:rect id="_x0000_i1027" style="width:0;height:1.5pt" o:hralign="center" o:hrstd="t" o:hr="t" fillcolor="#a0a0a0" stroked="f"/>
        </w:pict>
      </w:r>
    </w:p>
    <w:p w14:paraId="740BC461" w14:textId="77777777" w:rsidR="00AD2D95" w:rsidRDefault="00AD2D95" w:rsidP="00AD2D95">
      <w:pPr>
        <w:pStyle w:val="berschrift3"/>
      </w:pPr>
      <w:r>
        <w:rPr>
          <w:rFonts w:ascii="Segoe UI Emoji" w:hAnsi="Segoe UI Emoji" w:cs="Segoe UI Emoji"/>
        </w:rPr>
        <w:t>🧪</w:t>
      </w:r>
      <w:r>
        <w:t xml:space="preserve"> 3. Sensorarchitektur und Datenfusion</w:t>
      </w:r>
    </w:p>
    <w:p w14:paraId="0279BBCC" w14:textId="77777777" w:rsidR="00AD2D95" w:rsidRDefault="00AD2D95" w:rsidP="00AD2D95">
      <w:pPr>
        <w:pStyle w:val="StandardWeb"/>
      </w:pPr>
      <w:r>
        <w:rPr>
          <w:rStyle w:val="Fett"/>
        </w:rPr>
        <w:t>Anwendung:</w:t>
      </w:r>
      <w:r>
        <w:t xml:space="preserve"> Verknüpfung mehrerer Sensorsysteme (Temperatur, Beschleunigung, Position etc.)</w:t>
      </w:r>
      <w:r>
        <w:br/>
      </w:r>
      <w:r>
        <w:rPr>
          <w:rStyle w:val="Fett"/>
        </w:rPr>
        <w:t>Nutzen:</w:t>
      </w:r>
    </w:p>
    <w:p w14:paraId="13262CA5" w14:textId="77777777" w:rsidR="00AD2D95" w:rsidRDefault="00AD2D95" w:rsidP="00AD2D95">
      <w:pPr>
        <w:pStyle w:val="StandardWeb"/>
        <w:numPr>
          <w:ilvl w:val="0"/>
          <w:numId w:val="3"/>
        </w:numPr>
      </w:pPr>
      <w:r>
        <w:t xml:space="preserve">Der Tetraeder dient als </w:t>
      </w:r>
      <w:r>
        <w:rPr>
          <w:rStyle w:val="Fett"/>
        </w:rPr>
        <w:t>strukturgebende Einheit</w:t>
      </w:r>
      <w:r>
        <w:t xml:space="preserve"> für Sensorknoten in 3D.</w:t>
      </w:r>
    </w:p>
    <w:p w14:paraId="3A8B7DE0" w14:textId="77777777" w:rsidR="00AD2D95" w:rsidRDefault="00AD2D95" w:rsidP="00AD2D95">
      <w:pPr>
        <w:pStyle w:val="StandardWeb"/>
        <w:numPr>
          <w:ilvl w:val="0"/>
          <w:numId w:val="3"/>
        </w:numPr>
      </w:pPr>
      <w:r>
        <w:t xml:space="preserve">Ermöglicht </w:t>
      </w:r>
      <w:r>
        <w:rPr>
          <w:rStyle w:val="Fett"/>
        </w:rPr>
        <w:t>standardisierte Sensordatenfusion</w:t>
      </w:r>
      <w:r>
        <w:t xml:space="preserve"> durch Raumbezug und Normierung.</w:t>
      </w:r>
    </w:p>
    <w:p w14:paraId="1468D33E" w14:textId="77777777" w:rsidR="00AD2D95" w:rsidRDefault="00AD2D95" w:rsidP="00AD2D95">
      <w:pPr>
        <w:pStyle w:val="StandardWeb"/>
        <w:numPr>
          <w:ilvl w:val="0"/>
          <w:numId w:val="3"/>
        </w:numPr>
      </w:pPr>
      <w:r>
        <w:t xml:space="preserve">Modellierung </w:t>
      </w:r>
      <w:r>
        <w:rPr>
          <w:rStyle w:val="Fett"/>
        </w:rPr>
        <w:t>zeitlicher Differenzen zwischen Sensoren</w:t>
      </w:r>
      <w:r>
        <w:t xml:space="preserve"> als Signalgeometrie (z. B. bei Inertial-Navigation, Smart Devices, Umweltmesssystemen).</w:t>
      </w:r>
    </w:p>
    <w:p w14:paraId="147CB556" w14:textId="77777777" w:rsidR="00AD2D95" w:rsidRDefault="00AD2D95" w:rsidP="00AD2D95">
      <w:r>
        <w:lastRenderedPageBreak/>
        <w:pict w14:anchorId="74DF6A09">
          <v:rect id="_x0000_i1028" style="width:0;height:1.5pt" o:hralign="center" o:hrstd="t" o:hr="t" fillcolor="#a0a0a0" stroked="f"/>
        </w:pict>
      </w:r>
    </w:p>
    <w:p w14:paraId="0F45667B" w14:textId="77777777" w:rsidR="00AD2D95" w:rsidRDefault="00AD2D95" w:rsidP="00AD2D95">
      <w:pPr>
        <w:pStyle w:val="berschrift3"/>
      </w:pPr>
      <w:r>
        <w:rPr>
          <w:rFonts w:ascii="Segoe UI Emoji" w:hAnsi="Segoe UI Emoji" w:cs="Segoe UI Emoji"/>
        </w:rPr>
        <w:t>🧰</w:t>
      </w:r>
      <w:r>
        <w:t xml:space="preserve"> 4. Robotik und maschinelles Sehen</w:t>
      </w:r>
    </w:p>
    <w:p w14:paraId="74794609" w14:textId="77777777" w:rsidR="00AD2D95" w:rsidRDefault="00AD2D95" w:rsidP="00AD2D95">
      <w:pPr>
        <w:pStyle w:val="StandardWeb"/>
      </w:pPr>
      <w:r>
        <w:rPr>
          <w:rStyle w:val="Fett"/>
        </w:rPr>
        <w:t>Anwendung:</w:t>
      </w:r>
      <w:r>
        <w:t xml:space="preserve"> Objektverfolgung, Raumwahrnehmung, Selbstlokalisierung</w:t>
      </w:r>
      <w:r>
        <w:br/>
      </w:r>
      <w:r>
        <w:rPr>
          <w:rStyle w:val="Fett"/>
        </w:rPr>
        <w:t>Nutzen:</w:t>
      </w:r>
    </w:p>
    <w:p w14:paraId="6B80C0CD" w14:textId="77777777" w:rsidR="00AD2D95" w:rsidRDefault="00AD2D95" w:rsidP="00AD2D95">
      <w:pPr>
        <w:pStyle w:val="StandardWeb"/>
        <w:numPr>
          <w:ilvl w:val="0"/>
          <w:numId w:val="4"/>
        </w:numPr>
      </w:pPr>
      <w:r>
        <w:t>Der Beobachtungstetraeder ermöglicht es, Sichtfelder robotischer Systeme geometrisch zu strukturieren.</w:t>
      </w:r>
    </w:p>
    <w:p w14:paraId="45716A4A" w14:textId="77777777" w:rsidR="00AD2D95" w:rsidRDefault="00AD2D95" w:rsidP="00AD2D95">
      <w:pPr>
        <w:pStyle w:val="StandardWeb"/>
        <w:numPr>
          <w:ilvl w:val="0"/>
          <w:numId w:val="4"/>
        </w:numPr>
      </w:pPr>
      <w:r>
        <w:t xml:space="preserve">Über triangulierte Signale (Kamera- oder Ultraschall-Input) wird der </w:t>
      </w:r>
      <w:r>
        <w:rPr>
          <w:rStyle w:val="Fett"/>
        </w:rPr>
        <w:t>Bewegungsraum geometrisch rekonstruiert</w:t>
      </w:r>
      <w:r>
        <w:t>.</w:t>
      </w:r>
    </w:p>
    <w:p w14:paraId="2B076F6D" w14:textId="77777777" w:rsidR="00AD2D95" w:rsidRDefault="00AD2D95" w:rsidP="00AD2D95">
      <w:pPr>
        <w:pStyle w:val="StandardWeb"/>
        <w:numPr>
          <w:ilvl w:val="0"/>
          <w:numId w:val="4"/>
        </w:numPr>
      </w:pPr>
      <w:r>
        <w:t xml:space="preserve">Der Tetraeder fungiert als </w:t>
      </w:r>
      <w:r>
        <w:rPr>
          <w:rStyle w:val="Fett"/>
        </w:rPr>
        <w:t>Standardmodell zur Bewegungsschätzung</w:t>
      </w:r>
      <w:r>
        <w:t xml:space="preserve"> in Echtzeit (z. B. SLAM-Verfahren – </w:t>
      </w:r>
      <w:proofErr w:type="spellStart"/>
      <w:r>
        <w:t>Simultaneous</w:t>
      </w:r>
      <w:proofErr w:type="spellEnd"/>
      <w:r>
        <w:t xml:space="preserve"> </w:t>
      </w:r>
      <w:proofErr w:type="spellStart"/>
      <w:r>
        <w:t>Localization</w:t>
      </w:r>
      <w:proofErr w:type="spellEnd"/>
      <w:r>
        <w:t xml:space="preserve"> and Mapping).</w:t>
      </w:r>
    </w:p>
    <w:p w14:paraId="574A7A91" w14:textId="77777777" w:rsidR="00AD2D95" w:rsidRDefault="00AD2D95" w:rsidP="00AD2D95">
      <w:r>
        <w:pict w14:anchorId="39F3D82D">
          <v:rect id="_x0000_i1029" style="width:0;height:1.5pt" o:hralign="center" o:hrstd="t" o:hr="t" fillcolor="#a0a0a0" stroked="f"/>
        </w:pict>
      </w:r>
    </w:p>
    <w:p w14:paraId="5F4D01F0" w14:textId="77777777" w:rsidR="00AD2D95" w:rsidRDefault="00AD2D95" w:rsidP="00AD2D95">
      <w:pPr>
        <w:pStyle w:val="berschrift3"/>
      </w:pPr>
      <w:r>
        <w:rPr>
          <w:rFonts w:ascii="Segoe UI Emoji" w:hAnsi="Segoe UI Emoji" w:cs="Segoe UI Emoji"/>
        </w:rPr>
        <w:t>📊</w:t>
      </w:r>
      <w:r>
        <w:t xml:space="preserve"> 5. Virtuelle Realität (VR) und Mensch-Maschine-Schnittstellen</w:t>
      </w:r>
    </w:p>
    <w:p w14:paraId="2850384B" w14:textId="77777777" w:rsidR="00AD2D95" w:rsidRDefault="00AD2D95" w:rsidP="00AD2D95">
      <w:pPr>
        <w:pStyle w:val="StandardWeb"/>
      </w:pPr>
      <w:r>
        <w:rPr>
          <w:rStyle w:val="Fett"/>
        </w:rPr>
        <w:t>Anwendung:</w:t>
      </w:r>
      <w:r>
        <w:t xml:space="preserve"> Headtracking, Motion-Capture, interaktive Umgebungen</w:t>
      </w:r>
      <w:r>
        <w:br/>
      </w:r>
      <w:r>
        <w:rPr>
          <w:rStyle w:val="Fett"/>
        </w:rPr>
        <w:t>Nutzen:</w:t>
      </w:r>
    </w:p>
    <w:p w14:paraId="288C6280" w14:textId="77777777" w:rsidR="00AD2D95" w:rsidRDefault="00AD2D95" w:rsidP="00AD2D95">
      <w:pPr>
        <w:pStyle w:val="StandardWeb"/>
        <w:numPr>
          <w:ilvl w:val="0"/>
          <w:numId w:val="5"/>
        </w:numPr>
      </w:pPr>
      <w:r>
        <w:t xml:space="preserve">Beobachtungstetraeder definiert </w:t>
      </w:r>
      <w:r>
        <w:rPr>
          <w:rStyle w:val="Fett"/>
        </w:rPr>
        <w:t>virtuelle Raumzellen</w:t>
      </w:r>
      <w:r>
        <w:t xml:space="preserve"> zur Positionsbestimmung im Trackingraum.</w:t>
      </w:r>
    </w:p>
    <w:p w14:paraId="2CAB8664" w14:textId="77777777" w:rsidR="00AD2D95" w:rsidRDefault="00AD2D95" w:rsidP="00AD2D95">
      <w:pPr>
        <w:pStyle w:val="StandardWeb"/>
        <w:numPr>
          <w:ilvl w:val="0"/>
          <w:numId w:val="5"/>
        </w:numPr>
      </w:pPr>
      <w:r>
        <w:t xml:space="preserve">Normierung erlaubt die </w:t>
      </w:r>
      <w:r>
        <w:rPr>
          <w:rStyle w:val="Fett"/>
        </w:rPr>
        <w:t>präzise Interpolation von Bewegungen</w:t>
      </w:r>
      <w:r>
        <w:t xml:space="preserve"> im Raum.</w:t>
      </w:r>
    </w:p>
    <w:p w14:paraId="4B4F8584" w14:textId="77777777" w:rsidR="00AD2D95" w:rsidRDefault="00AD2D95" w:rsidP="00AD2D95">
      <w:pPr>
        <w:pStyle w:val="StandardWeb"/>
        <w:numPr>
          <w:ilvl w:val="0"/>
          <w:numId w:val="5"/>
        </w:numPr>
      </w:pPr>
      <w:r>
        <w:t>Verwendet zur Modellierung von Signalverzögerungen bei taktiler oder visueller Rückkopplung.</w:t>
      </w:r>
    </w:p>
    <w:p w14:paraId="44C1F4F7" w14:textId="77777777" w:rsidR="00AD2D95" w:rsidRDefault="00AD2D95" w:rsidP="00AD2D95">
      <w:r>
        <w:pict w14:anchorId="5AB90865">
          <v:rect id="_x0000_i1030" style="width:0;height:1.5pt" o:hralign="center" o:hrstd="t" o:hr="t" fillcolor="#a0a0a0" stroked="f"/>
        </w:pict>
      </w:r>
    </w:p>
    <w:p w14:paraId="5FDF83AA" w14:textId="77777777" w:rsidR="00AD2D95" w:rsidRDefault="00AD2D95" w:rsidP="00AD2D95">
      <w:pPr>
        <w:pStyle w:val="berschrift3"/>
      </w:pPr>
      <w:r>
        <w:rPr>
          <w:rFonts w:ascii="Segoe UI Emoji" w:hAnsi="Segoe UI Emoji" w:cs="Segoe UI Emoji"/>
        </w:rPr>
        <w:t>🧬</w:t>
      </w:r>
      <w:r>
        <w:t xml:space="preserve"> 6. Molekulare Simulation und Strukturaufklärung</w:t>
      </w:r>
    </w:p>
    <w:p w14:paraId="1CCB0C18" w14:textId="77777777" w:rsidR="00AD2D95" w:rsidRDefault="00AD2D95" w:rsidP="00AD2D95">
      <w:pPr>
        <w:pStyle w:val="StandardWeb"/>
      </w:pPr>
      <w:r>
        <w:rPr>
          <w:rStyle w:val="Fett"/>
        </w:rPr>
        <w:t>Anwendung:</w:t>
      </w:r>
      <w:r>
        <w:t xml:space="preserve"> Strukturbiologie, Materialanalyse, Kristallgittermodellierung</w:t>
      </w:r>
      <w:r>
        <w:br/>
      </w:r>
      <w:r>
        <w:rPr>
          <w:rStyle w:val="Fett"/>
        </w:rPr>
        <w:t>Nutzen:</w:t>
      </w:r>
    </w:p>
    <w:p w14:paraId="349BA772" w14:textId="77777777" w:rsidR="00AD2D95" w:rsidRDefault="00AD2D95" w:rsidP="00AD2D95">
      <w:pPr>
        <w:pStyle w:val="StandardWeb"/>
        <w:numPr>
          <w:ilvl w:val="0"/>
          <w:numId w:val="6"/>
        </w:numPr>
      </w:pPr>
      <w:r>
        <w:t>Der Tetraeder entspricht der natürlichen Geometrie vieler Moleküle (z. B. CH₄) und kann als Basiszelle verwendet werden.</w:t>
      </w:r>
    </w:p>
    <w:p w14:paraId="52739921" w14:textId="77777777" w:rsidR="00AD2D95" w:rsidRDefault="00AD2D95" w:rsidP="00AD2D95">
      <w:pPr>
        <w:pStyle w:val="StandardWeb"/>
        <w:numPr>
          <w:ilvl w:val="0"/>
          <w:numId w:val="6"/>
        </w:numPr>
      </w:pPr>
      <w:r>
        <w:t>Signallaufzeiten können im Labor (z. B. bei NMR, Röntgenbeugung) als projektive Geometrie interpretiert werden.</w:t>
      </w:r>
    </w:p>
    <w:p w14:paraId="37C6633A" w14:textId="77777777" w:rsidR="00AD2D95" w:rsidRDefault="00AD2D95" w:rsidP="00AD2D95">
      <w:pPr>
        <w:pStyle w:val="StandardWeb"/>
        <w:numPr>
          <w:ilvl w:val="0"/>
          <w:numId w:val="6"/>
        </w:numPr>
      </w:pPr>
      <w:r>
        <w:t xml:space="preserve">Die projektive Rückprojektion hilft bei der </w:t>
      </w:r>
      <w:r>
        <w:rPr>
          <w:rStyle w:val="Fett"/>
        </w:rPr>
        <w:t>dreidimensionalen Rekonstruktion molekularer Strukturen</w:t>
      </w:r>
      <w:r>
        <w:t>.</w:t>
      </w:r>
    </w:p>
    <w:p w14:paraId="50D9728C" w14:textId="77777777" w:rsidR="00AD2D95" w:rsidRDefault="00AD2D95" w:rsidP="00AD2D95">
      <w:r>
        <w:pict w14:anchorId="0783E090">
          <v:rect id="_x0000_i1031" style="width:0;height:1.5pt" o:hralign="center" o:hrstd="t" o:hr="t" fillcolor="#a0a0a0" stroked="f"/>
        </w:pict>
      </w:r>
    </w:p>
    <w:p w14:paraId="410C53D4" w14:textId="77777777" w:rsidR="00AD2D95" w:rsidRDefault="00AD2D95" w:rsidP="00AD2D95">
      <w:pPr>
        <w:pStyle w:val="berschrift3"/>
      </w:pPr>
      <w:r>
        <w:rPr>
          <w:rFonts w:ascii="Segoe UI Emoji" w:hAnsi="Segoe UI Emoji" w:cs="Segoe UI Emoji"/>
        </w:rPr>
        <w:t>🧠</w:t>
      </w:r>
      <w:r>
        <w:t xml:space="preserve"> 7. Kognitive Systeme und KI-gestützte Entscheidungsprozesse</w:t>
      </w:r>
    </w:p>
    <w:p w14:paraId="10F8C63C" w14:textId="77777777" w:rsidR="00AD2D95" w:rsidRDefault="00AD2D95" w:rsidP="00AD2D95">
      <w:pPr>
        <w:pStyle w:val="StandardWeb"/>
      </w:pPr>
      <w:r>
        <w:rPr>
          <w:rStyle w:val="Fett"/>
        </w:rPr>
        <w:t>Anwendung:</w:t>
      </w:r>
      <w:r>
        <w:t xml:space="preserve"> Wissensverortung, semantische Raumstrukturen, adaptive Lernmodelle</w:t>
      </w:r>
      <w:r>
        <w:br/>
      </w:r>
      <w:r>
        <w:rPr>
          <w:rStyle w:val="Fett"/>
        </w:rPr>
        <w:t>Nutzen:</w:t>
      </w:r>
    </w:p>
    <w:p w14:paraId="32D99396" w14:textId="77777777" w:rsidR="00AD2D95" w:rsidRDefault="00AD2D95" w:rsidP="00AD2D95">
      <w:pPr>
        <w:pStyle w:val="StandardWeb"/>
        <w:numPr>
          <w:ilvl w:val="0"/>
          <w:numId w:val="7"/>
        </w:numPr>
      </w:pPr>
      <w:r>
        <w:t xml:space="preserve">Der Beobachtungstetraeder kann als Modell für </w:t>
      </w:r>
      <w:r>
        <w:rPr>
          <w:rStyle w:val="Fett"/>
        </w:rPr>
        <w:t>relationale Wissensräume</w:t>
      </w:r>
      <w:r>
        <w:t xml:space="preserve"> fungieren.</w:t>
      </w:r>
    </w:p>
    <w:p w14:paraId="5FFFA646" w14:textId="77777777" w:rsidR="00AD2D95" w:rsidRDefault="00AD2D95" w:rsidP="00AD2D95">
      <w:pPr>
        <w:pStyle w:val="StandardWeb"/>
        <w:numPr>
          <w:ilvl w:val="0"/>
          <w:numId w:val="7"/>
        </w:numPr>
      </w:pPr>
      <w:r>
        <w:lastRenderedPageBreak/>
        <w:t xml:space="preserve">Künstliche Systeme verorten Informationen innerhalb eines projektiven Bezugssystems mit </w:t>
      </w:r>
      <w:r>
        <w:rPr>
          <w:rStyle w:val="Fett"/>
        </w:rPr>
        <w:t>gewichteten Signallaufzeiten</w:t>
      </w:r>
      <w:r>
        <w:t xml:space="preserve"> als Relevanzmaß.</w:t>
      </w:r>
    </w:p>
    <w:p w14:paraId="6D9AC1E4" w14:textId="77777777" w:rsidR="00AD2D95" w:rsidRDefault="00AD2D95" w:rsidP="00AD2D95">
      <w:pPr>
        <w:pStyle w:val="StandardWeb"/>
        <w:numPr>
          <w:ilvl w:val="0"/>
          <w:numId w:val="7"/>
        </w:numPr>
      </w:pPr>
      <w:r>
        <w:t xml:space="preserve">Didaktisch als Grundlage für </w:t>
      </w:r>
      <w:r>
        <w:rPr>
          <w:rStyle w:val="Fett"/>
        </w:rPr>
        <w:t>adaptive, projektiv kodierte Lernalgorithmen</w:t>
      </w:r>
      <w:r>
        <w:t xml:space="preserve"> nutzbar.</w:t>
      </w:r>
    </w:p>
    <w:p w14:paraId="650D2855" w14:textId="77777777" w:rsidR="00AD2D95" w:rsidRDefault="00AD2D95" w:rsidP="00AD2D95">
      <w:r>
        <w:pict w14:anchorId="694AADEE">
          <v:rect id="_x0000_i1032" style="width:0;height:1.5pt" o:hralign="center" o:hrstd="t" o:hr="t" fillcolor="#a0a0a0" stroked="f"/>
        </w:pict>
      </w:r>
    </w:p>
    <w:p w14:paraId="44D14348" w14:textId="77777777" w:rsidR="00AD2D95" w:rsidRDefault="00AD2D95" w:rsidP="00AD2D95">
      <w:pPr>
        <w:pStyle w:val="berschrift3"/>
      </w:pPr>
      <w:r>
        <w:t>Fazit:</w:t>
      </w:r>
    </w:p>
    <w:p w14:paraId="2B0F0B68" w14:textId="77777777" w:rsidR="00AD2D95" w:rsidRDefault="00AD2D95" w:rsidP="00AD2D95">
      <w:pPr>
        <w:pStyle w:val="StandardWeb"/>
      </w:pPr>
      <w:r>
        <w:t xml:space="preserve">Der Beobachtungstetraeder bildet in all diesen Fällen eine minimal strukturierte, aber maximal auswertbare Raumeinheit, die funktionale Signale, geometrische Rückprojektion und technische Relevanz vereint. Durch seine </w:t>
      </w:r>
      <w:r>
        <w:rPr>
          <w:rStyle w:val="Fett"/>
        </w:rPr>
        <w:t>normierte Form</w:t>
      </w:r>
      <w:r>
        <w:t xml:space="preserve"> wird er zur </w:t>
      </w:r>
      <w:r>
        <w:rPr>
          <w:rStyle w:val="Fett"/>
        </w:rPr>
        <w:t>universellen Bezugszelle</w:t>
      </w:r>
      <w:r>
        <w:t xml:space="preserve"> für technologische Systeme, die auf Signalinterpretation, Raumverortung und differenzierter Projektion beruhen.</w:t>
      </w:r>
    </w:p>
    <w:p w14:paraId="0D914E38" w14:textId="77777777" w:rsidR="00767B8A" w:rsidRDefault="00767B8A"/>
    <w:sectPr w:rsidR="00767B8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C0CD4"/>
    <w:multiLevelType w:val="multilevel"/>
    <w:tmpl w:val="BF32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F205D"/>
    <w:multiLevelType w:val="multilevel"/>
    <w:tmpl w:val="8B16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34A17"/>
    <w:multiLevelType w:val="multilevel"/>
    <w:tmpl w:val="413C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F91021"/>
    <w:multiLevelType w:val="multilevel"/>
    <w:tmpl w:val="0FB4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E756B"/>
    <w:multiLevelType w:val="multilevel"/>
    <w:tmpl w:val="AB3A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FC6419"/>
    <w:multiLevelType w:val="multilevel"/>
    <w:tmpl w:val="CE76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E4FCA"/>
    <w:multiLevelType w:val="multilevel"/>
    <w:tmpl w:val="84FA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D95"/>
    <w:rsid w:val="00767B8A"/>
    <w:rsid w:val="008871CF"/>
    <w:rsid w:val="00AD2D95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67E7E"/>
  <w15:chartTrackingRefBased/>
  <w15:docId w15:val="{A1C427D5-0751-4025-B814-BC8C9941C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D2D9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AD2D9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berschrift6">
    <w:name w:val="heading 6"/>
    <w:basedOn w:val="Standard"/>
    <w:link w:val="berschrift6Zchn"/>
    <w:uiPriority w:val="9"/>
    <w:qFormat/>
    <w:rsid w:val="00AD2D95"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AD2D95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AD2D95"/>
    <w:rPr>
      <w:rFonts w:ascii="Times New Roman" w:eastAsia="Times New Roman" w:hAnsi="Times New Roman" w:cs="Times New Roman"/>
      <w:b/>
      <w:bCs/>
      <w:sz w:val="15"/>
      <w:szCs w:val="15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AD2D95"/>
    <w:pPr>
      <w:spacing w:before="100" w:beforeAutospacing="1" w:after="100" w:afterAutospacing="1"/>
    </w:pPr>
  </w:style>
  <w:style w:type="character" w:styleId="Fett">
    <w:name w:val="Strong"/>
    <w:basedOn w:val="Absatz-Standardschriftart"/>
    <w:uiPriority w:val="22"/>
    <w:qFormat/>
    <w:rsid w:val="00AD2D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87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9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70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3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1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4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81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27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13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3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42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27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58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48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062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8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561</Words>
  <Characters>3539</Characters>
  <Application>Microsoft Office Word</Application>
  <DocSecurity>0</DocSecurity>
  <Lines>29</Lines>
  <Paragraphs>8</Paragraphs>
  <ScaleCrop>false</ScaleCrop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2025-05-25T09:45:00Z</dcterms:created>
  <dcterms:modified xsi:type="dcterms:W3CDTF">2025-05-25T09:45:00Z</dcterms:modified>
</cp:coreProperties>
</file>