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05227" w14:textId="77777777" w:rsidR="0090375E" w:rsidRDefault="0090375E" w:rsidP="0090375E">
      <w:pPr>
        <w:pStyle w:val="berschrift2"/>
      </w:pPr>
      <w:r>
        <w:t>Kapitel 1 – Wissenschaftliches Selbstprofil und Motivation</w:t>
      </w:r>
    </w:p>
    <w:p w14:paraId="1DAC7D0F" w14:textId="77777777" w:rsidR="0090375E" w:rsidRDefault="0090375E" w:rsidP="0090375E">
      <w:pPr>
        <w:pStyle w:val="berschrift3"/>
      </w:pPr>
      <w:r>
        <w:t>1.1 Forschungsbiografische Herkunft</w:t>
      </w:r>
    </w:p>
    <w:p w14:paraId="7D466896" w14:textId="77777777" w:rsidR="0090375E" w:rsidRDefault="0090375E" w:rsidP="0090375E">
      <w:pPr>
        <w:pStyle w:val="StandardWeb"/>
      </w:pPr>
      <w:r>
        <w:t>Schon während meiner Schulzeit entwickelte ich ein tiefgehendes Interesse an wissenschaftlichen Fragestellungen, insbesondere in naturwissenschaftlich-technischen Bereichen. Als Gymnasiast konnte ich an einem Projektlabor der Technischen Hochschule Merseburg mitwirken, in dem ich eigene experimentelle Arbeiten plante, durchführte und im Rahmen wissenschaftsnaher Veranstaltungen einem fachlich qualifizierten Publikum präsentierte. Diese frühen Erfahrungen mit forschendem Lernen förderten nicht nur mein analytisches Denken, sondern legten auch den Grundstein für eine nachhaltige wissenschaftliche Orientierung, die bis heute wirksam ist [1].</w:t>
      </w:r>
    </w:p>
    <w:p w14:paraId="11272EEB" w14:textId="77777777" w:rsidR="0090375E" w:rsidRDefault="0090375E" w:rsidP="0090375E">
      <w:pPr>
        <w:pStyle w:val="berschrift3"/>
      </w:pPr>
      <w:r>
        <w:t>1.2 Autodidaktik und Bildungslaufbahn</w:t>
      </w:r>
    </w:p>
    <w:p w14:paraId="273F9A8E" w14:textId="77777777" w:rsidR="0090375E" w:rsidRDefault="0090375E" w:rsidP="0090375E">
      <w:pPr>
        <w:pStyle w:val="StandardWeb"/>
      </w:pPr>
      <w:r>
        <w:t>Im Anschluss an meine schulische Laufbahn absolvierte ich eine praxisorientierte Ausbildung im Bereich der Informationstechnologie. Die gesellschaftlichen Umbrüche in der Wendezeit ermöglichten eine Vielzahl neuer Lern- und Entwicklungswege, die ich durch autodidaktische Weiterbildung konsequent nutzte. In Eigenregie eignete ich mir fundiertes Wissen in Bereichen wie Netzwerktechnik, objektorientierter Programmierung, relationalen Datenbanken, Simulationssystemen sowie technischer Didaktik an. Diese Lernprozesse verknüpften praktische Problemlösung mit konzeptionellem Denken und bildeten die Grundlage für meine spätere berufliche Tätigkeit in Lehre und Beratung [2].</w:t>
      </w:r>
    </w:p>
    <w:p w14:paraId="4E19015E" w14:textId="77777777" w:rsidR="0090375E" w:rsidRDefault="0090375E" w:rsidP="0090375E">
      <w:pPr>
        <w:pStyle w:val="berschrift3"/>
      </w:pPr>
      <w:r>
        <w:t>1.3 Didaktisch-methodisches Erfahrungsprofil</w:t>
      </w:r>
    </w:p>
    <w:p w14:paraId="30564D70" w14:textId="77777777" w:rsidR="0090375E" w:rsidRDefault="0090375E" w:rsidP="0090375E">
      <w:pPr>
        <w:pStyle w:val="StandardWeb"/>
      </w:pPr>
      <w:r>
        <w:t>Im Verlauf meiner rund fünfzehnjährigen Berufspraxis als Dozent, Ausbilder und technischer Trainer in mathematisch-naturwissenschaftlichen und informationstechnologischen Fachgebieten konnte ich ein vielseitiges didaktisch-methodisches Profil entwickeln. Mein Unterrichtsansatz ist dabei methodisch reflektiert, systematisch strukturiert und adaptiv angelegt. Er basiert auf der Überzeugung, dass nachhaltiges Lernen durch individuell zugeschnittene Zugänge, geeignete Visualisierungen und eine konsequente Modellbildung unterstützt wird [3]. Seit dem Jahr 2024 bin ich darüber hinaus als Nachhilfelehrer tätig und begleite Schülerinnen und Schüler von der Grundschule bis zur gymnasialen Oberstufe. In dieser Funktion vertiefe ich mein didaktisches Verständnis durch die unmittelbare Rückmeldung individueller Lernprozesse und die Anpassung komplexer Inhalte an unterschiedliche kognitive Entwicklungsstände [4].</w:t>
      </w:r>
    </w:p>
    <w:p w14:paraId="79E596CE" w14:textId="77777777" w:rsidR="0090375E" w:rsidRDefault="0090375E" w:rsidP="0090375E">
      <w:pPr>
        <w:pStyle w:val="berschrift3"/>
      </w:pPr>
      <w:r>
        <w:t>1.4 Wissenschaftliche Motivation und Bildungsengagement</w:t>
      </w:r>
    </w:p>
    <w:p w14:paraId="77D743DC" w14:textId="77777777" w:rsidR="0090375E" w:rsidRDefault="0090375E" w:rsidP="0090375E">
      <w:pPr>
        <w:pStyle w:val="StandardWeb"/>
      </w:pPr>
      <w:r>
        <w:t xml:space="preserve">Die Idee, ein Promotionsvorhaben zu realisieren, entwickelte sich bereits während meines ersten Studienjahres. In den darauffolgenden Jahren verdichtete sich diese Vorstellung zu einem langfristigen Ziel, das nicht nur der Vertiefung meiner wissenschaftlichen Kompetenzen dient, sondern auch meiner methodischen, didaktischen und bildungstheoretischen Haltung Ausdruck verleiht. Mein besonderes Interesse gilt Fragestellungen an der Schnittstelle von Geometrie, Zeitstruktur, sensorischer Rückkopplung und reversibler Formveränderung. Dabei steht weniger die rein technische Anwendung im Vordergrund als vielmehr die erkenntnistheoretische und didaktische Strukturierung dieser Zusammenhänge. Das Promotionsvorhaben, das in einem späteren Kapitel detailliert </w:t>
      </w:r>
      <w:r>
        <w:lastRenderedPageBreak/>
        <w:t>vorgestellt wird, stellt eine Synthese meiner fachlichen, bildungsbiografischen und methodologischen Entwicklung dar.</w:t>
      </w:r>
    </w:p>
    <w:p w14:paraId="185345D6" w14:textId="77777777" w:rsidR="0090375E" w:rsidRDefault="0090375E" w:rsidP="0090375E">
      <w:pPr>
        <w:pStyle w:val="berschrift3"/>
      </w:pPr>
      <w:r>
        <w:t>1.5 Wissenschaftliche Verantwortung und intergenerationale Weitergabe</w:t>
      </w:r>
    </w:p>
    <w:p w14:paraId="4DAAE068" w14:textId="112CA986" w:rsidR="0090375E" w:rsidRDefault="0090375E" w:rsidP="0090375E">
      <w:pPr>
        <w:pStyle w:val="StandardWeb"/>
      </w:pPr>
      <w:r>
        <w:t>Im Verlauf meines beruflichen und bildungsbezogenen Werdegangs hat sich zunehmend die Einsicht gefestigt, dass wissenschaftliches Wissen und methodische Reflexion nicht nur individuell bedeutsam, sondern auch gesellschaftlich verantwortungsvoll weiterzugeben sind. Ich betrachte es als Teil meiner Verantwortung gegenüber kommenden Generationen, wissenschaftlich-methodische Kompetenzen so aufzubereiten, dass sie anschlussfähig, nachvollziehbar und praxistauglich sind [5]. Die Weitergabe von Wissen – insbesondere im Rahmen didaktisch strukturierter Lernsettings – ist für mich daher nicht lediglich ein pädagogisches Anliegen, sondern Ausdruck einer ethischen Haltung im Umgang mit Bildung, Erkenntnis und gemeinschaftlicher Entwicklung [6].</w:t>
      </w:r>
    </w:p>
    <w:p w14:paraId="5F8DFCBA" w14:textId="77777777" w:rsidR="002F27D4" w:rsidRDefault="002F27D4" w:rsidP="002F27D4">
      <w:pPr>
        <w:pStyle w:val="berschrift2"/>
      </w:pPr>
      <w:r>
        <w:t>Literaturverzeichnis</w:t>
      </w:r>
    </w:p>
    <w:p w14:paraId="65254D5A" w14:textId="77777777" w:rsidR="002F27D4" w:rsidRDefault="002F27D4" w:rsidP="002F27D4">
      <w:pPr>
        <w:pStyle w:val="StandardWeb"/>
        <w:numPr>
          <w:ilvl w:val="0"/>
          <w:numId w:val="1"/>
        </w:numPr>
      </w:pPr>
      <w:r>
        <w:t xml:space="preserve">Bruner, J. S. (1960). </w:t>
      </w:r>
      <w:r>
        <w:rPr>
          <w:rStyle w:val="Hervorhebung"/>
        </w:rPr>
        <w:t xml:space="preserve">The </w:t>
      </w:r>
      <w:proofErr w:type="spellStart"/>
      <w:r>
        <w:rPr>
          <w:rStyle w:val="Hervorhebung"/>
        </w:rPr>
        <w:t>Process</w:t>
      </w:r>
      <w:proofErr w:type="spellEnd"/>
      <w:r>
        <w:rPr>
          <w:rStyle w:val="Hervorhebung"/>
        </w:rPr>
        <w:t xml:space="preserve"> </w:t>
      </w:r>
      <w:proofErr w:type="spellStart"/>
      <w:r>
        <w:rPr>
          <w:rStyle w:val="Hervorhebung"/>
        </w:rPr>
        <w:t>of</w:t>
      </w:r>
      <w:proofErr w:type="spellEnd"/>
      <w:r>
        <w:rPr>
          <w:rStyle w:val="Hervorhebung"/>
        </w:rPr>
        <w:t xml:space="preserve"> Education</w:t>
      </w:r>
      <w:r>
        <w:t>. Harvard University Press.</w:t>
      </w:r>
    </w:p>
    <w:p w14:paraId="6315511B" w14:textId="77777777" w:rsidR="002F27D4" w:rsidRDefault="002F27D4" w:rsidP="002F27D4">
      <w:pPr>
        <w:pStyle w:val="StandardWeb"/>
        <w:numPr>
          <w:ilvl w:val="0"/>
          <w:numId w:val="1"/>
        </w:numPr>
      </w:pPr>
      <w:r>
        <w:t xml:space="preserve">Kolb, D. A. (1984). </w:t>
      </w:r>
      <w:proofErr w:type="spellStart"/>
      <w:r>
        <w:rPr>
          <w:rStyle w:val="Hervorhebung"/>
        </w:rPr>
        <w:t>Experiential</w:t>
      </w:r>
      <w:proofErr w:type="spellEnd"/>
      <w:r>
        <w:rPr>
          <w:rStyle w:val="Hervorhebung"/>
        </w:rPr>
        <w:t xml:space="preserve"> Learning: Experience </w:t>
      </w:r>
      <w:proofErr w:type="spellStart"/>
      <w:r>
        <w:rPr>
          <w:rStyle w:val="Hervorhebung"/>
        </w:rPr>
        <w:t>as</w:t>
      </w:r>
      <w:proofErr w:type="spellEnd"/>
      <w:r>
        <w:rPr>
          <w:rStyle w:val="Hervorhebung"/>
        </w:rPr>
        <w:t xml:space="preserve"> </w:t>
      </w:r>
      <w:proofErr w:type="spellStart"/>
      <w:r>
        <w:rPr>
          <w:rStyle w:val="Hervorhebung"/>
        </w:rPr>
        <w:t>the</w:t>
      </w:r>
      <w:proofErr w:type="spellEnd"/>
      <w:r>
        <w:rPr>
          <w:rStyle w:val="Hervorhebung"/>
        </w:rPr>
        <w:t xml:space="preserve"> Source </w:t>
      </w:r>
      <w:proofErr w:type="spellStart"/>
      <w:r>
        <w:rPr>
          <w:rStyle w:val="Hervorhebung"/>
        </w:rPr>
        <w:t>of</w:t>
      </w:r>
      <w:proofErr w:type="spellEnd"/>
      <w:r>
        <w:rPr>
          <w:rStyle w:val="Hervorhebung"/>
        </w:rPr>
        <w:t xml:space="preserve"> Learning and Development</w:t>
      </w:r>
      <w:r>
        <w:t>. Prentice Hall.</w:t>
      </w:r>
    </w:p>
    <w:p w14:paraId="43D569BA" w14:textId="77777777" w:rsidR="002F27D4" w:rsidRDefault="002F27D4" w:rsidP="002F27D4">
      <w:pPr>
        <w:pStyle w:val="StandardWeb"/>
        <w:numPr>
          <w:ilvl w:val="0"/>
          <w:numId w:val="1"/>
        </w:numPr>
      </w:pPr>
      <w:r>
        <w:t xml:space="preserve">Roth, W.-M., &amp; </w:t>
      </w:r>
      <w:proofErr w:type="spellStart"/>
      <w:r>
        <w:t>Jorns</w:t>
      </w:r>
      <w:proofErr w:type="spellEnd"/>
      <w:r>
        <w:t xml:space="preserve">, R. (2014). </w:t>
      </w:r>
      <w:r>
        <w:rPr>
          <w:rStyle w:val="Hervorhebung"/>
        </w:rPr>
        <w:t>Bildung durch Wissenschaft. Pädagogische Rekonstruktion im naturwissenschaftlichen Unterricht</w:t>
      </w:r>
      <w:r>
        <w:t>. Springer VS.</w:t>
      </w:r>
    </w:p>
    <w:p w14:paraId="6D45D424" w14:textId="77777777" w:rsidR="002F27D4" w:rsidRDefault="002F27D4" w:rsidP="002F27D4">
      <w:pPr>
        <w:pStyle w:val="StandardWeb"/>
        <w:numPr>
          <w:ilvl w:val="0"/>
          <w:numId w:val="1"/>
        </w:numPr>
      </w:pPr>
      <w:r>
        <w:t xml:space="preserve">Helmke, A. (2017). </w:t>
      </w:r>
      <w:r>
        <w:rPr>
          <w:rStyle w:val="Hervorhebung"/>
        </w:rPr>
        <w:t>Unterrichtsqualität und Lehrerprofessionalität</w:t>
      </w:r>
      <w:r>
        <w:t>. Klett-Cotta.</w:t>
      </w:r>
    </w:p>
    <w:p w14:paraId="2AE86589" w14:textId="77777777" w:rsidR="002F27D4" w:rsidRDefault="002F27D4" w:rsidP="002F27D4">
      <w:pPr>
        <w:pStyle w:val="StandardWeb"/>
        <w:numPr>
          <w:ilvl w:val="0"/>
          <w:numId w:val="1"/>
        </w:numPr>
      </w:pPr>
      <w:r>
        <w:t xml:space="preserve">Meyer, H. (2004). </w:t>
      </w:r>
      <w:r>
        <w:rPr>
          <w:rStyle w:val="Hervorhebung"/>
        </w:rPr>
        <w:t>Was ist guter Unterricht?</w:t>
      </w:r>
      <w:r>
        <w:t>. Cornelsen Scriptor.</w:t>
      </w:r>
    </w:p>
    <w:p w14:paraId="7970297B" w14:textId="77777777" w:rsidR="002F27D4" w:rsidRDefault="002F27D4" w:rsidP="0090375E">
      <w:pPr>
        <w:pStyle w:val="StandardWeb"/>
      </w:pPr>
    </w:p>
    <w:p w14:paraId="715A05B7" w14:textId="77777777" w:rsidR="00874BAF" w:rsidRDefault="00874BAF"/>
    <w:sectPr w:rsidR="00874BA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040991"/>
    <w:multiLevelType w:val="multilevel"/>
    <w:tmpl w:val="5890F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5E"/>
    <w:rsid w:val="002F27D4"/>
    <w:rsid w:val="00874BAF"/>
    <w:rsid w:val="008871CF"/>
    <w:rsid w:val="0090375E"/>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FB4E"/>
  <w15:chartTrackingRefBased/>
  <w15:docId w15:val="{547DA5D6-875B-4EC4-87D0-D264389E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90375E"/>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90375E"/>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90375E"/>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90375E"/>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90375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2F27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170918">
      <w:bodyDiv w:val="1"/>
      <w:marLeft w:val="0"/>
      <w:marRight w:val="0"/>
      <w:marTop w:val="0"/>
      <w:marBottom w:val="0"/>
      <w:divBdr>
        <w:top w:val="none" w:sz="0" w:space="0" w:color="auto"/>
        <w:left w:val="none" w:sz="0" w:space="0" w:color="auto"/>
        <w:bottom w:val="none" w:sz="0" w:space="0" w:color="auto"/>
        <w:right w:val="none" w:sz="0" w:space="0" w:color="auto"/>
      </w:divBdr>
    </w:div>
    <w:div w:id="195979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4020</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2025-05-25T04:17:00Z</dcterms:created>
  <dcterms:modified xsi:type="dcterms:W3CDTF">2025-05-25T04:20:00Z</dcterms:modified>
</cp:coreProperties>
</file>