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721C9" w14:textId="18292B51" w:rsidR="006D3878" w:rsidRDefault="006D3878" w:rsidP="006D3878">
      <w:pPr>
        <w:pStyle w:val="StandardWeb"/>
      </w:pPr>
      <w:r>
        <w:rPr>
          <w:rStyle w:val="Fett"/>
        </w:rPr>
        <w:t>Kapitel</w:t>
      </w:r>
      <w:r>
        <w:rPr>
          <w:rStyle w:val="Fett"/>
        </w:rPr>
        <w:t xml:space="preserve"> 11</w:t>
      </w:r>
      <w:r>
        <w:rPr>
          <w:rStyle w:val="Fett"/>
        </w:rPr>
        <w:t>: Technikwerdung des normierten Beobachtungsmodells</w:t>
      </w:r>
    </w:p>
    <w:p w14:paraId="73A806F0" w14:textId="77777777" w:rsidR="006D3878" w:rsidRDefault="006D3878" w:rsidP="006D3878">
      <w:r>
        <w:pict w14:anchorId="5765AC07">
          <v:rect id="_x0000_i1025" style="width:0;height:1.5pt" o:hralign="center" o:hrstd="t" o:hr="t" fillcolor="#a0a0a0" stroked="f"/>
        </w:pict>
      </w:r>
    </w:p>
    <w:p w14:paraId="101F2D30" w14:textId="77777777" w:rsidR="006D3878" w:rsidRDefault="006D3878" w:rsidP="006D3878">
      <w:pPr>
        <w:pStyle w:val="berschrift2"/>
      </w:pPr>
      <w:r>
        <w:t>1. Einleitung – Von der Theorie zur technischen Praxis</w:t>
      </w:r>
    </w:p>
    <w:p w14:paraId="171531A1" w14:textId="77777777" w:rsidR="006D3878" w:rsidRDefault="006D3878" w:rsidP="006D3878">
      <w:pPr>
        <w:pStyle w:val="StandardWeb"/>
      </w:pPr>
      <w:r>
        <w:t>Die vorangegangenen Kapitel haben ein normiertes Beobachtungsmodell entwickelt, das geometrisch im Beobachtungsdreieck und -tetraeder sowie erkenntnistheoretisch in der projektiven Rückbindung von Signal und Information verankert ist. In diesem Kapitel wird gezeigt, wie diese Konzepte in eine heute technisch realisierbare, adaptive und skalierbare Gesamteinrichtung überführt werden können.</w:t>
      </w:r>
    </w:p>
    <w:p w14:paraId="231DA0E4" w14:textId="77777777" w:rsidR="006D3878" w:rsidRDefault="006D3878" w:rsidP="006D3878">
      <w:pPr>
        <w:pStyle w:val="StandardWeb"/>
      </w:pPr>
      <w:r>
        <w:t xml:space="preserve">Ziel ist die Transformation eines erkenntnistheoretischen Modells in ein praxistaugliches, verteiltes Sensorsystem, das auf dem Prinzip der </w:t>
      </w:r>
      <w:r>
        <w:rPr>
          <w:rStyle w:val="Fett"/>
        </w:rPr>
        <w:t>projektierten Signallaufzeit auf einem normierten Beobachtungsdreieck</w:t>
      </w:r>
      <w:r>
        <w:t xml:space="preserve"> beruht.</w:t>
      </w:r>
    </w:p>
    <w:p w14:paraId="42B21588" w14:textId="77777777" w:rsidR="006D3878" w:rsidRDefault="006D3878" w:rsidP="006D3878">
      <w:r>
        <w:pict w14:anchorId="72856C45">
          <v:rect id="_x0000_i1026" style="width:0;height:1.5pt" o:hralign="center" o:hrstd="t" o:hr="t" fillcolor="#a0a0a0" stroked="f"/>
        </w:pict>
      </w:r>
    </w:p>
    <w:p w14:paraId="44F0DFEB" w14:textId="77777777" w:rsidR="006D3878" w:rsidRDefault="006D3878" w:rsidP="006D3878">
      <w:pPr>
        <w:pStyle w:val="berschrift2"/>
      </w:pPr>
      <w:r>
        <w:t>2. Systemarchitektur eines adaptiven Beobachtungssystems</w:t>
      </w:r>
    </w:p>
    <w:p w14:paraId="67CB0838" w14:textId="77777777" w:rsidR="006D3878" w:rsidRDefault="006D3878" w:rsidP="006D3878">
      <w:pPr>
        <w:pStyle w:val="StandardWeb"/>
      </w:pPr>
      <w:r>
        <w:t xml:space="preserve">Die technische Entsprechung des Beobachtungsdreiecks ist ein räumlich definiertes, normiertes Detektionsmodul mit drei Knoten (Sensoren), die auf der Einheitskugel angeordnet sind und in konstanter Beziehung zu einem zentralen Referenzpunkt $P_B$ stehen. Die Aufgabe besteht in der präzisen Messung der </w:t>
      </w:r>
      <w:r>
        <w:rPr>
          <w:rStyle w:val="Fett"/>
        </w:rPr>
        <w:t>Signallaufzeitdifferenzen</w:t>
      </w:r>
      <w:r>
        <w:t xml:space="preserve"> zwischen diesen Punkten.</w:t>
      </w:r>
    </w:p>
    <w:p w14:paraId="730741FA" w14:textId="77777777" w:rsidR="006D3878" w:rsidRDefault="006D3878" w:rsidP="006D3878">
      <w:pPr>
        <w:pStyle w:val="berschrift3"/>
      </w:pPr>
      <w:r>
        <w:t>2.1 Grundstruktur</w:t>
      </w:r>
    </w:p>
    <w:p w14:paraId="787B1AC3" w14:textId="77777777" w:rsidR="006D3878" w:rsidRDefault="006D3878" w:rsidP="006D3878">
      <w:pPr>
        <w:pStyle w:val="StandardWeb"/>
        <w:numPr>
          <w:ilvl w:val="0"/>
          <w:numId w:val="1"/>
        </w:numPr>
      </w:pPr>
      <w:r>
        <w:rPr>
          <w:rStyle w:val="Fett"/>
        </w:rPr>
        <w:t>Knoten A, B, C</w:t>
      </w:r>
      <w:r>
        <w:t>: Sensoren zur Erfassung eingehender Signale</w:t>
      </w:r>
    </w:p>
    <w:p w14:paraId="25BEB04A" w14:textId="77777777" w:rsidR="006D3878" w:rsidRDefault="006D3878" w:rsidP="006D3878">
      <w:pPr>
        <w:pStyle w:val="StandardWeb"/>
        <w:numPr>
          <w:ilvl w:val="0"/>
          <w:numId w:val="1"/>
        </w:numPr>
      </w:pPr>
      <w:r>
        <w:rPr>
          <w:rStyle w:val="Fett"/>
        </w:rPr>
        <w:t>Punkt $P_B$</w:t>
      </w:r>
      <w:r>
        <w:t>: zentrales Auswertungszentrum bzw. Synchronisationsreferenz</w:t>
      </w:r>
    </w:p>
    <w:p w14:paraId="1F7DCDB1" w14:textId="77777777" w:rsidR="006D3878" w:rsidRDefault="006D3878" w:rsidP="006D3878">
      <w:pPr>
        <w:pStyle w:val="StandardWeb"/>
        <w:numPr>
          <w:ilvl w:val="0"/>
          <w:numId w:val="1"/>
        </w:numPr>
      </w:pPr>
      <w:r>
        <w:rPr>
          <w:rStyle w:val="Fett"/>
        </w:rPr>
        <w:t>Signalquelle</w:t>
      </w:r>
      <w:r>
        <w:t>: beliebige emittierende Entität (akustisch, elektromagnetisch, mechanisch)</w:t>
      </w:r>
    </w:p>
    <w:p w14:paraId="3848CBBA" w14:textId="77777777" w:rsidR="006D3878" w:rsidRDefault="006D3878" w:rsidP="006D3878">
      <w:pPr>
        <w:pStyle w:val="berschrift3"/>
      </w:pPr>
      <w:r>
        <w:t>2.2 Ablauf</w:t>
      </w:r>
    </w:p>
    <w:p w14:paraId="5BBC82E6" w14:textId="77777777" w:rsidR="006D3878" w:rsidRDefault="006D3878" w:rsidP="006D3878">
      <w:pPr>
        <w:pStyle w:val="StandardWeb"/>
        <w:numPr>
          <w:ilvl w:val="0"/>
          <w:numId w:val="2"/>
        </w:numPr>
      </w:pPr>
      <w:r>
        <w:t>Ein externes oder internes Signal trifft an den Punkten A, B, C ein.</w:t>
      </w:r>
    </w:p>
    <w:p w14:paraId="69F693B5" w14:textId="77777777" w:rsidR="006D3878" w:rsidRDefault="006D3878" w:rsidP="006D3878">
      <w:pPr>
        <w:pStyle w:val="StandardWeb"/>
        <w:numPr>
          <w:ilvl w:val="0"/>
          <w:numId w:val="2"/>
        </w:numPr>
      </w:pPr>
      <w:r>
        <w:t xml:space="preserve">Die </w:t>
      </w:r>
      <w:r>
        <w:rPr>
          <w:rStyle w:val="Fett"/>
        </w:rPr>
        <w:t>Ankunftszeitdifferenzen</w:t>
      </w:r>
      <w:r>
        <w:t xml:space="preserve"> werden gemessen.</w:t>
      </w:r>
    </w:p>
    <w:p w14:paraId="338D8502" w14:textId="77777777" w:rsidR="006D3878" w:rsidRDefault="006D3878" w:rsidP="006D3878">
      <w:pPr>
        <w:pStyle w:val="StandardWeb"/>
        <w:numPr>
          <w:ilvl w:val="0"/>
          <w:numId w:val="2"/>
        </w:numPr>
      </w:pPr>
      <w:r>
        <w:t xml:space="preserve">Die Differenzen werden auf ein </w:t>
      </w:r>
      <w:r>
        <w:rPr>
          <w:rStyle w:val="Fett"/>
        </w:rPr>
        <w:t>normiertes Beobachtungsdreieck</w:t>
      </w:r>
      <w:r>
        <w:t xml:space="preserve"> zurückgerechnet.</w:t>
      </w:r>
    </w:p>
    <w:p w14:paraId="57347A0A" w14:textId="77777777" w:rsidR="006D3878" w:rsidRDefault="006D3878" w:rsidP="006D3878">
      <w:pPr>
        <w:pStyle w:val="StandardWeb"/>
        <w:numPr>
          <w:ilvl w:val="0"/>
          <w:numId w:val="2"/>
        </w:numPr>
      </w:pPr>
      <w:r>
        <w:t>Die rekonstruierten Werte liefern Informationen über Richtung, Entfernung und Kontext.</w:t>
      </w:r>
    </w:p>
    <w:p w14:paraId="133AA315" w14:textId="77777777" w:rsidR="006D3878" w:rsidRDefault="006D3878" w:rsidP="006D3878">
      <w:r>
        <w:pict w14:anchorId="03978A35">
          <v:rect id="_x0000_i1027" style="width:0;height:1.5pt" o:hralign="center" o:hrstd="t" o:hr="t" fillcolor="#a0a0a0" stroked="f"/>
        </w:pict>
      </w:r>
    </w:p>
    <w:p w14:paraId="4B8F211D" w14:textId="77777777" w:rsidR="006D3878" w:rsidRDefault="006D3878" w:rsidP="006D3878">
      <w:pPr>
        <w:pStyle w:val="berschrift2"/>
      </w:pPr>
      <w:r>
        <w:t>3. Rechenmodell: Normierung und adaptive Gleichungen</w:t>
      </w:r>
    </w:p>
    <w:p w14:paraId="4CF6301F" w14:textId="77777777" w:rsidR="006D3878" w:rsidRDefault="006D3878" w:rsidP="006D3878">
      <w:pPr>
        <w:pStyle w:val="StandardWeb"/>
      </w:pPr>
      <w:r>
        <w:t>Das technische System nutzt die Vorteile der vorher eingeführten Normierung:</w:t>
      </w:r>
    </w:p>
    <w:p w14:paraId="1BA10642" w14:textId="77777777" w:rsidR="006D3878" w:rsidRDefault="006D3878" w:rsidP="006D3878">
      <w:pPr>
        <w:pStyle w:val="StandardWeb"/>
        <w:numPr>
          <w:ilvl w:val="0"/>
          <w:numId w:val="3"/>
        </w:numPr>
      </w:pPr>
      <w:r>
        <w:rPr>
          <w:rStyle w:val="Fett"/>
        </w:rPr>
        <w:lastRenderedPageBreak/>
        <w:t>Vergleichbarkeit</w:t>
      </w:r>
      <w:r>
        <w:t>: Unterschiedliche Beobachtungseinheiten liefern auswertbare Daten auf einer gemeinsamen metrischen Basis.</w:t>
      </w:r>
    </w:p>
    <w:p w14:paraId="0B79C229" w14:textId="77777777" w:rsidR="006D3878" w:rsidRDefault="006D3878" w:rsidP="006D3878">
      <w:pPr>
        <w:pStyle w:val="StandardWeb"/>
        <w:numPr>
          <w:ilvl w:val="0"/>
          <w:numId w:val="3"/>
        </w:numPr>
      </w:pPr>
      <w:r>
        <w:rPr>
          <w:rStyle w:val="Fett"/>
        </w:rPr>
        <w:t>Reduktion der Komplexität</w:t>
      </w:r>
      <w:r>
        <w:t>: Durch Rückführung auf eine Standardgeometrie entfällt der Bedarf an komplexer individueller Kalibrierung.</w:t>
      </w:r>
    </w:p>
    <w:p w14:paraId="591A4A80" w14:textId="77777777" w:rsidR="006D3878" w:rsidRDefault="006D3878" w:rsidP="006D3878">
      <w:pPr>
        <w:pStyle w:val="StandardWeb"/>
        <w:numPr>
          <w:ilvl w:val="0"/>
          <w:numId w:val="3"/>
        </w:numPr>
      </w:pPr>
      <w:r>
        <w:rPr>
          <w:rStyle w:val="Fett"/>
        </w:rPr>
        <w:t>Adaptive Analyse</w:t>
      </w:r>
      <w:r>
        <w:t xml:space="preserve">: Durch die Einführung </w:t>
      </w:r>
      <w:r>
        <w:rPr>
          <w:rStyle w:val="Fett"/>
        </w:rPr>
        <w:t>adaptiver Gleichungen</w:t>
      </w:r>
      <w:r>
        <w:t xml:space="preserve"> können Systeme auch bei variabler Signalgeschwindigkeit $c$ oder leicht verschobenen Sensorpositionen normgetreu arbeiten.</w:t>
      </w:r>
    </w:p>
    <w:p w14:paraId="60A905C3" w14:textId="77777777" w:rsidR="006D3878" w:rsidRDefault="006D3878" w:rsidP="006D3878">
      <w:pPr>
        <w:pStyle w:val="berschrift3"/>
      </w:pPr>
      <w:r>
        <w:t>3.1 Normierungsalgorithmus</w:t>
      </w:r>
    </w:p>
    <w:p w14:paraId="4F4EEDF2" w14:textId="77777777" w:rsidR="006D3878" w:rsidRDefault="006D3878" w:rsidP="006D3878">
      <w:pPr>
        <w:pStyle w:val="StandardWeb"/>
      </w:pPr>
      <w:r>
        <w:t>Für die ankommenden Zeiten $</w:t>
      </w:r>
      <w:proofErr w:type="spellStart"/>
      <w:r>
        <w:t>t_A</w:t>
      </w:r>
      <w:proofErr w:type="spellEnd"/>
      <w:r>
        <w:t xml:space="preserve">, </w:t>
      </w:r>
      <w:proofErr w:type="spellStart"/>
      <w:r>
        <w:t>t_B</w:t>
      </w:r>
      <w:proofErr w:type="spellEnd"/>
      <w:r>
        <w:t xml:space="preserve">, </w:t>
      </w:r>
      <w:proofErr w:type="spellStart"/>
      <w:r>
        <w:t>t_C</w:t>
      </w:r>
      <w:proofErr w:type="spellEnd"/>
      <w:r>
        <w:t>$ gilt:</w:t>
      </w:r>
    </w:p>
    <w:p w14:paraId="220B2A2B" w14:textId="77777777" w:rsidR="006D3878" w:rsidRDefault="006D3878" w:rsidP="006D3878">
      <w:proofErr w:type="spellStart"/>
      <w:r>
        <w:rPr>
          <w:rStyle w:val="katex"/>
        </w:rPr>
        <w:t>Δ</w:t>
      </w:r>
      <w:proofErr w:type="gramStart"/>
      <w:r>
        <w:rPr>
          <w:rStyle w:val="katex"/>
        </w:rPr>
        <w:t>tAB</w:t>
      </w:r>
      <w:proofErr w:type="spellEnd"/>
      <w:r>
        <w:rPr>
          <w:rStyle w:val="katex"/>
        </w:rPr>
        <w:t>:=</w:t>
      </w:r>
      <w:proofErr w:type="spellStart"/>
      <w:proofErr w:type="gramEnd"/>
      <w:r>
        <w:rPr>
          <w:rStyle w:val="katex"/>
        </w:rPr>
        <w:t>tA−tB,ΔtBC</w:t>
      </w:r>
      <w:proofErr w:type="spellEnd"/>
      <w:r>
        <w:rPr>
          <w:rStyle w:val="katex"/>
        </w:rPr>
        <w:t>:=</w:t>
      </w:r>
      <w:proofErr w:type="spellStart"/>
      <w:r>
        <w:rPr>
          <w:rStyle w:val="katex"/>
        </w:rPr>
        <w:t>tB−tC</w:t>
      </w:r>
      <w:proofErr w:type="spellEnd"/>
      <w:r>
        <w:rPr>
          <w:rStyle w:val="katex"/>
        </w:rPr>
        <w:t xml:space="preserve">\Delta t_{AB} := </w:t>
      </w:r>
      <w:proofErr w:type="spellStart"/>
      <w:r>
        <w:rPr>
          <w:rStyle w:val="katex"/>
        </w:rPr>
        <w:t>t_A</w:t>
      </w:r>
      <w:proofErr w:type="spellEnd"/>
      <w:r>
        <w:rPr>
          <w:rStyle w:val="katex"/>
        </w:rPr>
        <w:t xml:space="preserve"> - </w:t>
      </w:r>
      <w:proofErr w:type="spellStart"/>
      <w:r>
        <w:rPr>
          <w:rStyle w:val="katex"/>
        </w:rPr>
        <w:t>t_B</w:t>
      </w:r>
      <w:proofErr w:type="spellEnd"/>
      <w:r>
        <w:rPr>
          <w:rStyle w:val="katex"/>
        </w:rPr>
        <w:t>, \</w:t>
      </w:r>
      <w:proofErr w:type="spellStart"/>
      <w:r>
        <w:rPr>
          <w:rStyle w:val="katex"/>
        </w:rPr>
        <w:t>quad</w:t>
      </w:r>
      <w:proofErr w:type="spellEnd"/>
      <w:r>
        <w:rPr>
          <w:rStyle w:val="katex"/>
        </w:rPr>
        <w:t xml:space="preserve"> \Delta t_{BC} := </w:t>
      </w:r>
      <w:proofErr w:type="spellStart"/>
      <w:r>
        <w:rPr>
          <w:rStyle w:val="katex"/>
        </w:rPr>
        <w:t>t_B</w:t>
      </w:r>
      <w:proofErr w:type="spellEnd"/>
      <w:r>
        <w:rPr>
          <w:rStyle w:val="katex"/>
        </w:rPr>
        <w:t xml:space="preserve"> - </w:t>
      </w:r>
      <w:proofErr w:type="spellStart"/>
      <w:r>
        <w:rPr>
          <w:rStyle w:val="katex"/>
        </w:rPr>
        <w:t>t_C</w:t>
      </w:r>
      <w:proofErr w:type="spellEnd"/>
      <w:r>
        <w:t xml:space="preserve"> </w:t>
      </w:r>
    </w:p>
    <w:p w14:paraId="215D7184" w14:textId="77777777" w:rsidR="006D3878" w:rsidRDefault="006D3878" w:rsidP="006D3878">
      <w:pPr>
        <w:pStyle w:val="StandardWeb"/>
      </w:pPr>
      <w:r>
        <w:t>Die Rücktransformation auf ein normiertes Beobachtungsdreieck (Seitenlänge 1) erfolgt durch Lösung eines Gleichungssystems, das die Differenzen in projektive Richtungen überführt.</w:t>
      </w:r>
    </w:p>
    <w:p w14:paraId="18D889C8" w14:textId="77777777" w:rsidR="006D3878" w:rsidRDefault="006D3878" w:rsidP="006D3878">
      <w:pPr>
        <w:pStyle w:val="berschrift3"/>
      </w:pPr>
      <w:r>
        <w:t>3.2 Signallaufzeit als Richtungsinformation</w:t>
      </w:r>
    </w:p>
    <w:p w14:paraId="462A734E" w14:textId="77777777" w:rsidR="006D3878" w:rsidRDefault="006D3878" w:rsidP="006D3878">
      <w:pPr>
        <w:pStyle w:val="StandardWeb"/>
      </w:pPr>
      <w:r>
        <w:t>Unter Annahme eines konstanten $c$ ergibt sich ein lineares Verhältnis zwischen Ankunftszeit und Projektion auf eine Raumachse. Für variable $c$ (z. B. Schall in Luft) kann die Gleichung adaptiv angepasst werden:</w:t>
      </w:r>
    </w:p>
    <w:p w14:paraId="65965345" w14:textId="77777777" w:rsidR="006D3878" w:rsidRDefault="006D3878" w:rsidP="006D3878">
      <w:proofErr w:type="spellStart"/>
      <w:r>
        <w:rPr>
          <w:rStyle w:val="katex"/>
        </w:rPr>
        <w:t>r</w:t>
      </w:r>
      <w:r>
        <w:rPr>
          <w:rStyle w:val="katex"/>
          <w:rFonts w:ascii="Cambria Math" w:hAnsi="Cambria Math" w:cs="Cambria Math"/>
        </w:rPr>
        <w:t>⃗</w:t>
      </w:r>
      <w:r>
        <w:rPr>
          <w:rStyle w:val="katex"/>
        </w:rPr>
        <w:t>S</w:t>
      </w:r>
      <w:proofErr w:type="spellEnd"/>
      <w:r>
        <w:rPr>
          <w:rStyle w:val="katex"/>
        </w:rPr>
        <w:t>=c(</w:t>
      </w:r>
      <w:proofErr w:type="spellStart"/>
      <w:r>
        <w:rPr>
          <w:rStyle w:val="katex"/>
        </w:rPr>
        <w:t>t</w:t>
      </w:r>
      <w:r>
        <w:rPr>
          <w:rStyle w:val="katex"/>
          <w:rFonts w:ascii="Cambria Math" w:hAnsi="Cambria Math" w:cs="Cambria Math"/>
        </w:rPr>
        <w:t>⃗</w:t>
      </w:r>
      <w:r>
        <w:rPr>
          <w:rStyle w:val="katex"/>
        </w:rPr>
        <w:t>abla</w:t>
      </w:r>
      <w:proofErr w:type="spellEnd"/>
      <w:r>
        <w:rPr>
          <w:rStyle w:val="katex"/>
        </w:rPr>
        <w:t>)</w:t>
      </w:r>
      <w:r>
        <w:rPr>
          <w:rStyle w:val="katex"/>
          <w:rFonts w:ascii="Cambria Math" w:hAnsi="Cambria Math" w:cs="Cambria Math"/>
        </w:rPr>
        <w:t>⋅</w:t>
      </w:r>
      <w:proofErr w:type="spellStart"/>
      <w:r>
        <w:rPr>
          <w:rStyle w:val="katex"/>
        </w:rPr>
        <w:t>v</w:t>
      </w:r>
      <w:r>
        <w:rPr>
          <w:rStyle w:val="katex"/>
          <w:rFonts w:ascii="Cambria Math" w:hAnsi="Cambria Math" w:cs="Cambria Math"/>
        </w:rPr>
        <w:t>⃗</w:t>
      </w:r>
      <w:r>
        <w:rPr>
          <w:rStyle w:val="katex"/>
        </w:rPr>
        <w:t>D</w:t>
      </w:r>
      <w:proofErr w:type="spellEnd"/>
      <w:r>
        <w:rPr>
          <w:rStyle w:val="katex"/>
        </w:rPr>
        <w:t>\</w:t>
      </w:r>
      <w:proofErr w:type="spellStart"/>
      <w:r>
        <w:rPr>
          <w:rStyle w:val="katex"/>
        </w:rPr>
        <w:t>vec</w:t>
      </w:r>
      <w:proofErr w:type="spellEnd"/>
      <w:r>
        <w:rPr>
          <w:rStyle w:val="katex"/>
        </w:rPr>
        <w:t>{r}_S = c(\</w:t>
      </w:r>
      <w:proofErr w:type="spellStart"/>
      <w:r>
        <w:rPr>
          <w:rStyle w:val="katex"/>
        </w:rPr>
        <w:t>vec</w:t>
      </w:r>
      <w:proofErr w:type="spellEnd"/>
      <w:r>
        <w:rPr>
          <w:rStyle w:val="katex"/>
        </w:rPr>
        <w:t>{t}</w:t>
      </w:r>
      <w:proofErr w:type="gramStart"/>
      <w:r>
        <w:rPr>
          <w:rStyle w:val="katex"/>
        </w:rPr>
        <w:t xml:space="preserve">_{ </w:t>
      </w:r>
      <w:proofErr w:type="spellStart"/>
      <w:r>
        <w:rPr>
          <w:rStyle w:val="katex"/>
        </w:rPr>
        <w:t>abla</w:t>
      </w:r>
      <w:proofErr w:type="spellEnd"/>
      <w:proofErr w:type="gramEnd"/>
      <w:r>
        <w:rPr>
          <w:rStyle w:val="katex"/>
        </w:rPr>
        <w:t>}) \</w:t>
      </w:r>
      <w:proofErr w:type="spellStart"/>
      <w:r>
        <w:rPr>
          <w:rStyle w:val="katex"/>
        </w:rPr>
        <w:t>cdot</w:t>
      </w:r>
      <w:proofErr w:type="spellEnd"/>
      <w:r>
        <w:rPr>
          <w:rStyle w:val="katex"/>
        </w:rPr>
        <w:t xml:space="preserve"> \</w:t>
      </w:r>
      <w:proofErr w:type="spellStart"/>
      <w:r>
        <w:rPr>
          <w:rStyle w:val="katex"/>
        </w:rPr>
        <w:t>vec</w:t>
      </w:r>
      <w:proofErr w:type="spellEnd"/>
      <w:r>
        <w:rPr>
          <w:rStyle w:val="katex"/>
        </w:rPr>
        <w:t>{v}_D</w:t>
      </w:r>
      <w:r>
        <w:t xml:space="preserve"> </w:t>
      </w:r>
    </w:p>
    <w:p w14:paraId="53057966" w14:textId="77777777" w:rsidR="006D3878" w:rsidRDefault="006D3878" w:rsidP="006D3878">
      <w:pPr>
        <w:pStyle w:val="StandardWeb"/>
      </w:pPr>
      <w:r>
        <w:t>mit $\</w:t>
      </w:r>
      <w:proofErr w:type="spellStart"/>
      <w:r>
        <w:t>vec</w:t>
      </w:r>
      <w:proofErr w:type="spellEnd"/>
      <w:r>
        <w:t>{t}_{</w:t>
      </w:r>
      <w:r>
        <w:br/>
      </w:r>
      <w:proofErr w:type="spellStart"/>
      <w:proofErr w:type="gramStart"/>
      <w:r>
        <w:t>abla</w:t>
      </w:r>
      <w:proofErr w:type="spellEnd"/>
      <w:r>
        <w:t>}$</w:t>
      </w:r>
      <w:proofErr w:type="gramEnd"/>
      <w:r>
        <w:t xml:space="preserve"> als Zeitdifferenzvektor und $\</w:t>
      </w:r>
      <w:proofErr w:type="spellStart"/>
      <w:r>
        <w:t>vec</w:t>
      </w:r>
      <w:proofErr w:type="spellEnd"/>
      <w:r>
        <w:t>{v}_D$ als Richtungsfaktor im normierten Dreieck.</w:t>
      </w:r>
    </w:p>
    <w:p w14:paraId="140F1726" w14:textId="77777777" w:rsidR="006D3878" w:rsidRDefault="006D3878" w:rsidP="006D3878">
      <w:r>
        <w:pict w14:anchorId="679DBF89">
          <v:rect id="_x0000_i1028" style="width:0;height:1.5pt" o:hralign="center" o:hrstd="t" o:hr="t" fillcolor="#a0a0a0" stroked="f"/>
        </w:pict>
      </w:r>
    </w:p>
    <w:p w14:paraId="21F7BF29" w14:textId="77777777" w:rsidR="006D3878" w:rsidRDefault="006D3878" w:rsidP="006D3878">
      <w:pPr>
        <w:pStyle w:val="berschrift2"/>
      </w:pPr>
      <w:r>
        <w:t>4. Umsetzungsszenarien</w:t>
      </w:r>
    </w:p>
    <w:p w14:paraId="386D3DC5" w14:textId="77777777" w:rsidR="006D3878" w:rsidRDefault="006D3878" w:rsidP="006D3878">
      <w:pPr>
        <w:pStyle w:val="berschrift3"/>
      </w:pPr>
      <w:r>
        <w:t>4.1 Sensorische Anwendungsgebiete</w:t>
      </w:r>
    </w:p>
    <w:p w14:paraId="51E7790B" w14:textId="77777777" w:rsidR="006D3878" w:rsidRDefault="006D3878" w:rsidP="006D3878">
      <w:pPr>
        <w:pStyle w:val="StandardWeb"/>
        <w:numPr>
          <w:ilvl w:val="0"/>
          <w:numId w:val="4"/>
        </w:numPr>
      </w:pPr>
      <w:r>
        <w:rPr>
          <w:rStyle w:val="Fett"/>
        </w:rPr>
        <w:t>Akustische Ortungssysteme</w:t>
      </w:r>
      <w:r>
        <w:t xml:space="preserve"> (z. B. Richtmikrofone, Spracherkennung)</w:t>
      </w:r>
    </w:p>
    <w:p w14:paraId="381B89F7" w14:textId="77777777" w:rsidR="006D3878" w:rsidRDefault="006D3878" w:rsidP="006D3878">
      <w:pPr>
        <w:pStyle w:val="StandardWeb"/>
        <w:numPr>
          <w:ilvl w:val="0"/>
          <w:numId w:val="4"/>
        </w:numPr>
      </w:pPr>
      <w:r>
        <w:rPr>
          <w:rStyle w:val="Fett"/>
        </w:rPr>
        <w:t>Robotik und Navigation</w:t>
      </w:r>
      <w:r>
        <w:t xml:space="preserve"> (z. B. Signaltriangulation bei autonomen Systemen)</w:t>
      </w:r>
    </w:p>
    <w:p w14:paraId="1388A2F2" w14:textId="77777777" w:rsidR="006D3878" w:rsidRDefault="006D3878" w:rsidP="006D3878">
      <w:pPr>
        <w:pStyle w:val="StandardWeb"/>
        <w:numPr>
          <w:ilvl w:val="0"/>
          <w:numId w:val="4"/>
        </w:numPr>
      </w:pPr>
      <w:r>
        <w:rPr>
          <w:rStyle w:val="Fett"/>
        </w:rPr>
        <w:t>Medizinische Bildgebung</w:t>
      </w:r>
      <w:r>
        <w:t xml:space="preserve"> (z. B. Echovermessung in Echtzeit)</w:t>
      </w:r>
    </w:p>
    <w:p w14:paraId="7BDFEC10" w14:textId="77777777" w:rsidR="006D3878" w:rsidRDefault="006D3878" w:rsidP="006D3878">
      <w:pPr>
        <w:pStyle w:val="StandardWeb"/>
        <w:numPr>
          <w:ilvl w:val="0"/>
          <w:numId w:val="4"/>
        </w:numPr>
      </w:pPr>
      <w:r>
        <w:rPr>
          <w:rStyle w:val="Fett"/>
        </w:rPr>
        <w:t>Sicherheitssysteme</w:t>
      </w:r>
      <w:r>
        <w:t xml:space="preserve"> (z. B. Lokalisierung von Quellen in sicherheitskritischen Infrastrukturen)</w:t>
      </w:r>
    </w:p>
    <w:p w14:paraId="58700CF5" w14:textId="77777777" w:rsidR="006D3878" w:rsidRDefault="006D3878" w:rsidP="006D3878">
      <w:pPr>
        <w:pStyle w:val="berschrift3"/>
      </w:pPr>
      <w:r>
        <w:t>4.2 Adaptive Module</w:t>
      </w:r>
    </w:p>
    <w:p w14:paraId="5DAE099D" w14:textId="77777777" w:rsidR="006D3878" w:rsidRDefault="006D3878" w:rsidP="006D3878">
      <w:pPr>
        <w:pStyle w:val="StandardWeb"/>
      </w:pPr>
      <w:r>
        <w:t xml:space="preserve">Jedes Beobachtungsdreieck wird als ein </w:t>
      </w:r>
      <w:r>
        <w:rPr>
          <w:rStyle w:val="Fett"/>
        </w:rPr>
        <w:t>autonomes Modul</w:t>
      </w:r>
      <w:r>
        <w:t xml:space="preserve"> realisiert, das standardisiert mit anderen gekoppelt werden kann. Die Normierung erlaubt dabei skalierbare Netzwerke von Detektionseinheiten mit eindeutiger Dateninterpretation.</w:t>
      </w:r>
    </w:p>
    <w:p w14:paraId="78B3BA7A" w14:textId="77777777" w:rsidR="006D3878" w:rsidRDefault="006D3878" w:rsidP="006D3878">
      <w:r>
        <w:pict w14:anchorId="29C9D206">
          <v:rect id="_x0000_i1029" style="width:0;height:1.5pt" o:hralign="center" o:hrstd="t" o:hr="t" fillcolor="#a0a0a0" stroked="f"/>
        </w:pict>
      </w:r>
    </w:p>
    <w:p w14:paraId="2205D07C" w14:textId="77777777" w:rsidR="006D3878" w:rsidRDefault="006D3878" w:rsidP="006D3878">
      <w:pPr>
        <w:pStyle w:val="berschrift2"/>
      </w:pPr>
      <w:r>
        <w:t>5. Beweis der technischen Realisierbarkeit</w:t>
      </w:r>
    </w:p>
    <w:p w14:paraId="541BE9C1" w14:textId="77777777" w:rsidR="006D3878" w:rsidRDefault="006D3878" w:rsidP="006D3878">
      <w:pPr>
        <w:pStyle w:val="StandardWeb"/>
      </w:pPr>
      <w:r>
        <w:lastRenderedPageBreak/>
        <w:t>Die Umsetzbarkeit der oben beschriebenen Einrichtung beruht auf:</w:t>
      </w:r>
    </w:p>
    <w:p w14:paraId="4DE3809B" w14:textId="77777777" w:rsidR="006D3878" w:rsidRDefault="006D3878" w:rsidP="006D3878">
      <w:pPr>
        <w:pStyle w:val="StandardWeb"/>
        <w:numPr>
          <w:ilvl w:val="0"/>
          <w:numId w:val="5"/>
        </w:numPr>
      </w:pPr>
      <w:r>
        <w:rPr>
          <w:rStyle w:val="Fett"/>
        </w:rPr>
        <w:t>bestehenden Sensor-Arrays</w:t>
      </w:r>
      <w:r>
        <w:t xml:space="preserve"> zur Zeitdifferenzmessung</w:t>
      </w:r>
    </w:p>
    <w:p w14:paraId="2BC99EF0" w14:textId="77777777" w:rsidR="006D3878" w:rsidRDefault="006D3878" w:rsidP="006D3878">
      <w:pPr>
        <w:pStyle w:val="StandardWeb"/>
        <w:numPr>
          <w:ilvl w:val="0"/>
          <w:numId w:val="5"/>
        </w:numPr>
      </w:pPr>
      <w:r>
        <w:rPr>
          <w:rStyle w:val="Fett"/>
        </w:rPr>
        <w:t>erprobten Verfahren</w:t>
      </w:r>
      <w:r>
        <w:t xml:space="preserve"> zur Triangulation und Rückprojektion</w:t>
      </w:r>
    </w:p>
    <w:p w14:paraId="70E334DA" w14:textId="77777777" w:rsidR="006D3878" w:rsidRDefault="006D3878" w:rsidP="006D3878">
      <w:pPr>
        <w:pStyle w:val="StandardWeb"/>
        <w:numPr>
          <w:ilvl w:val="0"/>
          <w:numId w:val="5"/>
        </w:numPr>
      </w:pPr>
      <w:r>
        <w:rPr>
          <w:rStyle w:val="Fett"/>
        </w:rPr>
        <w:t>hochfrequenter synchronisierter Signalverarbeitung</w:t>
      </w:r>
    </w:p>
    <w:p w14:paraId="576F7CF7" w14:textId="77777777" w:rsidR="006D3878" w:rsidRDefault="006D3878" w:rsidP="006D3878">
      <w:pPr>
        <w:pStyle w:val="StandardWeb"/>
        <w:numPr>
          <w:ilvl w:val="0"/>
          <w:numId w:val="5"/>
        </w:numPr>
      </w:pPr>
      <w:r>
        <w:rPr>
          <w:rStyle w:val="Fett"/>
        </w:rPr>
        <w:t>mathematisch beweisbarer Umrechnung</w:t>
      </w:r>
      <w:r>
        <w:t xml:space="preserve"> auf eine genormte Geometrie</w:t>
      </w:r>
    </w:p>
    <w:p w14:paraId="6B19ED9D" w14:textId="77777777" w:rsidR="006D3878" w:rsidRDefault="006D3878" w:rsidP="006D3878">
      <w:pPr>
        <w:pStyle w:val="StandardWeb"/>
      </w:pPr>
      <w:r>
        <w:t>Die bisher entwickelten Modelle bieten durch ihre Normierung einen systematischen Vorteil gegenüber klassischen Verfahren: Sie liefern aus heterogenen Daten eindeutige, vergleichbare, rekonstruierbare Beobachtungsaussagen.</w:t>
      </w:r>
    </w:p>
    <w:p w14:paraId="5CBD90BA" w14:textId="77777777" w:rsidR="006D3878" w:rsidRDefault="006D3878" w:rsidP="006D3878">
      <w:r>
        <w:pict w14:anchorId="3E8AEF32">
          <v:rect id="_x0000_i1030" style="width:0;height:1.5pt" o:hralign="center" o:hrstd="t" o:hr="t" fillcolor="#a0a0a0" stroked="f"/>
        </w:pict>
      </w:r>
    </w:p>
    <w:p w14:paraId="6F66109A" w14:textId="77777777" w:rsidR="006D3878" w:rsidRDefault="006D3878" w:rsidP="006D3878">
      <w:pPr>
        <w:pStyle w:val="berschrift2"/>
      </w:pPr>
      <w:r>
        <w:t>6. Fazit: Technikwerdung als Bewährungsprobe der Theorie</w:t>
      </w:r>
    </w:p>
    <w:p w14:paraId="3997C667" w14:textId="77777777" w:rsidR="006D3878" w:rsidRDefault="006D3878" w:rsidP="006D3878">
      <w:pPr>
        <w:pStyle w:val="StandardWeb"/>
      </w:pPr>
      <w:r>
        <w:t xml:space="preserve">Die hier skizzierte technische Ausgestaltung zeigt, dass das Konzept des </w:t>
      </w:r>
      <w:r>
        <w:rPr>
          <w:rStyle w:val="Fett"/>
        </w:rPr>
        <w:t>normierten Beobachtungsdreiecks</w:t>
      </w:r>
      <w:r>
        <w:t xml:space="preserve"> mehr als ein theoretisches Modell ist: Es ist eine </w:t>
      </w:r>
      <w:r>
        <w:rPr>
          <w:rStyle w:val="Fett"/>
        </w:rPr>
        <w:t>praktikable, adaptierbare, skalierbare und erkenntnisfördernde Basiseinheit</w:t>
      </w:r>
      <w:r>
        <w:t xml:space="preserve"> für technische Systeme. Die </w:t>
      </w:r>
      <w:r>
        <w:rPr>
          <w:rStyle w:val="Fett"/>
        </w:rPr>
        <w:t>Signallaufzeitprojektion</w:t>
      </w:r>
      <w:r>
        <w:t xml:space="preserve"> auf eine geometrisch normierte Struktur erlaubt eine Vielzahl von Anwendungen mit präziser, kontextsensitiver Auswertung.</w:t>
      </w:r>
    </w:p>
    <w:p w14:paraId="0EA32AF9" w14:textId="77777777" w:rsidR="006D3878" w:rsidRDefault="006D3878" w:rsidP="006D3878">
      <w:pPr>
        <w:pStyle w:val="StandardWeb"/>
      </w:pPr>
      <w:r>
        <w:t xml:space="preserve">Die Technikwerdung vollzieht somit die letzte Stufe der Erkenntnis: Sie beweist, dass die in der Dissertation entwickelten Konzepte nicht nur gültig, sondern auch </w:t>
      </w:r>
      <w:r>
        <w:rPr>
          <w:rStyle w:val="Fett"/>
        </w:rPr>
        <w:t>umsetzbar und zukunftsweisend</w:t>
      </w:r>
      <w:r>
        <w:t xml:space="preserve"> sind.</w:t>
      </w:r>
    </w:p>
    <w:p w14:paraId="4E7598CC" w14:textId="77777777" w:rsidR="00874BAF" w:rsidRDefault="00874BAF"/>
    <w:sectPr w:rsidR="00874B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23DA9"/>
    <w:multiLevelType w:val="multilevel"/>
    <w:tmpl w:val="91E0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131AA"/>
    <w:multiLevelType w:val="multilevel"/>
    <w:tmpl w:val="26B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D6BE0"/>
    <w:multiLevelType w:val="multilevel"/>
    <w:tmpl w:val="7B1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85648"/>
    <w:multiLevelType w:val="multilevel"/>
    <w:tmpl w:val="BB4C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17B58"/>
    <w:multiLevelType w:val="multilevel"/>
    <w:tmpl w:val="4106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878"/>
    <w:rsid w:val="006D3878"/>
    <w:rsid w:val="00874BAF"/>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782E"/>
  <w15:chartTrackingRefBased/>
  <w15:docId w15:val="{D0A7A240-E3BB-4895-9824-0E5557352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D3878"/>
    <w:pPr>
      <w:spacing w:after="0" w:line="240" w:lineRule="auto"/>
    </w:pPr>
    <w:rPr>
      <w:rFonts w:ascii="Times New Roman" w:eastAsia="Times New Roman" w:hAnsi="Times New Roman" w:cs="Times New Roman"/>
      <w:sz w:val="24"/>
      <w:szCs w:val="24"/>
      <w:lang w:eastAsia="de-DE"/>
    </w:rPr>
  </w:style>
  <w:style w:type="paragraph" w:styleId="berschrift2">
    <w:name w:val="heading 2"/>
    <w:basedOn w:val="Standard"/>
    <w:link w:val="berschrift2Zchn"/>
    <w:uiPriority w:val="9"/>
    <w:qFormat/>
    <w:rsid w:val="006D3878"/>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6D3878"/>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6D3878"/>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6D3878"/>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6D3878"/>
    <w:pPr>
      <w:spacing w:before="100" w:beforeAutospacing="1" w:after="100" w:afterAutospacing="1"/>
    </w:pPr>
  </w:style>
  <w:style w:type="character" w:styleId="Fett">
    <w:name w:val="Strong"/>
    <w:basedOn w:val="Absatz-Standardschriftart"/>
    <w:uiPriority w:val="22"/>
    <w:qFormat/>
    <w:rsid w:val="006D3878"/>
    <w:rPr>
      <w:b/>
      <w:bCs/>
    </w:rPr>
  </w:style>
  <w:style w:type="character" w:customStyle="1" w:styleId="katex">
    <w:name w:val="katex"/>
    <w:basedOn w:val="Absatz-Standardschriftart"/>
    <w:rsid w:val="006D3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12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4176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2025-05-25T03:38:00Z</dcterms:created>
  <dcterms:modified xsi:type="dcterms:W3CDTF">2025-05-25T03:44:00Z</dcterms:modified>
</cp:coreProperties>
</file>