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E8897" w14:textId="77777777" w:rsidR="0094032F" w:rsidRDefault="0094032F" w:rsidP="0094032F">
      <w:pPr>
        <w:pStyle w:val="berschrift1"/>
        <w:rPr>
          <w:sz w:val="48"/>
          <w:szCs w:val="48"/>
        </w:rPr>
      </w:pPr>
      <w:r>
        <w:t>Kapitel 2: Entwicklung und didaktisch-methodische Bewertung physikalischer Bezugssysteme</w:t>
      </w:r>
    </w:p>
    <w:p w14:paraId="1F9ADC07" w14:textId="77777777" w:rsidR="0094032F" w:rsidRDefault="0094032F" w:rsidP="0094032F">
      <w:pPr>
        <w:pStyle w:val="berschrift2"/>
      </w:pPr>
      <w:r>
        <w:t>2.1 Einleitung</w:t>
      </w:r>
    </w:p>
    <w:p w14:paraId="12F7C3D9" w14:textId="77777777" w:rsidR="0094032F" w:rsidRDefault="0094032F" w:rsidP="0094032F">
      <w:pPr>
        <w:pStyle w:val="StandardWeb"/>
      </w:pPr>
      <w:r>
        <w:t>Physikalische Bezugssysteme bilden das konzeptionelle Rückgrat jeder physikalischen Beschreibung. Ob in der klassischen Mechanik, der Relativitätstheorie oder der Quantenphysik – stets stellt sich die Frage: Wer beobachtet was, von welchem Standort aus und unter welchen Bedingungen? Die historische Entwicklung dieser Bezugssysteme – beginnend bei der aristotelischen Ortsbindung über das newtonsche Inertialsystem bis hin zur raumzeitlichen Dynamik bei Einstein und der Beobachterabhängigkeit in der Quantenmechanik – spiegelt grundlegende Paradigmenwechsel in der Physik wider. Gleichzeitig steigen mit jeder theoretischen Erweiterung auch die kognitiven Anforderungen an Lernende.</w:t>
      </w:r>
    </w:p>
    <w:p w14:paraId="4621245D" w14:textId="77777777" w:rsidR="0094032F" w:rsidRDefault="0094032F" w:rsidP="0094032F">
      <w:pPr>
        <w:pStyle w:val="StandardWeb"/>
      </w:pPr>
      <w:r>
        <w:t>Dieses Kapitel hat das Ziel, die historische Entwicklung physikalischer Bezugssysteme zu skizzieren und zugleich die didaktisch-methodischen Herausforderungen bei deren Vermittlung zu analysieren. Dabei liegt der Fokus darauf, wie diese abstrakten Konzepte verständlich und lernwirksam präsentiert werden können. Ein darauf aufbauendes funktional-relationales Bezugssystem wird in Kapitel 4 näher vorgestellt.</w:t>
      </w:r>
    </w:p>
    <w:p w14:paraId="007CD709" w14:textId="77777777" w:rsidR="0094032F" w:rsidRDefault="0094032F" w:rsidP="0094032F">
      <w:r>
        <w:pict w14:anchorId="4A3D252A">
          <v:rect id="_x0000_i1037" style="width:0;height:1.5pt" o:hralign="center" o:hrstd="t" o:hr="t" fillcolor="#a0a0a0" stroked="f"/>
        </w:pict>
      </w:r>
    </w:p>
    <w:p w14:paraId="5052202D" w14:textId="77777777" w:rsidR="0094032F" w:rsidRDefault="0094032F" w:rsidP="0094032F">
      <w:pPr>
        <w:pStyle w:val="berschrift2"/>
      </w:pPr>
      <w:r>
        <w:t>2.2 Historische Entwicklung physikalischer Bezugssysteme</w:t>
      </w:r>
    </w:p>
    <w:p w14:paraId="79A9491E" w14:textId="77777777" w:rsidR="0094032F" w:rsidRDefault="0094032F" w:rsidP="0094032F">
      <w:pPr>
        <w:pStyle w:val="berschrift3"/>
      </w:pPr>
      <w:r>
        <w:t>2.2.1 Antike Weltbilder – Qualitative Ortsbindung</w:t>
      </w:r>
    </w:p>
    <w:p w14:paraId="6E670958" w14:textId="77777777" w:rsidR="0094032F" w:rsidRDefault="0094032F" w:rsidP="0094032F">
      <w:pPr>
        <w:pStyle w:val="StandardWeb"/>
      </w:pPr>
      <w:r>
        <w:t>In der aristotelischen Physik war der Raum nicht leer oder homogen, sondern teleologisch strukturiert: Körper streben ihrem „natürlichen Ort“ entgegen [1]. Es gab kein einheitliches Bezugssystem, sondern eine durch qualitative Merkmale und Zielhaftigkeit bestimmte Raumordnung.</w:t>
      </w:r>
    </w:p>
    <w:p w14:paraId="01DE6225" w14:textId="77777777" w:rsidR="0094032F" w:rsidRDefault="0094032F" w:rsidP="0094032F">
      <w:pPr>
        <w:pStyle w:val="StandardWeb"/>
      </w:pPr>
      <w:r>
        <w:rPr>
          <w:rStyle w:val="Fett"/>
        </w:rPr>
        <w:t>Didaktische Relevanz:</w:t>
      </w:r>
      <w:r>
        <w:t xml:space="preserve"> Diese intuitive Vorstellung ist bis heute in Alltagskonzepten von Schülerinnen und Schülern präsent, beispielsweise in der Vorstellung, „schwere Dinge gehören nach unten“ [2].</w:t>
      </w:r>
    </w:p>
    <w:p w14:paraId="4B67CB94" w14:textId="77777777" w:rsidR="0094032F" w:rsidRDefault="0094032F" w:rsidP="0094032F">
      <w:pPr>
        <w:pStyle w:val="berschrift3"/>
      </w:pPr>
      <w:r>
        <w:t>2.2.2 Galilei – Relativität der gleichförmigen Bewegung</w:t>
      </w:r>
    </w:p>
    <w:p w14:paraId="67F9D810" w14:textId="77777777" w:rsidR="0094032F" w:rsidRDefault="0094032F" w:rsidP="0094032F">
      <w:pPr>
        <w:pStyle w:val="StandardWeb"/>
      </w:pPr>
      <w:r>
        <w:t>Galileo Galilei brach mit der aristotelischen Bewegungstheorie. Mit seinem berühmten Schiffsbeispiel begründete er die Relativität gleichförmiger Bewegung und legte so den Grundstein für das Konzept des Inertialsystems [3].</w:t>
      </w:r>
    </w:p>
    <w:p w14:paraId="76E2D2D9" w14:textId="77777777" w:rsidR="0094032F" w:rsidRDefault="0094032F" w:rsidP="0094032F">
      <w:pPr>
        <w:pStyle w:val="StandardWeb"/>
      </w:pPr>
      <w:r>
        <w:rPr>
          <w:rStyle w:val="Fett"/>
        </w:rPr>
        <w:t>Didaktischer Wert:</w:t>
      </w:r>
      <w:r>
        <w:t xml:space="preserve"> Galileis Gedankenexperimente eignen sich hervorragend als Einstieg in relativistisches Denken, da sie an alltägliche Erfahrungen anknüpfen und grundlegende Prinzipien veranschaulichen.</w:t>
      </w:r>
    </w:p>
    <w:p w14:paraId="76BFC464" w14:textId="77777777" w:rsidR="0094032F" w:rsidRDefault="0094032F" w:rsidP="0094032F">
      <w:pPr>
        <w:pStyle w:val="berschrift3"/>
      </w:pPr>
      <w:r>
        <w:t>2.2.3 Newton – Das Inertialsystem und der absolute Raum</w:t>
      </w:r>
    </w:p>
    <w:p w14:paraId="35DE3062" w14:textId="77777777" w:rsidR="0094032F" w:rsidRDefault="0094032F" w:rsidP="0094032F">
      <w:pPr>
        <w:pStyle w:val="StandardWeb"/>
      </w:pPr>
      <w:r>
        <w:lastRenderedPageBreak/>
        <w:t>Isaac Newton führte das Konzept des absoluten Raums ein und formulierte die Bewegungsgesetze innerhalb eines festen, unveränderlichen Bezugssystems, dem Inertialsystem [4]. In einem solchen System bewegt sich ein Körper geradlinig und gleichförmig, solange keine Kraft auf ihn wirkt.</w:t>
      </w:r>
    </w:p>
    <w:p w14:paraId="27F2E36A" w14:textId="77777777" w:rsidR="0094032F" w:rsidRDefault="0094032F" w:rsidP="0094032F">
      <w:pPr>
        <w:pStyle w:val="StandardWeb"/>
      </w:pPr>
      <w:r>
        <w:rPr>
          <w:rStyle w:val="Fett"/>
        </w:rPr>
        <w:t>Didaktischer Vorteil:</w:t>
      </w:r>
      <w:r>
        <w:t xml:space="preserve"> Die Anschaulichkeit des newtonschen Weltbildes erleichtert das Experimentieren (etwa mit Luftkissenbahnen) und ermöglicht eine klare Trennung von Kraft und Bewegung.</w:t>
      </w:r>
    </w:p>
    <w:p w14:paraId="2C0B1BBF" w14:textId="77777777" w:rsidR="0094032F" w:rsidRDefault="0094032F" w:rsidP="0094032F">
      <w:pPr>
        <w:pStyle w:val="berschrift3"/>
      </w:pPr>
      <w:r>
        <w:t>2.2.4 Einstein – Relativität und Raumzeitstruktur</w:t>
      </w:r>
    </w:p>
    <w:p w14:paraId="413437BE" w14:textId="77777777" w:rsidR="0094032F" w:rsidRDefault="0094032F" w:rsidP="0094032F">
      <w:pPr>
        <w:pStyle w:val="StandardWeb"/>
      </w:pPr>
      <w:r>
        <w:t>Einstein ersetzte das absolute Raum-Zeit-Modell durch eine einheitliche Raumzeit. In der speziellen Relativitätstheorie (1905) sind Zeit und Länge nicht mehr konstant, sondern vom Bewegungszustand des Beobachters abhängig. In der allgemeinen Relativitätstheorie (1915) wird Gravitation als Eigenschaft der gekrümmten Raumzeit beschrieben [5].</w:t>
      </w:r>
    </w:p>
    <w:p w14:paraId="0B4B4733" w14:textId="77777777" w:rsidR="0094032F" w:rsidRDefault="0094032F" w:rsidP="0094032F">
      <w:pPr>
        <w:pStyle w:val="StandardWeb"/>
      </w:pPr>
      <w:r>
        <w:rPr>
          <w:rStyle w:val="Fett"/>
        </w:rPr>
        <w:t>Didaktische Herausforderung:</w:t>
      </w:r>
      <w:r>
        <w:t xml:space="preserve"> Konzepte wie Zeitdilatation, Gleichzeitigkeit und Geodäten sind kaum erfahrbar und übersteigen oft die intuitive Vorstellungskraft der Lernenden [6].</w:t>
      </w:r>
    </w:p>
    <w:p w14:paraId="61F71477" w14:textId="77777777" w:rsidR="0094032F" w:rsidRDefault="0094032F" w:rsidP="0094032F">
      <w:pPr>
        <w:pStyle w:val="berschrift3"/>
      </w:pPr>
      <w:r>
        <w:t>2.2.5 Quantenmechanik – Beobachterabhängigkeit</w:t>
      </w:r>
    </w:p>
    <w:p w14:paraId="5ED9081F" w14:textId="77777777" w:rsidR="0094032F" w:rsidRDefault="0094032F" w:rsidP="0094032F">
      <w:pPr>
        <w:pStyle w:val="StandardWeb"/>
      </w:pPr>
      <w:r>
        <w:t>In der Quantenmechanik hängt die Realität eines Systems vom Messprozess ab. Die Wellenfunktion beschreibt keine festen Eigenschaften, sondern Wahrscheinlichkeiten, die erst durch die Beobachtung „kollabieren“ [7].</w:t>
      </w:r>
    </w:p>
    <w:p w14:paraId="471986DF" w14:textId="77777777" w:rsidR="0094032F" w:rsidRDefault="0094032F" w:rsidP="0094032F">
      <w:pPr>
        <w:pStyle w:val="StandardWeb"/>
      </w:pPr>
      <w:r>
        <w:rPr>
          <w:rStyle w:val="Fett"/>
        </w:rPr>
        <w:t>Didaktischer Konflikt:</w:t>
      </w:r>
      <w:r>
        <w:t xml:space="preserve"> Die subjektabhängige Realität der Quantenmechanik widerspricht der Alltagserfahrung. Interdisziplinäre Zugänge, etwa über Philosophie, Logik und Mathematik, erweisen sich als hilfreich [8].</w:t>
      </w:r>
    </w:p>
    <w:p w14:paraId="3957EB49" w14:textId="77777777" w:rsidR="0094032F" w:rsidRDefault="0094032F" w:rsidP="0094032F">
      <w:r>
        <w:pict w14:anchorId="26C7A35C">
          <v:rect id="_x0000_i1038" style="width:0;height:1.5pt" o:hralign="center" o:hrstd="t" o:hr="t" fillcolor="#a0a0a0" stroked="f"/>
        </w:pict>
      </w:r>
    </w:p>
    <w:p w14:paraId="7CEA13ED" w14:textId="77777777" w:rsidR="0094032F" w:rsidRDefault="0094032F" w:rsidP="0094032F">
      <w:pPr>
        <w:pStyle w:val="berschrift2"/>
      </w:pPr>
      <w:r>
        <w:t>2.3 Methodisch-didaktische Bewertung</w:t>
      </w:r>
    </w:p>
    <w:p w14:paraId="3B0B6515" w14:textId="77777777" w:rsidR="0094032F" w:rsidRDefault="0094032F" w:rsidP="0094032F">
      <w:pPr>
        <w:pStyle w:val="berschrift3"/>
      </w:pPr>
      <w:r>
        <w:t>2.3.1 Linearität versus vernetztes Lernen</w:t>
      </w:r>
    </w:p>
    <w:p w14:paraId="3F31A561" w14:textId="77777777" w:rsidR="0094032F" w:rsidRDefault="0094032F" w:rsidP="0094032F">
      <w:pPr>
        <w:pStyle w:val="StandardWeb"/>
      </w:pPr>
      <w:r>
        <w:t>Der klassische Schulunterricht folgt oft einer linearen Vermittlungslogik: von Newton über Einstein zur Quantenmechanik. Diese Struktur ignoriert jedoch die sprunghafte Natur physikalischer Paradigmenwechsel. Lernforschung zeigt, dass vernetztes Lernen – also kontext- und problemorientiertes Verknüpfen von Inhalten – nachhaltiger wirkt [9].</w:t>
      </w:r>
    </w:p>
    <w:p w14:paraId="6EA25067" w14:textId="77777777" w:rsidR="0094032F" w:rsidRDefault="0094032F" w:rsidP="0094032F">
      <w:pPr>
        <w:pStyle w:val="berschrift3"/>
      </w:pPr>
      <w:r>
        <w:t>2.3.2 Verlust der Anschaulichkeit</w:t>
      </w:r>
    </w:p>
    <w:p w14:paraId="63F37B46" w14:textId="77777777" w:rsidR="0094032F" w:rsidRDefault="0094032F" w:rsidP="0094032F">
      <w:pPr>
        <w:pStyle w:val="StandardWeb"/>
      </w:pPr>
      <w:r>
        <w:t>Mit zunehmender theoretischer Tiefe entfernen sich Bezugssysteme von unmittelbar erfahrbaren Konzepten. Während das newtonsche Weltbild noch durch Experimente anschaulich bleibt, erscheinen Einsteins Raumzeit oder Quantenobjekte schwer fassbar.</w:t>
      </w:r>
    </w:p>
    <w:p w14:paraId="0ECD1003" w14:textId="77777777" w:rsidR="0094032F" w:rsidRDefault="0094032F" w:rsidP="0094032F">
      <w:pPr>
        <w:pStyle w:val="StandardWeb"/>
      </w:pPr>
      <w:r>
        <w:rPr>
          <w:rStyle w:val="Fett"/>
        </w:rPr>
        <w:t>Neurodidaktischer Aspekt:</w:t>
      </w:r>
      <w:r>
        <w:t xml:space="preserve"> Das menschliche Gehirn lernt bevorzugt über Visualisierung, Handlung und konkrete Erfahrung [10].</w:t>
      </w:r>
    </w:p>
    <w:p w14:paraId="6BEC05EC" w14:textId="77777777" w:rsidR="0094032F" w:rsidRDefault="0094032F" w:rsidP="0094032F">
      <w:pPr>
        <w:pStyle w:val="berschrift3"/>
      </w:pPr>
      <w:r>
        <w:t>2.3.3 Wissenszunahme versus curriculare Machbarkeit</w:t>
      </w:r>
    </w:p>
    <w:p w14:paraId="58AC2FD6" w14:textId="77777777" w:rsidR="0094032F" w:rsidRDefault="0094032F" w:rsidP="0094032F">
      <w:pPr>
        <w:pStyle w:val="StandardWeb"/>
      </w:pPr>
      <w:r>
        <w:lastRenderedPageBreak/>
        <w:t>Die rasante Zunahme physikalischen Wissens steht in Konflikt mit begrenzten Zeit- und Lernressourcen im Schulunterricht. Besonders interdisziplinäre Anwendungen (z. B. GPS, Raumfahrt, Quantentechnologie) leiden oft unter curricularer Zersplitterung [11].</w:t>
      </w:r>
    </w:p>
    <w:p w14:paraId="60B3FD61" w14:textId="77777777" w:rsidR="0094032F" w:rsidRDefault="0094032F" w:rsidP="0094032F">
      <w:r>
        <w:pict w14:anchorId="53D2D7DD">
          <v:rect id="_x0000_i1039" style="width:0;height:1.5pt" o:hralign="center" o:hrstd="t" o:hr="t" fillcolor="#a0a0a0" stroked="f"/>
        </w:pict>
      </w:r>
    </w:p>
    <w:p w14:paraId="740C6DDE" w14:textId="77777777" w:rsidR="0094032F" w:rsidRDefault="0094032F" w:rsidP="0094032F">
      <w:pPr>
        <w:pStyle w:val="berschrift2"/>
      </w:pPr>
      <w:r>
        <w:t>2.4 Ausblick: Funktional-relationales Bezugssystem</w:t>
      </w:r>
    </w:p>
    <w:p w14:paraId="1BDFD29D" w14:textId="77777777" w:rsidR="0094032F" w:rsidRDefault="0094032F" w:rsidP="0094032F">
      <w:pPr>
        <w:pStyle w:val="berschrift3"/>
      </w:pPr>
      <w:r>
        <w:t>2.4.1 Methodischer Anspruch</w:t>
      </w:r>
    </w:p>
    <w:p w14:paraId="749F9957" w14:textId="4656F5EA" w:rsidR="0094032F" w:rsidRDefault="0094032F" w:rsidP="0094032F">
      <w:pPr>
        <w:pStyle w:val="StandardWeb"/>
      </w:pPr>
      <w:r>
        <w:t>Das in Kapitel 4 vorgestellte funktional-relationale Bezugssystem orientiert sich am Spiralprinzip von Bruner und setzt auf aktives Modellieren. Die Lernenden bauen eigene Bezugssysteme auf – von zweidimensionalen Bewegungsmodellen bis hin zur systemischen Raumzeitstruktur [12].</w:t>
      </w:r>
    </w:p>
    <w:p w14:paraId="1124FE82" w14:textId="6BB204BB" w:rsidR="003F4FD3" w:rsidRDefault="00920293" w:rsidP="0094032F">
      <w:pPr>
        <w:pStyle w:val="StandardWeb"/>
      </w:pPr>
      <w:r>
        <w:rPr>
          <w:noProof/>
        </w:rPr>
        <w:drawing>
          <wp:inline distT="0" distB="0" distL="0" distR="0" wp14:anchorId="276C5F51" wp14:editId="427F1A7F">
            <wp:extent cx="5760720" cy="3311525"/>
            <wp:effectExtent l="0" t="0" r="0" b="317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5">
                      <a:extLst>
                        <a:ext uri="{28A0092B-C50C-407E-A947-70E740481C1C}">
                          <a14:useLocalDpi xmlns:a14="http://schemas.microsoft.com/office/drawing/2010/main" val="0"/>
                        </a:ext>
                      </a:extLst>
                    </a:blip>
                    <a:stretch>
                      <a:fillRect/>
                    </a:stretch>
                  </pic:blipFill>
                  <pic:spPr>
                    <a:xfrm>
                      <a:off x="0" y="0"/>
                      <a:ext cx="5760720" cy="3311525"/>
                    </a:xfrm>
                    <a:prstGeom prst="rect">
                      <a:avLst/>
                    </a:prstGeom>
                  </pic:spPr>
                </pic:pic>
              </a:graphicData>
            </a:graphic>
          </wp:inline>
        </w:drawing>
      </w:r>
    </w:p>
    <w:p w14:paraId="29CA8350" w14:textId="77777777" w:rsidR="0094032F" w:rsidRDefault="0094032F" w:rsidP="0094032F">
      <w:pPr>
        <w:pStyle w:val="StandardWeb"/>
      </w:pPr>
      <w:r>
        <w:t>Diese Vorgehensweise entspricht konstruktivistischen Lehrmodellen, in denen Erkenntnis durch aktives Handeln entsteht [13].</w:t>
      </w:r>
    </w:p>
    <w:p w14:paraId="591C4C55" w14:textId="77777777" w:rsidR="0094032F" w:rsidRDefault="0094032F" w:rsidP="0094032F">
      <w:pPr>
        <w:pStyle w:val="berschrift3"/>
      </w:pPr>
      <w:r>
        <w:t>2.4.2 Didaktische Herausforderungen</w:t>
      </w:r>
    </w:p>
    <w:p w14:paraId="2DA94287" w14:textId="77777777" w:rsidR="0094032F" w:rsidRDefault="0094032F" w:rsidP="0094032F">
      <w:pPr>
        <w:pStyle w:val="StandardWeb"/>
      </w:pPr>
      <w:r>
        <w:t>Die Vorstellung einer dynamischen 4D-Raumzeitstruktur ist kognitiv anspruchsvoll. Ohne vorbereitende Visualisierung, Simulationen und begleitende Reflexion bleibt sie abstrakt und vom Erfahrungsraum der Lernenden entkoppelt [14].</w:t>
      </w:r>
    </w:p>
    <w:p w14:paraId="516A133A" w14:textId="77777777" w:rsidR="0094032F" w:rsidRDefault="0094032F" w:rsidP="0094032F">
      <w:pPr>
        <w:pStyle w:val="berschrift3"/>
      </w:pPr>
      <w:r>
        <w:t>2.4.3 Kontrast zu klassischen Modellen</w:t>
      </w:r>
    </w:p>
    <w:p w14:paraId="6D707E45" w14:textId="77777777" w:rsidR="0094032F" w:rsidRDefault="0094032F" w:rsidP="0094032F">
      <w:pPr>
        <w:pStyle w:val="StandardWeb"/>
      </w:pPr>
      <w:r>
        <w:t>Im Gegensatz zu klassischen oder relativistischen Systemen ist das funktional-relational gedachte Bezugssystem kontextabhängig und subjektiv gerahmt. Diese Perspektive erfordert ein radikales Umdenken im physikalischen Lernen – hin zu systemisch-dynamischem Verstehen [15].</w:t>
      </w:r>
    </w:p>
    <w:p w14:paraId="0FA913FB" w14:textId="77777777" w:rsidR="0094032F" w:rsidRDefault="0094032F" w:rsidP="0094032F">
      <w:r>
        <w:lastRenderedPageBreak/>
        <w:pict w14:anchorId="5AB01226">
          <v:rect id="_x0000_i1040" style="width:0;height:1.5pt" o:hralign="center" o:hrstd="t" o:hr="t" fillcolor="#a0a0a0" stroked="f"/>
        </w:pict>
      </w:r>
    </w:p>
    <w:p w14:paraId="647041D9" w14:textId="77777777" w:rsidR="0094032F" w:rsidRDefault="0094032F" w:rsidP="0094032F">
      <w:pPr>
        <w:pStyle w:val="berschrift2"/>
      </w:pPr>
      <w:r>
        <w:t>2.5 Didaktische Empfehlungen</w:t>
      </w:r>
    </w:p>
    <w:p w14:paraId="419B0E7A" w14:textId="77777777" w:rsidR="0094032F" w:rsidRDefault="0094032F" w:rsidP="0094032F">
      <w:pPr>
        <w:pStyle w:val="StandardWeb"/>
        <w:numPr>
          <w:ilvl w:val="0"/>
          <w:numId w:val="17"/>
        </w:numPr>
      </w:pPr>
      <w:r>
        <w:rPr>
          <w:rStyle w:val="Fett"/>
        </w:rPr>
        <w:t>Spiralprinzip:</w:t>
      </w:r>
      <w:r>
        <w:t xml:space="preserve"> Wiederholte Einführung grundlegender Konzepte </w:t>
      </w:r>
      <w:proofErr w:type="gramStart"/>
      <w:r>
        <w:t>auf wachsendem</w:t>
      </w:r>
      <w:proofErr w:type="gramEnd"/>
      <w:r>
        <w:t xml:space="preserve"> Abstraktionsniveau (z. B. Bewegung → Inertialsystem → Raumzeitmodell) [12].</w:t>
      </w:r>
    </w:p>
    <w:p w14:paraId="748746B1" w14:textId="77777777" w:rsidR="0094032F" w:rsidRDefault="0094032F" w:rsidP="0094032F">
      <w:pPr>
        <w:pStyle w:val="StandardWeb"/>
        <w:numPr>
          <w:ilvl w:val="0"/>
          <w:numId w:val="17"/>
        </w:numPr>
      </w:pPr>
      <w:r>
        <w:rPr>
          <w:rStyle w:val="Fett"/>
        </w:rPr>
        <w:t>Hybride Konzepte:</w:t>
      </w:r>
      <w:r>
        <w:t xml:space="preserve"> Kombination abstrakter Theorie mit alltagsrelevanten Anwendungen (z. B. Relativität im GPS) [11].</w:t>
      </w:r>
    </w:p>
    <w:p w14:paraId="04AFF57B" w14:textId="77777777" w:rsidR="0094032F" w:rsidRDefault="0094032F" w:rsidP="0094032F">
      <w:pPr>
        <w:pStyle w:val="StandardWeb"/>
        <w:numPr>
          <w:ilvl w:val="0"/>
          <w:numId w:val="17"/>
        </w:numPr>
      </w:pPr>
      <w:r>
        <w:rPr>
          <w:rStyle w:val="Fett"/>
        </w:rPr>
        <w:t>Simulationen und Python-Skripte:</w:t>
      </w:r>
      <w:r>
        <w:t xml:space="preserve"> Einsatz digitaler Werkzeuge (z. B. GeoGebra, </w:t>
      </w:r>
      <w:proofErr w:type="spellStart"/>
      <w:r>
        <w:t>Matplotlib</w:t>
      </w:r>
      <w:proofErr w:type="spellEnd"/>
      <w:r>
        <w:t>) zur Visualisierung physikalischer Szenarien [16].</w:t>
      </w:r>
    </w:p>
    <w:p w14:paraId="6D6928DA" w14:textId="77777777" w:rsidR="0094032F" w:rsidRDefault="0094032F" w:rsidP="0094032F">
      <w:pPr>
        <w:pStyle w:val="StandardWeb"/>
        <w:numPr>
          <w:ilvl w:val="0"/>
          <w:numId w:val="17"/>
        </w:numPr>
      </w:pPr>
      <w:r>
        <w:rPr>
          <w:rStyle w:val="Fett"/>
        </w:rPr>
        <w:t>Fehlerkultur:</w:t>
      </w:r>
      <w:r>
        <w:t xml:space="preserve"> Produktiver Umgang mit Fehlvorstellungen (z. B. „Zeit ist überall gleich“) zur Förderung metakognitiver Prozesse [17].</w:t>
      </w:r>
    </w:p>
    <w:p w14:paraId="765123BC" w14:textId="77777777" w:rsidR="0094032F" w:rsidRDefault="0094032F" w:rsidP="0094032F">
      <w:pPr>
        <w:pStyle w:val="StandardWeb"/>
        <w:numPr>
          <w:ilvl w:val="0"/>
          <w:numId w:val="17"/>
        </w:numPr>
      </w:pPr>
      <w:r>
        <w:rPr>
          <w:rStyle w:val="Fett"/>
        </w:rPr>
        <w:t>Modularisierung:</w:t>
      </w:r>
      <w:r>
        <w:t xml:space="preserve"> Strukturierte didaktische Module, die komplexe Themen zugänglich machen (Beobachtung → Hypothese → Modell → Simulation → Reflexion).</w:t>
      </w:r>
    </w:p>
    <w:p w14:paraId="21D4DCE8" w14:textId="77777777" w:rsidR="0094032F" w:rsidRDefault="0094032F" w:rsidP="0094032F">
      <w:r>
        <w:pict w14:anchorId="2FB525FB">
          <v:rect id="_x0000_i1041" style="width:0;height:1.5pt" o:hralign="center" o:hrstd="t" o:hr="t" fillcolor="#a0a0a0" stroked="f"/>
        </w:pict>
      </w:r>
    </w:p>
    <w:p w14:paraId="7E2B82A0" w14:textId="77777777" w:rsidR="0094032F" w:rsidRDefault="0094032F" w:rsidP="0094032F">
      <w:pPr>
        <w:pStyle w:val="berschrift2"/>
      </w:pPr>
      <w:r>
        <w:t>2.6 Fazit</w:t>
      </w:r>
    </w:p>
    <w:p w14:paraId="663F25DD" w14:textId="77777777" w:rsidR="0094032F" w:rsidRDefault="0094032F" w:rsidP="0094032F">
      <w:pPr>
        <w:pStyle w:val="StandardWeb"/>
      </w:pPr>
      <w:r>
        <w:t>Die Entwicklung physikalischer Bezugssysteme ist eine Geschichte wachsender theoretischer Komplexität – und gleichzeitig eine große Herausforderung für die physikdidaktische Praxis. Während das newtonsche Modell noch gut erfahrbar ist, erfordern relativistische und quantenmechanische Denkformen neue Vermittlungsstrategien. Das funktional-relational gedachte Bezugssystem stellt hier ein alternatives Paradigma dar: Es fördert aktives Konstruieren, betont die Perspektivität physikalischer Modelle und integriert digitale Werkzeuge. Entscheidend bleibt die methodisch-didaktische Umsetzung, insbesondere durch Visualisierung, wiederholungsorientiertes Lernen und systemische Reflexion.</w:t>
      </w:r>
    </w:p>
    <w:p w14:paraId="1F9C854D" w14:textId="77777777" w:rsidR="0094032F" w:rsidRDefault="0094032F" w:rsidP="0094032F">
      <w:r>
        <w:pict w14:anchorId="537ED06B">
          <v:rect id="_x0000_i1042" style="width:0;height:1.5pt" o:hralign="center" o:hrstd="t" o:hr="t" fillcolor="#a0a0a0" stroked="f"/>
        </w:pict>
      </w:r>
    </w:p>
    <w:p w14:paraId="52B291AB" w14:textId="77777777" w:rsidR="0094032F" w:rsidRDefault="0094032F" w:rsidP="0094032F">
      <w:pPr>
        <w:pStyle w:val="berschrift2"/>
      </w:pPr>
      <w:r>
        <w:t>2.7 Literaturverzeichnis</w:t>
      </w:r>
    </w:p>
    <w:p w14:paraId="278B3DE4" w14:textId="77777777" w:rsidR="0094032F" w:rsidRDefault="0094032F" w:rsidP="0094032F">
      <w:pPr>
        <w:pStyle w:val="StandardWeb"/>
        <w:numPr>
          <w:ilvl w:val="0"/>
          <w:numId w:val="18"/>
        </w:numPr>
      </w:pPr>
      <w:r>
        <w:t xml:space="preserve">Aristoteles (ca. 350 v. Chr.). </w:t>
      </w:r>
      <w:r>
        <w:rPr>
          <w:rStyle w:val="Hervorhebung"/>
          <w:rFonts w:eastAsiaTheme="majorEastAsia"/>
        </w:rPr>
        <w:t>Physik</w:t>
      </w:r>
      <w:r>
        <w:t>.</w:t>
      </w:r>
    </w:p>
    <w:p w14:paraId="23D21578" w14:textId="77777777" w:rsidR="0094032F" w:rsidRDefault="0094032F" w:rsidP="0094032F">
      <w:pPr>
        <w:pStyle w:val="StandardWeb"/>
        <w:numPr>
          <w:ilvl w:val="0"/>
          <w:numId w:val="18"/>
        </w:numPr>
      </w:pPr>
      <w:proofErr w:type="spellStart"/>
      <w:r>
        <w:t>Duit</w:t>
      </w:r>
      <w:proofErr w:type="spellEnd"/>
      <w:r>
        <w:t xml:space="preserve">, R. (2004). Schülervorstellungen und Physikunterricht. In: Komorek et al. (Hrsg.), </w:t>
      </w:r>
      <w:r>
        <w:rPr>
          <w:rStyle w:val="Hervorhebung"/>
          <w:rFonts w:eastAsiaTheme="majorEastAsia"/>
        </w:rPr>
        <w:t>Naturwissenschaftlicher Unterricht</w:t>
      </w:r>
      <w:r>
        <w:t>.</w:t>
      </w:r>
    </w:p>
    <w:p w14:paraId="4D8E5491" w14:textId="77777777" w:rsidR="0094032F" w:rsidRDefault="0094032F" w:rsidP="0094032F">
      <w:pPr>
        <w:pStyle w:val="StandardWeb"/>
        <w:numPr>
          <w:ilvl w:val="0"/>
          <w:numId w:val="18"/>
        </w:numPr>
      </w:pPr>
      <w:r>
        <w:t xml:space="preserve">Galilei, G. (1632). </w:t>
      </w:r>
      <w:r>
        <w:rPr>
          <w:rStyle w:val="Hervorhebung"/>
          <w:rFonts w:eastAsiaTheme="majorEastAsia"/>
        </w:rPr>
        <w:t>Dialog über die zwei hauptsächlichen Weltsysteme</w:t>
      </w:r>
      <w:r>
        <w:t>.</w:t>
      </w:r>
    </w:p>
    <w:p w14:paraId="684F0C73" w14:textId="77777777" w:rsidR="0094032F" w:rsidRDefault="0094032F" w:rsidP="0094032F">
      <w:pPr>
        <w:pStyle w:val="StandardWeb"/>
        <w:numPr>
          <w:ilvl w:val="0"/>
          <w:numId w:val="18"/>
        </w:numPr>
      </w:pPr>
      <w:r>
        <w:t xml:space="preserve">Newton, I. (1687). </w:t>
      </w:r>
      <w:proofErr w:type="spellStart"/>
      <w:r>
        <w:rPr>
          <w:rStyle w:val="Hervorhebung"/>
          <w:rFonts w:eastAsiaTheme="majorEastAsia"/>
        </w:rPr>
        <w:t>Philosophiæ</w:t>
      </w:r>
      <w:proofErr w:type="spellEnd"/>
      <w:r>
        <w:rPr>
          <w:rStyle w:val="Hervorhebung"/>
          <w:rFonts w:eastAsiaTheme="majorEastAsia"/>
        </w:rPr>
        <w:t xml:space="preserve"> Naturalis Principia Mathematica</w:t>
      </w:r>
      <w:r>
        <w:t>.</w:t>
      </w:r>
    </w:p>
    <w:p w14:paraId="3B9D8672" w14:textId="77777777" w:rsidR="0094032F" w:rsidRDefault="0094032F" w:rsidP="0094032F">
      <w:pPr>
        <w:pStyle w:val="StandardWeb"/>
        <w:numPr>
          <w:ilvl w:val="0"/>
          <w:numId w:val="18"/>
        </w:numPr>
      </w:pPr>
      <w:r>
        <w:t>Einstein, A. (1905, 1915). Zur Elektrodynamik bewegter Körper; Allgemeine Relativitätstheorie.</w:t>
      </w:r>
    </w:p>
    <w:p w14:paraId="253BA81F" w14:textId="77777777" w:rsidR="0094032F" w:rsidRDefault="0094032F" w:rsidP="0094032F">
      <w:pPr>
        <w:pStyle w:val="StandardWeb"/>
        <w:numPr>
          <w:ilvl w:val="0"/>
          <w:numId w:val="18"/>
        </w:numPr>
      </w:pPr>
      <w:proofErr w:type="spellStart"/>
      <w:r>
        <w:t>Gropengießer</w:t>
      </w:r>
      <w:proofErr w:type="spellEnd"/>
      <w:r>
        <w:t xml:space="preserve">, H. (2008). </w:t>
      </w:r>
      <w:r>
        <w:rPr>
          <w:rStyle w:val="Hervorhebung"/>
          <w:rFonts w:eastAsiaTheme="majorEastAsia"/>
        </w:rPr>
        <w:t>Didaktische Rekonstruktion</w:t>
      </w:r>
      <w:r>
        <w:t xml:space="preserve">. </w:t>
      </w:r>
      <w:proofErr w:type="spellStart"/>
      <w:r>
        <w:t>Aulis</w:t>
      </w:r>
      <w:proofErr w:type="spellEnd"/>
      <w:r>
        <w:t xml:space="preserve"> Verlag.</w:t>
      </w:r>
    </w:p>
    <w:p w14:paraId="7CAD6588" w14:textId="77777777" w:rsidR="0094032F" w:rsidRDefault="0094032F" w:rsidP="0094032F">
      <w:pPr>
        <w:pStyle w:val="StandardWeb"/>
        <w:numPr>
          <w:ilvl w:val="0"/>
          <w:numId w:val="18"/>
        </w:numPr>
      </w:pPr>
      <w:r>
        <w:t>Heisenberg, W. (1927). Über den anschaulichen Inhalt der quantentheoretischen Kinematik und Mechanik.</w:t>
      </w:r>
    </w:p>
    <w:p w14:paraId="231CFC0F" w14:textId="77777777" w:rsidR="0094032F" w:rsidRDefault="0094032F" w:rsidP="0094032F">
      <w:pPr>
        <w:pStyle w:val="StandardWeb"/>
        <w:numPr>
          <w:ilvl w:val="0"/>
          <w:numId w:val="18"/>
        </w:numPr>
      </w:pPr>
      <w:proofErr w:type="spellStart"/>
      <w:r>
        <w:t>Stöltzner</w:t>
      </w:r>
      <w:proofErr w:type="spellEnd"/>
      <w:r>
        <w:t xml:space="preserve">, M. (2013). </w:t>
      </w:r>
      <w:r>
        <w:rPr>
          <w:rStyle w:val="Hervorhebung"/>
          <w:rFonts w:eastAsiaTheme="majorEastAsia"/>
        </w:rPr>
        <w:t>Philosophie der Quantenphysik</w:t>
      </w:r>
      <w:r>
        <w:t>. C.H. Beck.</w:t>
      </w:r>
    </w:p>
    <w:p w14:paraId="29FE836C" w14:textId="77777777" w:rsidR="0094032F" w:rsidRDefault="0094032F" w:rsidP="0094032F">
      <w:pPr>
        <w:pStyle w:val="StandardWeb"/>
        <w:numPr>
          <w:ilvl w:val="0"/>
          <w:numId w:val="18"/>
        </w:numPr>
      </w:pPr>
      <w:r>
        <w:t xml:space="preserve">Spitzer, M. (2012). </w:t>
      </w:r>
      <w:r>
        <w:rPr>
          <w:rStyle w:val="Hervorhebung"/>
          <w:rFonts w:eastAsiaTheme="majorEastAsia"/>
        </w:rPr>
        <w:t>Digitale Demenz</w:t>
      </w:r>
      <w:r>
        <w:t>. Droemer.</w:t>
      </w:r>
    </w:p>
    <w:p w14:paraId="24049403" w14:textId="77777777" w:rsidR="0094032F" w:rsidRDefault="0094032F" w:rsidP="0094032F">
      <w:pPr>
        <w:pStyle w:val="StandardWeb"/>
        <w:numPr>
          <w:ilvl w:val="0"/>
          <w:numId w:val="18"/>
        </w:numPr>
      </w:pPr>
      <w:r>
        <w:t xml:space="preserve">Roth, G. (2013). </w:t>
      </w:r>
      <w:r>
        <w:rPr>
          <w:rStyle w:val="Hervorhebung"/>
          <w:rFonts w:eastAsiaTheme="majorEastAsia"/>
        </w:rPr>
        <w:t>Bildung braucht Persönlichkeit</w:t>
      </w:r>
      <w:r>
        <w:t>. Beltz.</w:t>
      </w:r>
    </w:p>
    <w:p w14:paraId="5EAEFF65" w14:textId="77777777" w:rsidR="0094032F" w:rsidRDefault="0094032F" w:rsidP="0094032F">
      <w:pPr>
        <w:pStyle w:val="StandardWeb"/>
        <w:numPr>
          <w:ilvl w:val="0"/>
          <w:numId w:val="18"/>
        </w:numPr>
      </w:pPr>
      <w:proofErr w:type="spellStart"/>
      <w:r>
        <w:t>Sweller</w:t>
      </w:r>
      <w:proofErr w:type="spellEnd"/>
      <w:r>
        <w:t xml:space="preserve">, J. (1988). </w:t>
      </w:r>
      <w:proofErr w:type="spellStart"/>
      <w:r>
        <w:t>Cognitive</w:t>
      </w:r>
      <w:proofErr w:type="spellEnd"/>
      <w:r>
        <w:t xml:space="preserve"> Load Theory. </w:t>
      </w:r>
      <w:proofErr w:type="spellStart"/>
      <w:r>
        <w:rPr>
          <w:rStyle w:val="Hervorhebung"/>
          <w:rFonts w:eastAsiaTheme="majorEastAsia"/>
        </w:rPr>
        <w:t>Cognitive</w:t>
      </w:r>
      <w:proofErr w:type="spellEnd"/>
      <w:r>
        <w:rPr>
          <w:rStyle w:val="Hervorhebung"/>
          <w:rFonts w:eastAsiaTheme="majorEastAsia"/>
        </w:rPr>
        <w:t xml:space="preserve"> Science</w:t>
      </w:r>
      <w:r>
        <w:t>, 12(2), 257–285.</w:t>
      </w:r>
    </w:p>
    <w:p w14:paraId="7A88AA64" w14:textId="77777777" w:rsidR="0094032F" w:rsidRDefault="0094032F" w:rsidP="0094032F">
      <w:pPr>
        <w:pStyle w:val="StandardWeb"/>
        <w:numPr>
          <w:ilvl w:val="0"/>
          <w:numId w:val="18"/>
        </w:numPr>
      </w:pPr>
      <w:r>
        <w:t xml:space="preserve">Bruner, J. S. (1960). </w:t>
      </w:r>
      <w:r>
        <w:rPr>
          <w:rStyle w:val="Hervorhebung"/>
          <w:rFonts w:eastAsiaTheme="majorEastAsia"/>
        </w:rPr>
        <w:t xml:space="preserve">The </w:t>
      </w:r>
      <w:proofErr w:type="spellStart"/>
      <w:r>
        <w:rPr>
          <w:rStyle w:val="Hervorhebung"/>
          <w:rFonts w:eastAsiaTheme="majorEastAsia"/>
        </w:rPr>
        <w:t>Process</w:t>
      </w:r>
      <w:proofErr w:type="spellEnd"/>
      <w:r>
        <w:rPr>
          <w:rStyle w:val="Hervorhebung"/>
          <w:rFonts w:eastAsiaTheme="majorEastAsia"/>
        </w:rPr>
        <w:t xml:space="preserve"> </w:t>
      </w:r>
      <w:proofErr w:type="spellStart"/>
      <w:r>
        <w:rPr>
          <w:rStyle w:val="Hervorhebung"/>
          <w:rFonts w:eastAsiaTheme="majorEastAsia"/>
        </w:rPr>
        <w:t>of</w:t>
      </w:r>
      <w:proofErr w:type="spellEnd"/>
      <w:r>
        <w:rPr>
          <w:rStyle w:val="Hervorhebung"/>
          <w:rFonts w:eastAsiaTheme="majorEastAsia"/>
        </w:rPr>
        <w:t xml:space="preserve"> Education</w:t>
      </w:r>
      <w:r>
        <w:t>. Harvard University Press.</w:t>
      </w:r>
    </w:p>
    <w:p w14:paraId="67FDC353" w14:textId="77777777" w:rsidR="0094032F" w:rsidRDefault="0094032F" w:rsidP="0094032F">
      <w:pPr>
        <w:pStyle w:val="StandardWeb"/>
        <w:numPr>
          <w:ilvl w:val="0"/>
          <w:numId w:val="18"/>
        </w:numPr>
      </w:pPr>
      <w:r>
        <w:lastRenderedPageBreak/>
        <w:t>Reinmann-</w:t>
      </w:r>
      <w:proofErr w:type="spellStart"/>
      <w:r>
        <w:t>Rothmeier</w:t>
      </w:r>
      <w:proofErr w:type="spellEnd"/>
      <w:r>
        <w:t xml:space="preserve">, G., &amp; Mandl, H. (2001). Unterricht gestalten mit kognitiv-psychologischer Grundlage. In: Krapp &amp; Weidenmann (Hrsg.), </w:t>
      </w:r>
      <w:r>
        <w:rPr>
          <w:rStyle w:val="Hervorhebung"/>
          <w:rFonts w:eastAsiaTheme="majorEastAsia"/>
        </w:rPr>
        <w:t>Pädagogische Psychologie</w:t>
      </w:r>
      <w:r>
        <w:t>.</w:t>
      </w:r>
    </w:p>
    <w:p w14:paraId="0D3B30E1" w14:textId="77777777" w:rsidR="0094032F" w:rsidRDefault="0094032F" w:rsidP="0094032F">
      <w:pPr>
        <w:pStyle w:val="StandardWeb"/>
        <w:numPr>
          <w:ilvl w:val="0"/>
          <w:numId w:val="18"/>
        </w:numPr>
      </w:pPr>
      <w:r>
        <w:t xml:space="preserve">Seel, N. M. (2012). </w:t>
      </w:r>
      <w:r>
        <w:rPr>
          <w:rStyle w:val="Hervorhebung"/>
          <w:rFonts w:eastAsiaTheme="majorEastAsia"/>
        </w:rPr>
        <w:t>Psychologie des Lernens</w:t>
      </w:r>
      <w:r>
        <w:t>. Springer.</w:t>
      </w:r>
    </w:p>
    <w:p w14:paraId="32CEE688" w14:textId="77777777" w:rsidR="0094032F" w:rsidRDefault="0094032F" w:rsidP="0094032F">
      <w:pPr>
        <w:pStyle w:val="StandardWeb"/>
        <w:numPr>
          <w:ilvl w:val="0"/>
          <w:numId w:val="18"/>
        </w:numPr>
      </w:pPr>
      <w:r>
        <w:t xml:space="preserve">Kaiser, G. (2018). Systemisches Denken im naturwissenschaftlichen Unterricht. </w:t>
      </w:r>
      <w:r>
        <w:rPr>
          <w:rStyle w:val="Hervorhebung"/>
          <w:rFonts w:eastAsiaTheme="majorEastAsia"/>
        </w:rPr>
        <w:t>Zeitschrift für Didaktik der Naturwissenschaften</w:t>
      </w:r>
      <w:r>
        <w:t>, 24, 135–147.</w:t>
      </w:r>
    </w:p>
    <w:p w14:paraId="466EAB20" w14:textId="77777777" w:rsidR="0094032F" w:rsidRDefault="0094032F" w:rsidP="0094032F">
      <w:pPr>
        <w:pStyle w:val="StandardWeb"/>
        <w:numPr>
          <w:ilvl w:val="0"/>
          <w:numId w:val="18"/>
        </w:numPr>
      </w:pPr>
      <w:proofErr w:type="spellStart"/>
      <w:r>
        <w:t>Papert</w:t>
      </w:r>
      <w:proofErr w:type="spellEnd"/>
      <w:r>
        <w:t xml:space="preserve">, S. (1980). </w:t>
      </w:r>
      <w:r>
        <w:rPr>
          <w:rStyle w:val="Hervorhebung"/>
          <w:rFonts w:eastAsiaTheme="majorEastAsia"/>
        </w:rPr>
        <w:t xml:space="preserve">Mindstorms: Children, Computers, and Powerful </w:t>
      </w:r>
      <w:proofErr w:type="spellStart"/>
      <w:r>
        <w:rPr>
          <w:rStyle w:val="Hervorhebung"/>
          <w:rFonts w:eastAsiaTheme="majorEastAsia"/>
        </w:rPr>
        <w:t>Ideas</w:t>
      </w:r>
      <w:proofErr w:type="spellEnd"/>
      <w:r>
        <w:t>. Basic Books.</w:t>
      </w:r>
    </w:p>
    <w:p w14:paraId="1EA7BB8D" w14:textId="77777777" w:rsidR="0094032F" w:rsidRDefault="0094032F" w:rsidP="0094032F">
      <w:pPr>
        <w:pStyle w:val="StandardWeb"/>
        <w:numPr>
          <w:ilvl w:val="0"/>
          <w:numId w:val="18"/>
        </w:numPr>
      </w:pPr>
      <w:r>
        <w:t xml:space="preserve">Hattie, J. (2009). </w:t>
      </w:r>
      <w:r>
        <w:rPr>
          <w:rStyle w:val="Hervorhebung"/>
          <w:rFonts w:eastAsiaTheme="majorEastAsia"/>
        </w:rPr>
        <w:t>Visible Learning</w:t>
      </w:r>
      <w:r>
        <w:t>. Routledge.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2664"/>
        <w:gridCol w:w="2021"/>
        <w:gridCol w:w="3005"/>
      </w:tblGrid>
      <w:tr w:rsidR="003F4FD3" w14:paraId="3F3E3B64" w14:textId="77777777" w:rsidTr="003F4FD3">
        <w:trPr>
          <w:tblHeader/>
          <w:tblCellSpacing w:w="15" w:type="dxa"/>
        </w:trPr>
        <w:tc>
          <w:tcPr>
            <w:tcW w:w="0" w:type="auto"/>
            <w:vAlign w:val="center"/>
            <w:hideMark/>
          </w:tcPr>
          <w:p w14:paraId="12B22A64" w14:textId="77777777" w:rsidR="003F4FD3" w:rsidRDefault="003F4FD3">
            <w:pPr>
              <w:jc w:val="center"/>
              <w:rPr>
                <w:b/>
                <w:bCs/>
              </w:rPr>
            </w:pPr>
            <w:r>
              <w:rPr>
                <w:b/>
                <w:bCs/>
              </w:rPr>
              <w:t>Bildnummer</w:t>
            </w:r>
          </w:p>
        </w:tc>
        <w:tc>
          <w:tcPr>
            <w:tcW w:w="0" w:type="auto"/>
            <w:vAlign w:val="center"/>
            <w:hideMark/>
          </w:tcPr>
          <w:p w14:paraId="58110BF4" w14:textId="77777777" w:rsidR="003F4FD3" w:rsidRDefault="003F4FD3">
            <w:pPr>
              <w:jc w:val="center"/>
              <w:rPr>
                <w:b/>
                <w:bCs/>
              </w:rPr>
            </w:pPr>
            <w:r>
              <w:rPr>
                <w:b/>
                <w:bCs/>
              </w:rPr>
              <w:t>Textstelle</w:t>
            </w:r>
          </w:p>
        </w:tc>
        <w:tc>
          <w:tcPr>
            <w:tcW w:w="0" w:type="auto"/>
            <w:vAlign w:val="center"/>
            <w:hideMark/>
          </w:tcPr>
          <w:p w14:paraId="21047060" w14:textId="77777777" w:rsidR="003F4FD3" w:rsidRDefault="003F4FD3">
            <w:pPr>
              <w:jc w:val="center"/>
              <w:rPr>
                <w:b/>
                <w:bCs/>
              </w:rPr>
            </w:pPr>
            <w:r>
              <w:rPr>
                <w:b/>
                <w:bCs/>
              </w:rPr>
              <w:t>Bezeichnung</w:t>
            </w:r>
          </w:p>
        </w:tc>
        <w:tc>
          <w:tcPr>
            <w:tcW w:w="0" w:type="auto"/>
            <w:vAlign w:val="center"/>
            <w:hideMark/>
          </w:tcPr>
          <w:p w14:paraId="4257D975" w14:textId="77777777" w:rsidR="003F4FD3" w:rsidRDefault="003F4FD3">
            <w:pPr>
              <w:jc w:val="center"/>
              <w:rPr>
                <w:b/>
                <w:bCs/>
              </w:rPr>
            </w:pPr>
            <w:r>
              <w:rPr>
                <w:b/>
                <w:bCs/>
              </w:rPr>
              <w:t>Beschreibung</w:t>
            </w:r>
          </w:p>
        </w:tc>
      </w:tr>
      <w:tr w:rsidR="003F4FD3" w14:paraId="55FBEE6C" w14:textId="77777777" w:rsidTr="003F4FD3">
        <w:trPr>
          <w:tblCellSpacing w:w="15" w:type="dxa"/>
        </w:trPr>
        <w:tc>
          <w:tcPr>
            <w:tcW w:w="0" w:type="auto"/>
            <w:vAlign w:val="center"/>
            <w:hideMark/>
          </w:tcPr>
          <w:p w14:paraId="517935A8" w14:textId="77777777" w:rsidR="003F4FD3" w:rsidRDefault="003F4FD3">
            <w:r>
              <w:t>1</w:t>
            </w:r>
          </w:p>
        </w:tc>
        <w:tc>
          <w:tcPr>
            <w:tcW w:w="0" w:type="auto"/>
            <w:vAlign w:val="center"/>
            <w:hideMark/>
          </w:tcPr>
          <w:p w14:paraId="320C4F11" w14:textId="77777777" w:rsidR="003F4FD3" w:rsidRDefault="003F4FD3">
            <w:r>
              <w:t>2.2.1 Antike Weltbilder</w:t>
            </w:r>
          </w:p>
        </w:tc>
        <w:tc>
          <w:tcPr>
            <w:tcW w:w="0" w:type="auto"/>
            <w:vAlign w:val="center"/>
            <w:hideMark/>
          </w:tcPr>
          <w:p w14:paraId="1D41FB45" w14:textId="77777777" w:rsidR="003F4FD3" w:rsidRDefault="003F4FD3">
            <w:r>
              <w:t>Aristotelisches Weltbild</w:t>
            </w:r>
          </w:p>
        </w:tc>
        <w:tc>
          <w:tcPr>
            <w:tcW w:w="0" w:type="auto"/>
            <w:vAlign w:val="center"/>
            <w:hideMark/>
          </w:tcPr>
          <w:p w14:paraId="07515379" w14:textId="77777777" w:rsidR="003F4FD3" w:rsidRDefault="003F4FD3">
            <w:r>
              <w:t>Darstellung des teleologisch strukturierten Raums mit „natürlichen Orten“ für Körper.</w:t>
            </w:r>
          </w:p>
        </w:tc>
      </w:tr>
      <w:tr w:rsidR="003F4FD3" w14:paraId="64C54C43" w14:textId="77777777" w:rsidTr="003F4FD3">
        <w:trPr>
          <w:tblCellSpacing w:w="15" w:type="dxa"/>
        </w:trPr>
        <w:tc>
          <w:tcPr>
            <w:tcW w:w="0" w:type="auto"/>
            <w:vAlign w:val="center"/>
            <w:hideMark/>
          </w:tcPr>
          <w:p w14:paraId="3CF6782E" w14:textId="77777777" w:rsidR="003F4FD3" w:rsidRDefault="003F4FD3">
            <w:r>
              <w:t>2</w:t>
            </w:r>
          </w:p>
        </w:tc>
        <w:tc>
          <w:tcPr>
            <w:tcW w:w="0" w:type="auto"/>
            <w:vAlign w:val="center"/>
            <w:hideMark/>
          </w:tcPr>
          <w:p w14:paraId="566D5979" w14:textId="77777777" w:rsidR="003F4FD3" w:rsidRDefault="003F4FD3">
            <w:r>
              <w:t>2.2.2 Galilei – Relativität der Bewegung</w:t>
            </w:r>
          </w:p>
        </w:tc>
        <w:tc>
          <w:tcPr>
            <w:tcW w:w="0" w:type="auto"/>
            <w:vAlign w:val="center"/>
            <w:hideMark/>
          </w:tcPr>
          <w:p w14:paraId="3C0E4BDA" w14:textId="77777777" w:rsidR="003F4FD3" w:rsidRDefault="003F4FD3">
            <w:r>
              <w:t>Galileis Schiffsbeispiel</w:t>
            </w:r>
          </w:p>
        </w:tc>
        <w:tc>
          <w:tcPr>
            <w:tcW w:w="0" w:type="auto"/>
            <w:vAlign w:val="center"/>
            <w:hideMark/>
          </w:tcPr>
          <w:p w14:paraId="0B80BC52" w14:textId="77777777" w:rsidR="003F4FD3" w:rsidRDefault="003F4FD3">
            <w:r>
              <w:t>Illustration des Schiffes mit verschiedenen Beobachtern, um Relativität der gleichförmigen Bewegung zu veranschaulichen.</w:t>
            </w:r>
          </w:p>
        </w:tc>
      </w:tr>
      <w:tr w:rsidR="003F4FD3" w14:paraId="6C0C55AD" w14:textId="77777777" w:rsidTr="003F4FD3">
        <w:trPr>
          <w:tblCellSpacing w:w="15" w:type="dxa"/>
        </w:trPr>
        <w:tc>
          <w:tcPr>
            <w:tcW w:w="0" w:type="auto"/>
            <w:vAlign w:val="center"/>
            <w:hideMark/>
          </w:tcPr>
          <w:p w14:paraId="000B8235" w14:textId="77777777" w:rsidR="003F4FD3" w:rsidRDefault="003F4FD3">
            <w:r>
              <w:t>3</w:t>
            </w:r>
          </w:p>
        </w:tc>
        <w:tc>
          <w:tcPr>
            <w:tcW w:w="0" w:type="auto"/>
            <w:vAlign w:val="center"/>
            <w:hideMark/>
          </w:tcPr>
          <w:p w14:paraId="548ED2E4" w14:textId="77777777" w:rsidR="003F4FD3" w:rsidRDefault="003F4FD3">
            <w:r>
              <w:t>2.2.3 Newton – Inertialsystem</w:t>
            </w:r>
          </w:p>
        </w:tc>
        <w:tc>
          <w:tcPr>
            <w:tcW w:w="0" w:type="auto"/>
            <w:vAlign w:val="center"/>
            <w:hideMark/>
          </w:tcPr>
          <w:p w14:paraId="063D520B" w14:textId="77777777" w:rsidR="003F4FD3" w:rsidRDefault="003F4FD3">
            <w:r>
              <w:t>Newtons Inertialsystem</w:t>
            </w:r>
          </w:p>
        </w:tc>
        <w:tc>
          <w:tcPr>
            <w:tcW w:w="0" w:type="auto"/>
            <w:vAlign w:val="center"/>
            <w:hideMark/>
          </w:tcPr>
          <w:p w14:paraId="79812F9B" w14:textId="77777777" w:rsidR="003F4FD3" w:rsidRDefault="003F4FD3">
            <w:r>
              <w:t>Schema eines Körpers auf einer Luftkissenbahn, der sich ohne äußere Kraft geradlinig bewegt.</w:t>
            </w:r>
          </w:p>
        </w:tc>
      </w:tr>
      <w:tr w:rsidR="003F4FD3" w14:paraId="368CB85D" w14:textId="77777777" w:rsidTr="003F4FD3">
        <w:trPr>
          <w:tblCellSpacing w:w="15" w:type="dxa"/>
        </w:trPr>
        <w:tc>
          <w:tcPr>
            <w:tcW w:w="0" w:type="auto"/>
            <w:vAlign w:val="center"/>
            <w:hideMark/>
          </w:tcPr>
          <w:p w14:paraId="303FBE2B" w14:textId="77777777" w:rsidR="003F4FD3" w:rsidRDefault="003F4FD3">
            <w:r>
              <w:t>4</w:t>
            </w:r>
          </w:p>
        </w:tc>
        <w:tc>
          <w:tcPr>
            <w:tcW w:w="0" w:type="auto"/>
            <w:vAlign w:val="center"/>
            <w:hideMark/>
          </w:tcPr>
          <w:p w14:paraId="186F35E4" w14:textId="77777777" w:rsidR="003F4FD3" w:rsidRDefault="003F4FD3">
            <w:r>
              <w:t>2.2.4 Einstein – Raumzeitstruktur</w:t>
            </w:r>
          </w:p>
        </w:tc>
        <w:tc>
          <w:tcPr>
            <w:tcW w:w="0" w:type="auto"/>
            <w:vAlign w:val="center"/>
            <w:hideMark/>
          </w:tcPr>
          <w:p w14:paraId="7D731D21" w14:textId="77777777" w:rsidR="003F4FD3" w:rsidRDefault="003F4FD3">
            <w:r>
              <w:t>Einsteins Raumzeit</w:t>
            </w:r>
          </w:p>
        </w:tc>
        <w:tc>
          <w:tcPr>
            <w:tcW w:w="0" w:type="auto"/>
            <w:vAlign w:val="center"/>
            <w:hideMark/>
          </w:tcPr>
          <w:p w14:paraId="443168C2" w14:textId="77777777" w:rsidR="003F4FD3" w:rsidRDefault="003F4FD3">
            <w:r>
              <w:t>Raumzeit-Diagramm mit Zeit- und Raumachsen, Darstellung von Zeitdilatation und gekrümmter Raumzeit.</w:t>
            </w:r>
          </w:p>
        </w:tc>
      </w:tr>
      <w:tr w:rsidR="003F4FD3" w14:paraId="17B03CC3" w14:textId="77777777" w:rsidTr="003F4FD3">
        <w:trPr>
          <w:tblCellSpacing w:w="15" w:type="dxa"/>
        </w:trPr>
        <w:tc>
          <w:tcPr>
            <w:tcW w:w="0" w:type="auto"/>
            <w:vAlign w:val="center"/>
            <w:hideMark/>
          </w:tcPr>
          <w:p w14:paraId="4F89921D" w14:textId="77777777" w:rsidR="003F4FD3" w:rsidRDefault="003F4FD3">
            <w:r>
              <w:t>5</w:t>
            </w:r>
          </w:p>
        </w:tc>
        <w:tc>
          <w:tcPr>
            <w:tcW w:w="0" w:type="auto"/>
            <w:vAlign w:val="center"/>
            <w:hideMark/>
          </w:tcPr>
          <w:p w14:paraId="6BB74391" w14:textId="77777777" w:rsidR="003F4FD3" w:rsidRDefault="003F4FD3">
            <w:r>
              <w:t>2.2.5 Quantenmechanik – Beobachterabhängigkeit</w:t>
            </w:r>
          </w:p>
        </w:tc>
        <w:tc>
          <w:tcPr>
            <w:tcW w:w="0" w:type="auto"/>
            <w:vAlign w:val="center"/>
            <w:hideMark/>
          </w:tcPr>
          <w:p w14:paraId="70A7F421" w14:textId="77777777" w:rsidR="003F4FD3" w:rsidRDefault="003F4FD3">
            <w:r>
              <w:t>Quantenmessung und Kollaps der Wellenfunktion</w:t>
            </w:r>
          </w:p>
        </w:tc>
        <w:tc>
          <w:tcPr>
            <w:tcW w:w="0" w:type="auto"/>
            <w:vAlign w:val="center"/>
            <w:hideMark/>
          </w:tcPr>
          <w:p w14:paraId="764D89E6" w14:textId="77777777" w:rsidR="003F4FD3" w:rsidRDefault="003F4FD3">
            <w:r>
              <w:t>Symbolische Darstellung eines Quantenobjekts, das durch Messung in einen definierten Zustand übergeht.</w:t>
            </w:r>
          </w:p>
        </w:tc>
      </w:tr>
      <w:tr w:rsidR="003F4FD3" w14:paraId="4C9F83FA" w14:textId="77777777" w:rsidTr="003F4FD3">
        <w:trPr>
          <w:tblCellSpacing w:w="15" w:type="dxa"/>
        </w:trPr>
        <w:tc>
          <w:tcPr>
            <w:tcW w:w="0" w:type="auto"/>
            <w:vAlign w:val="center"/>
            <w:hideMark/>
          </w:tcPr>
          <w:p w14:paraId="5F17B039" w14:textId="77777777" w:rsidR="003F4FD3" w:rsidRDefault="003F4FD3">
            <w:r>
              <w:t>6</w:t>
            </w:r>
          </w:p>
        </w:tc>
        <w:tc>
          <w:tcPr>
            <w:tcW w:w="0" w:type="auto"/>
            <w:vAlign w:val="center"/>
            <w:hideMark/>
          </w:tcPr>
          <w:p w14:paraId="2AD05B11" w14:textId="77777777" w:rsidR="003F4FD3" w:rsidRDefault="003F4FD3">
            <w:r>
              <w:t>2.3 Methodisch-didaktische Bewertung</w:t>
            </w:r>
          </w:p>
        </w:tc>
        <w:tc>
          <w:tcPr>
            <w:tcW w:w="0" w:type="auto"/>
            <w:vAlign w:val="center"/>
            <w:hideMark/>
          </w:tcPr>
          <w:p w14:paraId="16426548" w14:textId="77777777" w:rsidR="003F4FD3" w:rsidRDefault="003F4FD3">
            <w:r>
              <w:t>Vernetztes Lernen</w:t>
            </w:r>
          </w:p>
        </w:tc>
        <w:tc>
          <w:tcPr>
            <w:tcW w:w="0" w:type="auto"/>
            <w:vAlign w:val="center"/>
            <w:hideMark/>
          </w:tcPr>
          <w:p w14:paraId="0C344749" w14:textId="77777777" w:rsidR="003F4FD3" w:rsidRDefault="003F4FD3">
            <w:r>
              <w:t>Mind-Map oder Netzwerkdiagramm, das vernetztes, kontextorientiertes Lernen zeigt.</w:t>
            </w:r>
          </w:p>
        </w:tc>
      </w:tr>
      <w:tr w:rsidR="003F4FD3" w14:paraId="42A428F5" w14:textId="77777777" w:rsidTr="003F4FD3">
        <w:trPr>
          <w:tblCellSpacing w:w="15" w:type="dxa"/>
        </w:trPr>
        <w:tc>
          <w:tcPr>
            <w:tcW w:w="0" w:type="auto"/>
            <w:vAlign w:val="center"/>
            <w:hideMark/>
          </w:tcPr>
          <w:p w14:paraId="1E96DA1A" w14:textId="77777777" w:rsidR="003F4FD3" w:rsidRDefault="003F4FD3">
            <w:r>
              <w:t>7</w:t>
            </w:r>
          </w:p>
        </w:tc>
        <w:tc>
          <w:tcPr>
            <w:tcW w:w="0" w:type="auto"/>
            <w:vAlign w:val="center"/>
            <w:hideMark/>
          </w:tcPr>
          <w:p w14:paraId="1C39C77A" w14:textId="77777777" w:rsidR="003F4FD3" w:rsidRDefault="003F4FD3">
            <w:r>
              <w:t>2.3 Verlust der Anschaulichkeit</w:t>
            </w:r>
          </w:p>
        </w:tc>
        <w:tc>
          <w:tcPr>
            <w:tcW w:w="0" w:type="auto"/>
            <w:vAlign w:val="center"/>
            <w:hideMark/>
          </w:tcPr>
          <w:p w14:paraId="6FA6575A" w14:textId="77777777" w:rsidR="003F4FD3" w:rsidRDefault="003F4FD3">
            <w:r>
              <w:t>Visualisierung als Lernhilfe</w:t>
            </w:r>
          </w:p>
        </w:tc>
        <w:tc>
          <w:tcPr>
            <w:tcW w:w="0" w:type="auto"/>
            <w:vAlign w:val="center"/>
            <w:hideMark/>
          </w:tcPr>
          <w:p w14:paraId="5B721533" w14:textId="77777777" w:rsidR="003F4FD3" w:rsidRDefault="003F4FD3">
            <w:r>
              <w:t>Bild von Lernenden, die mit Simulationen oder virtuellen Modellen arbeiten.</w:t>
            </w:r>
          </w:p>
        </w:tc>
      </w:tr>
      <w:tr w:rsidR="003F4FD3" w14:paraId="795B7B0D" w14:textId="77777777" w:rsidTr="003F4FD3">
        <w:trPr>
          <w:tblCellSpacing w:w="15" w:type="dxa"/>
        </w:trPr>
        <w:tc>
          <w:tcPr>
            <w:tcW w:w="0" w:type="auto"/>
            <w:vAlign w:val="center"/>
            <w:hideMark/>
          </w:tcPr>
          <w:p w14:paraId="2EC41A45" w14:textId="77777777" w:rsidR="003F4FD3" w:rsidRDefault="003F4FD3">
            <w:r>
              <w:t>8</w:t>
            </w:r>
          </w:p>
        </w:tc>
        <w:tc>
          <w:tcPr>
            <w:tcW w:w="0" w:type="auto"/>
            <w:vAlign w:val="center"/>
            <w:hideMark/>
          </w:tcPr>
          <w:p w14:paraId="343085AF" w14:textId="77777777" w:rsidR="003F4FD3" w:rsidRDefault="003F4FD3">
            <w:r>
              <w:t>2.4 Ausblick – Funktional-relationales Bezugssystem</w:t>
            </w:r>
          </w:p>
        </w:tc>
        <w:tc>
          <w:tcPr>
            <w:tcW w:w="0" w:type="auto"/>
            <w:vAlign w:val="center"/>
            <w:hideMark/>
          </w:tcPr>
          <w:p w14:paraId="44856264" w14:textId="77777777" w:rsidR="003F4FD3" w:rsidRDefault="003F4FD3">
            <w:r>
              <w:t>Spiralprinzip nach Bruner</w:t>
            </w:r>
          </w:p>
        </w:tc>
        <w:tc>
          <w:tcPr>
            <w:tcW w:w="0" w:type="auto"/>
            <w:vAlign w:val="center"/>
            <w:hideMark/>
          </w:tcPr>
          <w:p w14:paraId="4C1C6BAC" w14:textId="77777777" w:rsidR="003F4FD3" w:rsidRDefault="003F4FD3">
            <w:r>
              <w:t>Spiralförmige Darstellung des Lernprozesses mit wachsendem Abstraktionsniveau.</w:t>
            </w:r>
          </w:p>
        </w:tc>
      </w:tr>
      <w:tr w:rsidR="003F4FD3" w14:paraId="6A833361" w14:textId="77777777" w:rsidTr="003F4FD3">
        <w:trPr>
          <w:tblCellSpacing w:w="15" w:type="dxa"/>
        </w:trPr>
        <w:tc>
          <w:tcPr>
            <w:tcW w:w="0" w:type="auto"/>
            <w:vAlign w:val="center"/>
            <w:hideMark/>
          </w:tcPr>
          <w:p w14:paraId="458C8C32" w14:textId="77777777" w:rsidR="003F4FD3" w:rsidRDefault="003F4FD3">
            <w:r>
              <w:t>9</w:t>
            </w:r>
          </w:p>
        </w:tc>
        <w:tc>
          <w:tcPr>
            <w:tcW w:w="0" w:type="auto"/>
            <w:vAlign w:val="center"/>
            <w:hideMark/>
          </w:tcPr>
          <w:p w14:paraId="3BEB3859" w14:textId="77777777" w:rsidR="003F4FD3" w:rsidRDefault="003F4FD3">
            <w:r>
              <w:t>2.5 Didaktische Empfehlungen</w:t>
            </w:r>
          </w:p>
        </w:tc>
        <w:tc>
          <w:tcPr>
            <w:tcW w:w="0" w:type="auto"/>
            <w:vAlign w:val="center"/>
            <w:hideMark/>
          </w:tcPr>
          <w:p w14:paraId="49DD9489" w14:textId="77777777" w:rsidR="003F4FD3" w:rsidRDefault="003F4FD3">
            <w:r>
              <w:t>Digitale Simulationen &amp; Python-Tools</w:t>
            </w:r>
          </w:p>
        </w:tc>
        <w:tc>
          <w:tcPr>
            <w:tcW w:w="0" w:type="auto"/>
            <w:vAlign w:val="center"/>
            <w:hideMark/>
          </w:tcPr>
          <w:p w14:paraId="54981C51" w14:textId="77777777" w:rsidR="003F4FD3" w:rsidRDefault="003F4FD3">
            <w:r>
              <w:t xml:space="preserve">Screenshot oder Schema einer digitalen Simulation (z. B. GeoGebra oder </w:t>
            </w:r>
            <w:proofErr w:type="spellStart"/>
            <w:r>
              <w:t>Matplotlib</w:t>
            </w:r>
            <w:proofErr w:type="spellEnd"/>
            <w:r>
              <w:t>).</w:t>
            </w:r>
          </w:p>
        </w:tc>
      </w:tr>
    </w:tbl>
    <w:p w14:paraId="3381A6D1" w14:textId="77777777" w:rsidR="0012630D" w:rsidRPr="0094032F" w:rsidRDefault="0012630D" w:rsidP="0094032F"/>
    <w:sectPr w:rsidR="0012630D" w:rsidRPr="0094032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E5984"/>
    <w:multiLevelType w:val="multilevel"/>
    <w:tmpl w:val="DCD6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61C54"/>
    <w:multiLevelType w:val="multilevel"/>
    <w:tmpl w:val="14988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EB5582"/>
    <w:multiLevelType w:val="multilevel"/>
    <w:tmpl w:val="627C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B7F65"/>
    <w:multiLevelType w:val="multilevel"/>
    <w:tmpl w:val="483E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F6B90"/>
    <w:multiLevelType w:val="multilevel"/>
    <w:tmpl w:val="62F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34AF4"/>
    <w:multiLevelType w:val="multilevel"/>
    <w:tmpl w:val="51AC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C13AD"/>
    <w:multiLevelType w:val="multilevel"/>
    <w:tmpl w:val="FA7E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F23CEE"/>
    <w:multiLevelType w:val="multilevel"/>
    <w:tmpl w:val="5A388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EF440B"/>
    <w:multiLevelType w:val="multilevel"/>
    <w:tmpl w:val="48F4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A287F"/>
    <w:multiLevelType w:val="multilevel"/>
    <w:tmpl w:val="B786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0F2BF2"/>
    <w:multiLevelType w:val="multilevel"/>
    <w:tmpl w:val="18A8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DD13EE"/>
    <w:multiLevelType w:val="multilevel"/>
    <w:tmpl w:val="9A203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F3138C"/>
    <w:multiLevelType w:val="multilevel"/>
    <w:tmpl w:val="285C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3490B"/>
    <w:multiLevelType w:val="multilevel"/>
    <w:tmpl w:val="E2E4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33792B"/>
    <w:multiLevelType w:val="multilevel"/>
    <w:tmpl w:val="92A8C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C8284C"/>
    <w:multiLevelType w:val="multilevel"/>
    <w:tmpl w:val="2F0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0D1B8D"/>
    <w:multiLevelType w:val="multilevel"/>
    <w:tmpl w:val="30CE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18629D"/>
    <w:multiLevelType w:val="multilevel"/>
    <w:tmpl w:val="CDE6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0"/>
  </w:num>
  <w:num w:numId="3">
    <w:abstractNumId w:val="16"/>
  </w:num>
  <w:num w:numId="4">
    <w:abstractNumId w:val="12"/>
  </w:num>
  <w:num w:numId="5">
    <w:abstractNumId w:val="8"/>
  </w:num>
  <w:num w:numId="6">
    <w:abstractNumId w:val="9"/>
  </w:num>
  <w:num w:numId="7">
    <w:abstractNumId w:val="6"/>
  </w:num>
  <w:num w:numId="8">
    <w:abstractNumId w:val="5"/>
  </w:num>
  <w:num w:numId="9">
    <w:abstractNumId w:val="13"/>
  </w:num>
  <w:num w:numId="10">
    <w:abstractNumId w:val="15"/>
  </w:num>
  <w:num w:numId="11">
    <w:abstractNumId w:val="4"/>
  </w:num>
  <w:num w:numId="12">
    <w:abstractNumId w:val="2"/>
  </w:num>
  <w:num w:numId="13">
    <w:abstractNumId w:val="0"/>
  </w:num>
  <w:num w:numId="14">
    <w:abstractNumId w:val="17"/>
  </w:num>
  <w:num w:numId="15">
    <w:abstractNumId w:val="7"/>
  </w:num>
  <w:num w:numId="16">
    <w:abstractNumId w:val="14"/>
  </w:num>
  <w:num w:numId="17">
    <w:abstractNumId w:val="1"/>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D32"/>
    <w:rsid w:val="0012630D"/>
    <w:rsid w:val="003F4FD3"/>
    <w:rsid w:val="006A33CF"/>
    <w:rsid w:val="00810D32"/>
    <w:rsid w:val="008871CF"/>
    <w:rsid w:val="00920293"/>
    <w:rsid w:val="0094032F"/>
    <w:rsid w:val="00E6450A"/>
    <w:rsid w:val="00E8141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3A454"/>
  <w15:chartTrackingRefBased/>
  <w15:docId w15:val="{043A6EF3-9287-4D2E-B27E-4B7059986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81413"/>
    <w:pPr>
      <w:spacing w:after="0" w:line="240" w:lineRule="auto"/>
    </w:pPr>
    <w:rPr>
      <w:rFonts w:ascii="Times New Roman" w:eastAsia="Times New Roman" w:hAnsi="Times New Roman" w:cs="Times New Roman"/>
      <w:sz w:val="24"/>
      <w:szCs w:val="24"/>
      <w:lang w:eastAsia="de-DE"/>
    </w:rPr>
  </w:style>
  <w:style w:type="paragraph" w:styleId="berschrift1">
    <w:name w:val="heading 1"/>
    <w:basedOn w:val="Standard"/>
    <w:next w:val="Standard"/>
    <w:link w:val="berschrift1Zchn"/>
    <w:uiPriority w:val="9"/>
    <w:qFormat/>
    <w:rsid w:val="0094032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link w:val="berschrift2Zchn"/>
    <w:uiPriority w:val="9"/>
    <w:qFormat/>
    <w:rsid w:val="00810D32"/>
    <w:pPr>
      <w:spacing w:before="100" w:beforeAutospacing="1" w:after="100" w:afterAutospacing="1"/>
      <w:outlineLvl w:val="1"/>
    </w:pPr>
    <w:rPr>
      <w:b/>
      <w:bCs/>
      <w:sz w:val="36"/>
      <w:szCs w:val="36"/>
    </w:rPr>
  </w:style>
  <w:style w:type="paragraph" w:styleId="berschrift3">
    <w:name w:val="heading 3"/>
    <w:basedOn w:val="Standard"/>
    <w:link w:val="berschrift3Zchn"/>
    <w:uiPriority w:val="9"/>
    <w:qFormat/>
    <w:rsid w:val="00810D32"/>
    <w:pPr>
      <w:spacing w:before="100" w:beforeAutospacing="1" w:after="100" w:afterAutospacing="1"/>
      <w:outlineLvl w:val="2"/>
    </w:pPr>
    <w:rPr>
      <w:b/>
      <w:bCs/>
      <w:sz w:val="27"/>
      <w:szCs w:val="27"/>
    </w:rPr>
  </w:style>
  <w:style w:type="paragraph" w:styleId="berschrift4">
    <w:name w:val="heading 4"/>
    <w:basedOn w:val="Standard"/>
    <w:link w:val="berschrift4Zchn"/>
    <w:uiPriority w:val="9"/>
    <w:qFormat/>
    <w:rsid w:val="00810D32"/>
    <w:pPr>
      <w:spacing w:before="100" w:beforeAutospacing="1" w:after="100" w:afterAutospacing="1"/>
      <w:outlineLvl w:val="3"/>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810D32"/>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810D32"/>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810D32"/>
    <w:rPr>
      <w:rFonts w:ascii="Times New Roman" w:eastAsia="Times New Roman" w:hAnsi="Times New Roman" w:cs="Times New Roman"/>
      <w:b/>
      <w:bCs/>
      <w:sz w:val="24"/>
      <w:szCs w:val="24"/>
      <w:lang w:eastAsia="de-DE"/>
    </w:rPr>
  </w:style>
  <w:style w:type="character" w:styleId="Fett">
    <w:name w:val="Strong"/>
    <w:basedOn w:val="Absatz-Standardschriftart"/>
    <w:uiPriority w:val="22"/>
    <w:qFormat/>
    <w:rsid w:val="00810D32"/>
    <w:rPr>
      <w:b/>
      <w:bCs/>
    </w:rPr>
  </w:style>
  <w:style w:type="paragraph" w:styleId="StandardWeb">
    <w:name w:val="Normal (Web)"/>
    <w:basedOn w:val="Standard"/>
    <w:uiPriority w:val="99"/>
    <w:semiHidden/>
    <w:unhideWhenUsed/>
    <w:rsid w:val="00810D32"/>
    <w:pPr>
      <w:spacing w:before="100" w:beforeAutospacing="1" w:after="100" w:afterAutospacing="1"/>
    </w:pPr>
  </w:style>
  <w:style w:type="character" w:styleId="Hervorhebung">
    <w:name w:val="Emphasis"/>
    <w:basedOn w:val="Absatz-Standardschriftart"/>
    <w:uiPriority w:val="20"/>
    <w:qFormat/>
    <w:rsid w:val="00810D32"/>
    <w:rPr>
      <w:i/>
      <w:iCs/>
    </w:rPr>
  </w:style>
  <w:style w:type="character" w:customStyle="1" w:styleId="berschrift1Zchn">
    <w:name w:val="Überschrift 1 Zchn"/>
    <w:basedOn w:val="Absatz-Standardschriftart"/>
    <w:link w:val="berschrift1"/>
    <w:uiPriority w:val="9"/>
    <w:rsid w:val="0094032F"/>
    <w:rPr>
      <w:rFonts w:asciiTheme="majorHAnsi" w:eastAsiaTheme="majorEastAsia" w:hAnsiTheme="majorHAnsi" w:cstheme="majorBidi"/>
      <w:color w:val="2F5496" w:themeColor="accent1" w:themeShade="BF"/>
      <w:sz w:val="32"/>
      <w:szCs w:val="32"/>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457486">
      <w:bodyDiv w:val="1"/>
      <w:marLeft w:val="0"/>
      <w:marRight w:val="0"/>
      <w:marTop w:val="0"/>
      <w:marBottom w:val="0"/>
      <w:divBdr>
        <w:top w:val="none" w:sz="0" w:space="0" w:color="auto"/>
        <w:left w:val="none" w:sz="0" w:space="0" w:color="auto"/>
        <w:bottom w:val="none" w:sz="0" w:space="0" w:color="auto"/>
        <w:right w:val="none" w:sz="0" w:space="0" w:color="auto"/>
      </w:divBdr>
    </w:div>
    <w:div w:id="970019871">
      <w:bodyDiv w:val="1"/>
      <w:marLeft w:val="0"/>
      <w:marRight w:val="0"/>
      <w:marTop w:val="0"/>
      <w:marBottom w:val="0"/>
      <w:divBdr>
        <w:top w:val="none" w:sz="0" w:space="0" w:color="auto"/>
        <w:left w:val="none" w:sz="0" w:space="0" w:color="auto"/>
        <w:bottom w:val="none" w:sz="0" w:space="0" w:color="auto"/>
        <w:right w:val="none" w:sz="0" w:space="0" w:color="auto"/>
      </w:divBdr>
    </w:div>
    <w:div w:id="1501771643">
      <w:bodyDiv w:val="1"/>
      <w:marLeft w:val="0"/>
      <w:marRight w:val="0"/>
      <w:marTop w:val="0"/>
      <w:marBottom w:val="0"/>
      <w:divBdr>
        <w:top w:val="none" w:sz="0" w:space="0" w:color="auto"/>
        <w:left w:val="none" w:sz="0" w:space="0" w:color="auto"/>
        <w:bottom w:val="none" w:sz="0" w:space="0" w:color="auto"/>
        <w:right w:val="none" w:sz="0" w:space="0" w:color="auto"/>
      </w:divBdr>
    </w:div>
    <w:div w:id="2042394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1415</Words>
  <Characters>8920</Characters>
  <Application>Microsoft Office Word</Application>
  <DocSecurity>0</DocSecurity>
  <Lines>74</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2025-05-25T04:24:00Z</dcterms:created>
  <dcterms:modified xsi:type="dcterms:W3CDTF">2025-05-25T05:58:00Z</dcterms:modified>
</cp:coreProperties>
</file>