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32B6A" w14:textId="77777777" w:rsidR="006F109E" w:rsidRPr="006F109E" w:rsidRDefault="006F109E" w:rsidP="006F109E">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6F109E">
        <w:rPr>
          <w:rFonts w:ascii="Times New Roman" w:eastAsia="Times New Roman" w:hAnsi="Times New Roman" w:cs="Times New Roman"/>
          <w:b/>
          <w:bCs/>
          <w:sz w:val="36"/>
          <w:szCs w:val="36"/>
          <w:lang w:eastAsia="de-DE"/>
        </w:rPr>
        <w:t>Kapitel 2 – Didaktisch-methodischer Zugang</w:t>
      </w:r>
    </w:p>
    <w:p w14:paraId="3A754AA3" w14:textId="77777777" w:rsidR="006F109E" w:rsidRPr="006F109E" w:rsidRDefault="006F109E" w:rsidP="006F109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F109E">
        <w:rPr>
          <w:rFonts w:ascii="Times New Roman" w:eastAsia="Times New Roman" w:hAnsi="Times New Roman" w:cs="Times New Roman"/>
          <w:b/>
          <w:bCs/>
          <w:sz w:val="27"/>
          <w:szCs w:val="27"/>
          <w:lang w:eastAsia="de-DE"/>
        </w:rPr>
        <w:t>2.1 Zielrichtung des didaktisch-methodischen Zugangs</w:t>
      </w:r>
    </w:p>
    <w:p w14:paraId="40BD33D8" w14:textId="77777777" w:rsidR="006F109E" w:rsidRPr="006F109E" w:rsidRDefault="006F109E" w:rsidP="006F109E">
      <w:p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Dieses Kapitel erläutert die zentralen didaktischen und methodischen Überlegungen, die dem Aufbau und der Vermittlung des sogenannten Empfangsdreiecks zugrunde liegen. Das Empfangsdreieck dient als zentrales Strukturmodell, das technische, mathematische und physikalische Inhalte miteinander verbindet. Ziel ist es, Lernende über rein formale Rechenprozesse hinauszuführen und ihnen ein tiefes Verständnis für den Aufbau und die Bedeutung räumlicher, signalbasierter Strukturen zu vermitteln.</w:t>
      </w:r>
    </w:p>
    <w:p w14:paraId="357ABD23" w14:textId="77777777" w:rsidR="006F109E" w:rsidRPr="006F109E" w:rsidRDefault="006F109E" w:rsidP="006F109E">
      <w:p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Dabei wird Wert gelegt auf die Förderung von raumgeometrischem Denken, auf das Erkennen funktionaler Zusammenhänge und auf die bewusste Reflexion des Mess- und Deutungsprozesses. Der Zugang orientiert sich an konstruktivistischen Lehr-Lern-Prinzipien, die Erkenntnisgewinn nicht durch passive Aufnahme, sondern durch aktives Erforschen fördern. Grundlage bilden sowohl aktuelle fachdidaktische Forschung als auch Erfahrungswerte aus unterrichtspraktischen Zusammenhängen.</w:t>
      </w:r>
    </w:p>
    <w:p w14:paraId="40B6AF1F" w14:textId="77777777" w:rsidR="006F109E" w:rsidRPr="006F109E" w:rsidRDefault="006F109E" w:rsidP="006F109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F109E">
        <w:rPr>
          <w:rFonts w:ascii="Times New Roman" w:eastAsia="Times New Roman" w:hAnsi="Times New Roman" w:cs="Times New Roman"/>
          <w:b/>
          <w:bCs/>
          <w:sz w:val="27"/>
          <w:szCs w:val="27"/>
          <w:lang w:eastAsia="de-DE"/>
        </w:rPr>
        <w:t>2.2 Fachliche Anforderungen und Lernziele</w:t>
      </w:r>
    </w:p>
    <w:p w14:paraId="3B691613" w14:textId="77777777" w:rsidR="006F109E" w:rsidRPr="006F109E" w:rsidRDefault="006F109E" w:rsidP="006F109E">
      <w:p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Im Zentrum des methodisch-didaktischen Konzepts steht die Idee, Schülerinnen und Schüler bzw. Studierende in die Lage zu versetzen, die Struktur physikalischer Messprozesse selbstständig zu erschließen. Das geometrische Modell des Empfangsdreiecks dient dabei als exemplarisches Medium.</w:t>
      </w:r>
    </w:p>
    <w:p w14:paraId="49809A43" w14:textId="77777777" w:rsidR="006F109E" w:rsidRPr="006F109E" w:rsidRDefault="006F109E" w:rsidP="006F109E">
      <w:p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Zentrale Lernziele sind:</w:t>
      </w:r>
    </w:p>
    <w:p w14:paraId="65AAE17E" w14:textId="77777777" w:rsidR="006F109E" w:rsidRPr="006F109E" w:rsidRDefault="006F109E" w:rsidP="006F109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Verständnis für Bezugssysteme entwickeln:</w:t>
      </w:r>
      <w:r w:rsidRPr="006F109E">
        <w:rPr>
          <w:rFonts w:ascii="Times New Roman" w:eastAsia="Times New Roman" w:hAnsi="Times New Roman" w:cs="Times New Roman"/>
          <w:sz w:val="24"/>
          <w:szCs w:val="24"/>
          <w:lang w:eastAsia="de-DE"/>
        </w:rPr>
        <w:t xml:space="preserve"> Lernende sollen erkennen, dass physikalische und mathematische Aussagen immer an einen definierten Raum gebunden sind. Sie lernen, wie Koordinatensysteme genutzt werden, um Beobachtungen systematisch zu beschreiben.</w:t>
      </w:r>
    </w:p>
    <w:p w14:paraId="679980DA" w14:textId="77777777" w:rsidR="006F109E" w:rsidRPr="006F109E" w:rsidRDefault="006F109E" w:rsidP="006F109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Geometrische Raumkonstruktionen durchführen:</w:t>
      </w:r>
      <w:r w:rsidRPr="006F109E">
        <w:rPr>
          <w:rFonts w:ascii="Times New Roman" w:eastAsia="Times New Roman" w:hAnsi="Times New Roman" w:cs="Times New Roman"/>
          <w:sz w:val="24"/>
          <w:szCs w:val="24"/>
          <w:lang w:eastAsia="de-DE"/>
        </w:rPr>
        <w:t xml:space="preserve"> Mittels geeigneter Werkzeuge (z. B. GeoGebra, CAD-Systeme) sollen Lernende fähig werden, komplexe räumliche Objekte zu konstruieren, zu analysieren und zu verändern. Dabei werden grundlegende Begriffe wie Ebenen, Vektoren, Winkelbeziehungen und Abstände thematisiert.</w:t>
      </w:r>
    </w:p>
    <w:p w14:paraId="06F1227C" w14:textId="77777777" w:rsidR="006F109E" w:rsidRPr="006F109E" w:rsidRDefault="006F109E" w:rsidP="006F109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Messprozesse interpretieren:</w:t>
      </w:r>
      <w:r w:rsidRPr="006F109E">
        <w:rPr>
          <w:rFonts w:ascii="Times New Roman" w:eastAsia="Times New Roman" w:hAnsi="Times New Roman" w:cs="Times New Roman"/>
          <w:sz w:val="24"/>
          <w:szCs w:val="24"/>
          <w:lang w:eastAsia="de-DE"/>
        </w:rPr>
        <w:t xml:space="preserve"> Lernende analysieren die Funktion geometrischer Modelle als Darstellung realer physikalischer Abläufe. Sie übertragen konkrete technische Szenarien in abstrakte Modellformen und lernen deren Grenzen und Aussagekraft zu diskutieren.</w:t>
      </w:r>
    </w:p>
    <w:p w14:paraId="6BC4A91D" w14:textId="77777777" w:rsidR="006F109E" w:rsidRPr="006F109E" w:rsidRDefault="006F109E" w:rsidP="006F109E">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Modelle bewerten und reflektieren:</w:t>
      </w:r>
      <w:r w:rsidRPr="006F109E">
        <w:rPr>
          <w:rFonts w:ascii="Times New Roman" w:eastAsia="Times New Roman" w:hAnsi="Times New Roman" w:cs="Times New Roman"/>
          <w:sz w:val="24"/>
          <w:szCs w:val="24"/>
          <w:lang w:eastAsia="de-DE"/>
        </w:rPr>
        <w:t xml:space="preserve"> Ziel ist es, dass Lernende ein Gespür für die Stärken und Schwächen von Modellen entwickeln. Sie sollen kritisch hinterfragen, wie realitätsnah ein Modell ist und welche Vereinfachungen vorgenommen wurden.</w:t>
      </w:r>
    </w:p>
    <w:p w14:paraId="7298B4F8" w14:textId="77777777" w:rsidR="006F109E" w:rsidRPr="006F109E" w:rsidRDefault="006F109E" w:rsidP="006F109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F109E">
        <w:rPr>
          <w:rFonts w:ascii="Times New Roman" w:eastAsia="Times New Roman" w:hAnsi="Times New Roman" w:cs="Times New Roman"/>
          <w:b/>
          <w:bCs/>
          <w:sz w:val="27"/>
          <w:szCs w:val="27"/>
          <w:lang w:eastAsia="de-DE"/>
        </w:rPr>
        <w:t>2.3 Methodische Prinzipien</w:t>
      </w:r>
    </w:p>
    <w:p w14:paraId="67637C9C" w14:textId="77777777" w:rsidR="006F109E" w:rsidRPr="006F109E" w:rsidRDefault="006F109E" w:rsidP="006F109E">
      <w:p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Der Erfolg des Lernprozesses hängt maßgeblich von der Gestaltung der Lernumgebung und der verwendeten Methoden ab. Die folgenden methodischen Prinzipien bilden die Grundlage des didaktischen Konzepts:</w:t>
      </w:r>
    </w:p>
    <w:p w14:paraId="6EB069E0" w14:textId="77777777" w:rsidR="006F109E" w:rsidRPr="006F109E" w:rsidRDefault="006F109E" w:rsidP="006F109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lastRenderedPageBreak/>
        <w:t>Strukturierung:</w:t>
      </w:r>
      <w:r w:rsidRPr="006F109E">
        <w:rPr>
          <w:rFonts w:ascii="Times New Roman" w:eastAsia="Times New Roman" w:hAnsi="Times New Roman" w:cs="Times New Roman"/>
          <w:sz w:val="24"/>
          <w:szCs w:val="24"/>
          <w:lang w:eastAsia="de-DE"/>
        </w:rPr>
        <w:t xml:space="preserve"> Der Lernprozess wird in klar definierte Phasen unterteilt. Jede Phase baut auf der vorhergehenden auf, wodurch eine kohärente Entwicklung des Lerngegenstands möglich wird. Strukturierung bezieht sich auch auf die Visualisierung räumlicher Verhältnisse durch transparente, nachvollziehbare Modellierungsprozesse.</w:t>
      </w:r>
    </w:p>
    <w:p w14:paraId="00DAA439" w14:textId="77777777" w:rsidR="006F109E" w:rsidRPr="006F109E" w:rsidRDefault="006F109E" w:rsidP="006F109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Iteration:</w:t>
      </w:r>
      <w:r w:rsidRPr="006F109E">
        <w:rPr>
          <w:rFonts w:ascii="Times New Roman" w:eastAsia="Times New Roman" w:hAnsi="Times New Roman" w:cs="Times New Roman"/>
          <w:sz w:val="24"/>
          <w:szCs w:val="24"/>
          <w:lang w:eastAsia="de-DE"/>
        </w:rPr>
        <w:t xml:space="preserve"> Inhalte werden zyklisch wieder aufgegriffen und in neuen Kontexten vertieft. Dadurch wird nicht nur eine Wiederholung, sondern auch eine funktionale Erweiterung des Wissens erreicht. Lernende erkennen, dass mathematische und physikalische Konzepte übertragbar sind.</w:t>
      </w:r>
    </w:p>
    <w:p w14:paraId="5EDADD45" w14:textId="77777777" w:rsidR="006F109E" w:rsidRPr="006F109E" w:rsidRDefault="006F109E" w:rsidP="006F109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Visualisierung:</w:t>
      </w:r>
      <w:r w:rsidRPr="006F109E">
        <w:rPr>
          <w:rFonts w:ascii="Times New Roman" w:eastAsia="Times New Roman" w:hAnsi="Times New Roman" w:cs="Times New Roman"/>
          <w:sz w:val="24"/>
          <w:szCs w:val="24"/>
          <w:lang w:eastAsia="de-DE"/>
        </w:rPr>
        <w:t xml:space="preserve"> Digitale Werkzeuge kommen gezielt zum Einsatz, um komplexe geometrische und physikalische Phänomene sichtbar zu machen. Dabei steht nicht die Technik im Vordergrund, sondern die Unterstützung des Verstehensprozesses durch dynamische, manipulierbare Modelle.</w:t>
      </w:r>
    </w:p>
    <w:p w14:paraId="0D67939C" w14:textId="77777777" w:rsidR="006F109E" w:rsidRPr="006F109E" w:rsidRDefault="006F109E" w:rsidP="006F109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Handlungsorientierung:</w:t>
      </w:r>
      <w:r w:rsidRPr="006F109E">
        <w:rPr>
          <w:rFonts w:ascii="Times New Roman" w:eastAsia="Times New Roman" w:hAnsi="Times New Roman" w:cs="Times New Roman"/>
          <w:sz w:val="24"/>
          <w:szCs w:val="24"/>
          <w:lang w:eastAsia="de-DE"/>
        </w:rPr>
        <w:t xml:space="preserve"> Lernende übernehmen eine aktive Rolle. Sie konstruieren, simulieren, diskutieren und reflektieren eigenständig. Die Aufgaben sind so gestaltet, dass sie eigenständige Hypothesenbildung und exploratives Problemlösen ermöglichen.</w:t>
      </w:r>
    </w:p>
    <w:p w14:paraId="59968A0F" w14:textId="77777777" w:rsidR="006F109E" w:rsidRPr="006F109E" w:rsidRDefault="006F109E" w:rsidP="006F109E">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Reflexion:</w:t>
      </w:r>
      <w:r w:rsidRPr="006F109E">
        <w:rPr>
          <w:rFonts w:ascii="Times New Roman" w:eastAsia="Times New Roman" w:hAnsi="Times New Roman" w:cs="Times New Roman"/>
          <w:sz w:val="24"/>
          <w:szCs w:val="24"/>
          <w:lang w:eastAsia="de-DE"/>
        </w:rPr>
        <w:t xml:space="preserve"> Die Lernenden werden dazu angeleitet, ihr eigenes Denken zu beobachten und kritisch zu hinterfragen. Dies geschieht durch gezielte Reflexionsfragen, Diskussionsphasen und durch das Anlegen eigener Skizzen und </w:t>
      </w:r>
      <w:proofErr w:type="spellStart"/>
      <w:r w:rsidRPr="006F109E">
        <w:rPr>
          <w:rFonts w:ascii="Times New Roman" w:eastAsia="Times New Roman" w:hAnsi="Times New Roman" w:cs="Times New Roman"/>
          <w:sz w:val="24"/>
          <w:szCs w:val="24"/>
          <w:lang w:eastAsia="de-DE"/>
        </w:rPr>
        <w:t>Erklärmodelle</w:t>
      </w:r>
      <w:proofErr w:type="spellEnd"/>
      <w:r w:rsidRPr="006F109E">
        <w:rPr>
          <w:rFonts w:ascii="Times New Roman" w:eastAsia="Times New Roman" w:hAnsi="Times New Roman" w:cs="Times New Roman"/>
          <w:sz w:val="24"/>
          <w:szCs w:val="24"/>
          <w:lang w:eastAsia="de-DE"/>
        </w:rPr>
        <w:t>.</w:t>
      </w:r>
    </w:p>
    <w:p w14:paraId="7F3B38BD" w14:textId="77777777" w:rsidR="006F109E" w:rsidRPr="006F109E" w:rsidRDefault="006F109E" w:rsidP="006F109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F109E">
        <w:rPr>
          <w:rFonts w:ascii="Times New Roman" w:eastAsia="Times New Roman" w:hAnsi="Times New Roman" w:cs="Times New Roman"/>
          <w:b/>
          <w:bCs/>
          <w:sz w:val="27"/>
          <w:szCs w:val="27"/>
          <w:lang w:eastAsia="de-DE"/>
        </w:rPr>
        <w:t>2.4 Didaktischer Mehrwert der Modellbildung</w:t>
      </w:r>
    </w:p>
    <w:p w14:paraId="1DFC9BF4" w14:textId="77777777" w:rsidR="006F109E" w:rsidRPr="006F109E" w:rsidRDefault="006F109E" w:rsidP="006F109E">
      <w:p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Das geometrische Modell des Empfangsdreiecks hat einen besonderen didaktischen Wert. Es schafft eine Verbindung zwischen abstrakter Mathematik und konkreter physikalisch-technischer Realität. Dabei wird das Modell nicht isoliert betrachtet, sondern eingebettet in einen größeren Zusammenhang der Signalinterpretation und Raumorientierung.</w:t>
      </w:r>
    </w:p>
    <w:p w14:paraId="7EF7ABB0" w14:textId="77777777" w:rsidR="006F109E" w:rsidRPr="006F109E" w:rsidRDefault="006F109E" w:rsidP="006F109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Abstraktion und Konkretion:</w:t>
      </w:r>
      <w:r w:rsidRPr="006F109E">
        <w:rPr>
          <w:rFonts w:ascii="Times New Roman" w:eastAsia="Times New Roman" w:hAnsi="Times New Roman" w:cs="Times New Roman"/>
          <w:sz w:val="24"/>
          <w:szCs w:val="24"/>
          <w:lang w:eastAsia="de-DE"/>
        </w:rPr>
        <w:t xml:space="preserve"> Lernende erfahren, wie abstrakte Begriffe (wie z. B. Vektor, Ebene, Schnittpunkt) konkret genutzt werden, um reale Zusammenhänge (z. B. Reflexion, Ortung, Richtung) zu beschreiben.</w:t>
      </w:r>
    </w:p>
    <w:p w14:paraId="7E828D26" w14:textId="77777777" w:rsidR="006F109E" w:rsidRPr="006F109E" w:rsidRDefault="006F109E" w:rsidP="006F109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Mehrdimensionales Denken:</w:t>
      </w:r>
      <w:r w:rsidRPr="006F109E">
        <w:rPr>
          <w:rFonts w:ascii="Times New Roman" w:eastAsia="Times New Roman" w:hAnsi="Times New Roman" w:cs="Times New Roman"/>
          <w:sz w:val="24"/>
          <w:szCs w:val="24"/>
          <w:lang w:eastAsia="de-DE"/>
        </w:rPr>
        <w:t xml:space="preserve"> Der Umgang mit dreidimensionalen Modellen fördert die Fähigkeit, komplexe Systeme zu verstehen und in unterschiedlichen Perspektiven zu analysieren.</w:t>
      </w:r>
    </w:p>
    <w:p w14:paraId="716DE1B7" w14:textId="77777777" w:rsidR="006F109E" w:rsidRPr="006F109E" w:rsidRDefault="006F109E" w:rsidP="006F109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Systemisches Verstehen:</w:t>
      </w:r>
      <w:r w:rsidRPr="006F109E">
        <w:rPr>
          <w:rFonts w:ascii="Times New Roman" w:eastAsia="Times New Roman" w:hAnsi="Times New Roman" w:cs="Times New Roman"/>
          <w:sz w:val="24"/>
          <w:szCs w:val="24"/>
          <w:lang w:eastAsia="de-DE"/>
        </w:rPr>
        <w:t xml:space="preserve"> Das Empfangsdreieck ist mehr als ein geometrisches Objekt. Es symbolisiert ein gesamtes Messsystem mit Sender, Empfänger und reflektierendem Objekt. Lernende erkennen, wie einzelne Komponenten interagieren.</w:t>
      </w:r>
    </w:p>
    <w:p w14:paraId="1F790D83" w14:textId="77777777" w:rsidR="006F109E" w:rsidRPr="006F109E" w:rsidRDefault="006F109E" w:rsidP="006F109E">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Förderung von Transferleistungen:</w:t>
      </w:r>
      <w:r w:rsidRPr="006F109E">
        <w:rPr>
          <w:rFonts w:ascii="Times New Roman" w:eastAsia="Times New Roman" w:hAnsi="Times New Roman" w:cs="Times New Roman"/>
          <w:sz w:val="24"/>
          <w:szCs w:val="24"/>
          <w:lang w:eastAsia="de-DE"/>
        </w:rPr>
        <w:t xml:space="preserve"> Die erworbenen Kompetenzen sind übertragbar – auf technische Systeme, auf Programmierung, auf Datenanalyse oder auf weiterführende mathematische Inhalte.</w:t>
      </w:r>
    </w:p>
    <w:p w14:paraId="020820F4" w14:textId="77777777" w:rsidR="006F109E" w:rsidRPr="006F109E" w:rsidRDefault="006F109E" w:rsidP="006F109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F109E">
        <w:rPr>
          <w:rFonts w:ascii="Times New Roman" w:eastAsia="Times New Roman" w:hAnsi="Times New Roman" w:cs="Times New Roman"/>
          <w:b/>
          <w:bCs/>
          <w:sz w:val="27"/>
          <w:szCs w:val="27"/>
          <w:lang w:eastAsia="de-DE"/>
        </w:rPr>
        <w:t>2.5 Fächerübergreifende Anbindung</w:t>
      </w:r>
    </w:p>
    <w:p w14:paraId="0CE4D343" w14:textId="77777777" w:rsidR="006F109E" w:rsidRPr="006F109E" w:rsidRDefault="006F109E" w:rsidP="006F109E">
      <w:p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Die inhaltliche Struktur und methodische Offenheit des Modells ermöglichen eine Anbindung an zahlreiche Fachgebiete und Bildungsbereiche. Dies unterstützt nicht nur eine nachhaltige Kompetenzentwicklung, sondern fördert auch ein integratives, interdisziplinäres Denken.</w:t>
      </w:r>
    </w:p>
    <w:p w14:paraId="418961AC" w14:textId="77777777" w:rsidR="006F109E" w:rsidRPr="006F109E" w:rsidRDefault="006F109E" w:rsidP="006F109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Mathematik:</w:t>
      </w:r>
      <w:r w:rsidRPr="006F109E">
        <w:rPr>
          <w:rFonts w:ascii="Times New Roman" w:eastAsia="Times New Roman" w:hAnsi="Times New Roman" w:cs="Times New Roman"/>
          <w:sz w:val="24"/>
          <w:szCs w:val="24"/>
          <w:lang w:eastAsia="de-DE"/>
        </w:rPr>
        <w:t xml:space="preserve"> Inhalte wie Vektorgeometrie, Koordinatensysteme, Symmetrie und Transformation werden praxisnah und anschaulich vermittelt. Die Verbindung zu realen Anwendungen erleichtert das Verständnis abstrakter Inhalte.</w:t>
      </w:r>
    </w:p>
    <w:p w14:paraId="4E74D406" w14:textId="77777777" w:rsidR="006F109E" w:rsidRPr="006F109E" w:rsidRDefault="006F109E" w:rsidP="006F109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lastRenderedPageBreak/>
        <w:t>Physik:</w:t>
      </w:r>
      <w:r w:rsidRPr="006F109E">
        <w:rPr>
          <w:rFonts w:ascii="Times New Roman" w:eastAsia="Times New Roman" w:hAnsi="Times New Roman" w:cs="Times New Roman"/>
          <w:sz w:val="24"/>
          <w:szCs w:val="24"/>
          <w:lang w:eastAsia="de-DE"/>
        </w:rPr>
        <w:t xml:space="preserve"> Konzepte wie Strahlungsausbreitung, Reflexion und Messung erhalten durch das Modell eine geometrische Deutung. Damit lassen sich Inhalte aus Optik, Akustik oder Elektrotechnik anschaulich darstellen.</w:t>
      </w:r>
    </w:p>
    <w:p w14:paraId="72F6BED9" w14:textId="77777777" w:rsidR="006F109E" w:rsidRPr="006F109E" w:rsidRDefault="006F109E" w:rsidP="006F109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Technik/Informatik:</w:t>
      </w:r>
      <w:r w:rsidRPr="006F109E">
        <w:rPr>
          <w:rFonts w:ascii="Times New Roman" w:eastAsia="Times New Roman" w:hAnsi="Times New Roman" w:cs="Times New Roman"/>
          <w:sz w:val="24"/>
          <w:szCs w:val="24"/>
          <w:lang w:eastAsia="de-DE"/>
        </w:rPr>
        <w:t xml:space="preserve"> Die Modellbildung kann als Grundlage für technische Simulationen, Algorithmen zur Objekterkennung oder CAD-Konstruktionen dienen. In der Informatik ergibt sich Anschlussfähigkeit z. B. in der Computergrafik oder beim Sensordaten-Processing.</w:t>
      </w:r>
    </w:p>
    <w:p w14:paraId="7F046E69" w14:textId="77777777" w:rsidR="006F109E" w:rsidRPr="006F109E" w:rsidRDefault="006F109E" w:rsidP="006F109E">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b/>
          <w:bCs/>
          <w:sz w:val="24"/>
          <w:szCs w:val="24"/>
          <w:lang w:eastAsia="de-DE"/>
        </w:rPr>
        <w:t>Berufliche Bildung:</w:t>
      </w:r>
      <w:r w:rsidRPr="006F109E">
        <w:rPr>
          <w:rFonts w:ascii="Times New Roman" w:eastAsia="Times New Roman" w:hAnsi="Times New Roman" w:cs="Times New Roman"/>
          <w:sz w:val="24"/>
          <w:szCs w:val="24"/>
          <w:lang w:eastAsia="de-DE"/>
        </w:rPr>
        <w:t xml:space="preserve"> In Ausbildungsberufen der Mechatronik, Konstruktion, Luft- und Raumfahrt oder Optoelektronik lässt sich das Modell konkret als didaktisches Werkzeug einsetzen. Lernende erkennen den praktischen Wert mathematisch-physikalischer Modellierung für ihre spätere Tätigkeit.</w:t>
      </w:r>
    </w:p>
    <w:p w14:paraId="680C9B6B" w14:textId="77777777" w:rsidR="006F109E" w:rsidRPr="006F109E" w:rsidRDefault="006F109E" w:rsidP="006F109E">
      <w:pPr>
        <w:spacing w:after="0"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pict w14:anchorId="15FDAE44">
          <v:rect id="_x0000_i1025" style="width:0;height:1.5pt" o:hralign="center" o:hrstd="t" o:hr="t" fillcolor="#a0a0a0" stroked="f"/>
        </w:pict>
      </w:r>
    </w:p>
    <w:p w14:paraId="46B339A7" w14:textId="77777777" w:rsidR="006F109E" w:rsidRPr="006F109E" w:rsidRDefault="006F109E" w:rsidP="006F109E">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6F109E">
        <w:rPr>
          <w:rFonts w:ascii="Times New Roman" w:eastAsia="Times New Roman" w:hAnsi="Times New Roman" w:cs="Times New Roman"/>
          <w:b/>
          <w:bCs/>
          <w:sz w:val="27"/>
          <w:szCs w:val="27"/>
          <w:lang w:eastAsia="de-DE"/>
        </w:rPr>
        <w:t>Literaturverzeichnis</w:t>
      </w:r>
    </w:p>
    <w:p w14:paraId="64B79714" w14:textId="77777777" w:rsidR="006F109E" w:rsidRPr="006F109E" w:rsidRDefault="006F109E" w:rsidP="006F109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 xml:space="preserve">Bruner, J. S. (1960). </w:t>
      </w:r>
      <w:r w:rsidRPr="006F109E">
        <w:rPr>
          <w:rFonts w:ascii="Times New Roman" w:eastAsia="Times New Roman" w:hAnsi="Times New Roman" w:cs="Times New Roman"/>
          <w:i/>
          <w:iCs/>
          <w:sz w:val="24"/>
          <w:szCs w:val="24"/>
          <w:lang w:eastAsia="de-DE"/>
        </w:rPr>
        <w:t xml:space="preserve">The </w:t>
      </w:r>
      <w:proofErr w:type="spellStart"/>
      <w:r w:rsidRPr="006F109E">
        <w:rPr>
          <w:rFonts w:ascii="Times New Roman" w:eastAsia="Times New Roman" w:hAnsi="Times New Roman" w:cs="Times New Roman"/>
          <w:i/>
          <w:iCs/>
          <w:sz w:val="24"/>
          <w:szCs w:val="24"/>
          <w:lang w:eastAsia="de-DE"/>
        </w:rPr>
        <w:t>Process</w:t>
      </w:r>
      <w:proofErr w:type="spellEnd"/>
      <w:r w:rsidRPr="006F109E">
        <w:rPr>
          <w:rFonts w:ascii="Times New Roman" w:eastAsia="Times New Roman" w:hAnsi="Times New Roman" w:cs="Times New Roman"/>
          <w:i/>
          <w:iCs/>
          <w:sz w:val="24"/>
          <w:szCs w:val="24"/>
          <w:lang w:eastAsia="de-DE"/>
        </w:rPr>
        <w:t xml:space="preserve"> </w:t>
      </w:r>
      <w:proofErr w:type="spellStart"/>
      <w:r w:rsidRPr="006F109E">
        <w:rPr>
          <w:rFonts w:ascii="Times New Roman" w:eastAsia="Times New Roman" w:hAnsi="Times New Roman" w:cs="Times New Roman"/>
          <w:i/>
          <w:iCs/>
          <w:sz w:val="24"/>
          <w:szCs w:val="24"/>
          <w:lang w:eastAsia="de-DE"/>
        </w:rPr>
        <w:t>of</w:t>
      </w:r>
      <w:proofErr w:type="spellEnd"/>
      <w:r w:rsidRPr="006F109E">
        <w:rPr>
          <w:rFonts w:ascii="Times New Roman" w:eastAsia="Times New Roman" w:hAnsi="Times New Roman" w:cs="Times New Roman"/>
          <w:i/>
          <w:iCs/>
          <w:sz w:val="24"/>
          <w:szCs w:val="24"/>
          <w:lang w:eastAsia="de-DE"/>
        </w:rPr>
        <w:t xml:space="preserve"> Education</w:t>
      </w:r>
      <w:r w:rsidRPr="006F109E">
        <w:rPr>
          <w:rFonts w:ascii="Times New Roman" w:eastAsia="Times New Roman" w:hAnsi="Times New Roman" w:cs="Times New Roman"/>
          <w:sz w:val="24"/>
          <w:szCs w:val="24"/>
          <w:lang w:eastAsia="de-DE"/>
        </w:rPr>
        <w:t>. Harvard University Press.</w:t>
      </w:r>
    </w:p>
    <w:p w14:paraId="722BCB2E" w14:textId="77777777" w:rsidR="006F109E" w:rsidRPr="006F109E" w:rsidRDefault="006F109E" w:rsidP="006F109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 xml:space="preserve">Griese, H. (2006). </w:t>
      </w:r>
      <w:r w:rsidRPr="006F109E">
        <w:rPr>
          <w:rFonts w:ascii="Times New Roman" w:eastAsia="Times New Roman" w:hAnsi="Times New Roman" w:cs="Times New Roman"/>
          <w:i/>
          <w:iCs/>
          <w:sz w:val="24"/>
          <w:szCs w:val="24"/>
          <w:lang w:eastAsia="de-DE"/>
        </w:rPr>
        <w:t>Didaktik der Technik</w:t>
      </w:r>
      <w:r w:rsidRPr="006F109E">
        <w:rPr>
          <w:rFonts w:ascii="Times New Roman" w:eastAsia="Times New Roman" w:hAnsi="Times New Roman" w:cs="Times New Roman"/>
          <w:sz w:val="24"/>
          <w:szCs w:val="24"/>
          <w:lang w:eastAsia="de-DE"/>
        </w:rPr>
        <w:t>. Schneider Verlag Hohengehren.</w:t>
      </w:r>
    </w:p>
    <w:p w14:paraId="151E99A7" w14:textId="77777777" w:rsidR="006F109E" w:rsidRPr="006F109E" w:rsidRDefault="006F109E" w:rsidP="006F109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 xml:space="preserve">Tulodziecki, G., Herzig, B., &amp; Blömeke, S. (2017). </w:t>
      </w:r>
      <w:r w:rsidRPr="006F109E">
        <w:rPr>
          <w:rFonts w:ascii="Times New Roman" w:eastAsia="Times New Roman" w:hAnsi="Times New Roman" w:cs="Times New Roman"/>
          <w:i/>
          <w:iCs/>
          <w:sz w:val="24"/>
          <w:szCs w:val="24"/>
          <w:lang w:eastAsia="de-DE"/>
        </w:rPr>
        <w:t>Didaktik: Grundlagen der Unterrichtsgestaltung</w:t>
      </w:r>
      <w:r w:rsidRPr="006F109E">
        <w:rPr>
          <w:rFonts w:ascii="Times New Roman" w:eastAsia="Times New Roman" w:hAnsi="Times New Roman" w:cs="Times New Roman"/>
          <w:sz w:val="24"/>
          <w:szCs w:val="24"/>
          <w:lang w:eastAsia="de-DE"/>
        </w:rPr>
        <w:t>. Cornelsen Scriptor.</w:t>
      </w:r>
    </w:p>
    <w:p w14:paraId="51F94B8C" w14:textId="77777777" w:rsidR="006F109E" w:rsidRPr="006F109E" w:rsidRDefault="006F109E" w:rsidP="006F109E">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6F109E">
        <w:rPr>
          <w:rFonts w:ascii="Times New Roman" w:eastAsia="Times New Roman" w:hAnsi="Times New Roman" w:cs="Times New Roman"/>
          <w:sz w:val="24"/>
          <w:szCs w:val="24"/>
          <w:lang w:eastAsia="de-DE"/>
        </w:rPr>
        <w:t xml:space="preserve">Roth, W.-M., &amp; </w:t>
      </w:r>
      <w:proofErr w:type="spellStart"/>
      <w:r w:rsidRPr="006F109E">
        <w:rPr>
          <w:rFonts w:ascii="Times New Roman" w:eastAsia="Times New Roman" w:hAnsi="Times New Roman" w:cs="Times New Roman"/>
          <w:sz w:val="24"/>
          <w:szCs w:val="24"/>
          <w:lang w:eastAsia="de-DE"/>
        </w:rPr>
        <w:t>Jorns</w:t>
      </w:r>
      <w:proofErr w:type="spellEnd"/>
      <w:r w:rsidRPr="006F109E">
        <w:rPr>
          <w:rFonts w:ascii="Times New Roman" w:eastAsia="Times New Roman" w:hAnsi="Times New Roman" w:cs="Times New Roman"/>
          <w:sz w:val="24"/>
          <w:szCs w:val="24"/>
          <w:lang w:eastAsia="de-DE"/>
        </w:rPr>
        <w:t xml:space="preserve">, R. (2014). </w:t>
      </w:r>
      <w:r w:rsidRPr="006F109E">
        <w:rPr>
          <w:rFonts w:ascii="Times New Roman" w:eastAsia="Times New Roman" w:hAnsi="Times New Roman" w:cs="Times New Roman"/>
          <w:i/>
          <w:iCs/>
          <w:sz w:val="24"/>
          <w:szCs w:val="24"/>
          <w:lang w:eastAsia="de-DE"/>
        </w:rPr>
        <w:t>Bildung durch Wissenschaft</w:t>
      </w:r>
      <w:r w:rsidRPr="006F109E">
        <w:rPr>
          <w:rFonts w:ascii="Times New Roman" w:eastAsia="Times New Roman" w:hAnsi="Times New Roman" w:cs="Times New Roman"/>
          <w:sz w:val="24"/>
          <w:szCs w:val="24"/>
          <w:lang w:eastAsia="de-DE"/>
        </w:rPr>
        <w:t>. Springer VS.</w:t>
      </w:r>
    </w:p>
    <w:p w14:paraId="05F49010" w14:textId="77777777" w:rsidR="00E37DB6" w:rsidRDefault="00E37DB6"/>
    <w:sectPr w:rsidR="00E37DB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16CAA"/>
    <w:multiLevelType w:val="multilevel"/>
    <w:tmpl w:val="26D8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B0367"/>
    <w:multiLevelType w:val="multilevel"/>
    <w:tmpl w:val="836E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80E36"/>
    <w:multiLevelType w:val="multilevel"/>
    <w:tmpl w:val="D8F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720B1"/>
    <w:multiLevelType w:val="multilevel"/>
    <w:tmpl w:val="DDB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CD45A5"/>
    <w:multiLevelType w:val="multilevel"/>
    <w:tmpl w:val="16DC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9E"/>
    <w:rsid w:val="006F109E"/>
    <w:rsid w:val="008871CF"/>
    <w:rsid w:val="00E37DB6"/>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2A94"/>
  <w15:chartTrackingRefBased/>
  <w15:docId w15:val="{D3C5F4AD-2D3B-430E-A4BF-1494C8355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6F109E"/>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6F109E"/>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6F109E"/>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6F109E"/>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6F109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6F109E"/>
    <w:rPr>
      <w:b/>
      <w:bCs/>
    </w:rPr>
  </w:style>
  <w:style w:type="character" w:styleId="Hervorhebung">
    <w:name w:val="Emphasis"/>
    <w:basedOn w:val="Absatz-Standardschriftart"/>
    <w:uiPriority w:val="20"/>
    <w:qFormat/>
    <w:rsid w:val="006F10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426676">
      <w:bodyDiv w:val="1"/>
      <w:marLeft w:val="0"/>
      <w:marRight w:val="0"/>
      <w:marTop w:val="0"/>
      <w:marBottom w:val="0"/>
      <w:divBdr>
        <w:top w:val="none" w:sz="0" w:space="0" w:color="auto"/>
        <w:left w:val="none" w:sz="0" w:space="0" w:color="auto"/>
        <w:bottom w:val="none" w:sz="0" w:space="0" w:color="auto"/>
        <w:right w:val="none" w:sz="0" w:space="0" w:color="auto"/>
      </w:divBdr>
      <w:divsChild>
        <w:div w:id="2073112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5964</Characters>
  <Application>Microsoft Office Word</Application>
  <DocSecurity>0</DocSecurity>
  <Lines>49</Lines>
  <Paragraphs>13</Paragraphs>
  <ScaleCrop>false</ScaleCrop>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2025-05-24T04:03:00Z</dcterms:created>
  <dcterms:modified xsi:type="dcterms:W3CDTF">2025-05-24T04:04:00Z</dcterms:modified>
</cp:coreProperties>
</file>