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A6D52" w14:textId="77777777" w:rsidR="002262A8" w:rsidRDefault="002262A8" w:rsidP="002262A8">
      <w:pPr>
        <w:pStyle w:val="berschrift1"/>
      </w:pPr>
      <w:r>
        <w:t>Kapitel 4 – Didaktische und methodische Innovation durch das Funktionale Raum-Zeit-Koordinatensystem (FRZK)</w:t>
      </w:r>
    </w:p>
    <w:p w14:paraId="7D50DB58" w14:textId="77777777" w:rsidR="002262A8" w:rsidRDefault="002262A8" w:rsidP="002262A8">
      <w:pPr>
        <w:pStyle w:val="berschrift2"/>
      </w:pPr>
      <w:r>
        <w:t>4.1 Einleitung</w:t>
      </w:r>
    </w:p>
    <w:p w14:paraId="21FBC937" w14:textId="77777777" w:rsidR="002262A8" w:rsidRDefault="002262A8" w:rsidP="002262A8">
      <w:pPr>
        <w:pStyle w:val="StandardWeb"/>
      </w:pPr>
      <w:r>
        <w:t>Traditionelle Modelle in der Physik beschreiben Bewegung, Kraft und Energie in einem Koordinatensystem, das oft als selbstverständlicher, technischer Rahmen gilt. Das in dieser Arbeit eingeführte Funktionale Raum-Zeit-Koordinatensystem (FRZK) bricht mit dieser impliziten Annahme und stellt das Bezugssystem selbst in den Mittelpunkt der Betrachtung – sowohl theoretisch als auch didaktisch.</w:t>
      </w:r>
    </w:p>
    <w:p w14:paraId="5362FB67" w14:textId="77777777" w:rsidR="002262A8" w:rsidRDefault="002262A8" w:rsidP="002262A8">
      <w:pPr>
        <w:pStyle w:val="StandardWeb"/>
      </w:pPr>
      <w:r>
        <w:t xml:space="preserve">Das FRZK modelliert physikalische Systeme über explizite Zeitfunktionen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Dadurch wird die Bewegung nicht nur mathematisch erfasst, sondern auch als reflektierbare Struktur verstehbar. Dieser Ansatz hat zwei weitreichende Konsequenzen:</w:t>
      </w:r>
    </w:p>
    <w:p w14:paraId="17536FA5" w14:textId="77777777" w:rsidR="002262A8" w:rsidRDefault="002262A8" w:rsidP="002262A8">
      <w:pPr>
        <w:pStyle w:val="StandardWeb"/>
        <w:numPr>
          <w:ilvl w:val="0"/>
          <w:numId w:val="3"/>
        </w:numPr>
      </w:pPr>
      <w:r>
        <w:t>Methodisch erlaubt er die präzise, reproduzierbare und simulationsfähige Darstellung physikalischer Prozesse.</w:t>
      </w:r>
    </w:p>
    <w:p w14:paraId="76EEBC85" w14:textId="77777777" w:rsidR="002262A8" w:rsidRDefault="002262A8" w:rsidP="002262A8">
      <w:pPr>
        <w:pStyle w:val="StandardWeb"/>
        <w:numPr>
          <w:ilvl w:val="0"/>
          <w:numId w:val="3"/>
        </w:numPr>
      </w:pPr>
      <w:r>
        <w:t>Didaktisch eröffnet er einen innovativen Zugang zur Physik: Lernende lernen nicht nur physikalische Inhalte, sondern modellieren und reflektieren ihr eigenes Bezugssystem.</w:t>
      </w:r>
    </w:p>
    <w:p w14:paraId="3FC32145" w14:textId="77777777" w:rsidR="002262A8" w:rsidRDefault="002262A8" w:rsidP="002262A8">
      <w:pPr>
        <w:pStyle w:val="StandardWeb"/>
      </w:pPr>
      <w:r>
        <w:t>Diese Verbindung von mathematischer Stringenz und konzeptuellem Lernen stellt eine genuine Innovation dar, die im folgenden Abschnitt detailliert entfaltet wird.</w:t>
      </w:r>
    </w:p>
    <w:p w14:paraId="3BE01DB9" w14:textId="77777777" w:rsidR="002262A8" w:rsidRDefault="002262A8" w:rsidP="002262A8">
      <w:pPr>
        <w:pStyle w:val="berschrift2"/>
      </w:pPr>
      <w:r>
        <w:t>4.2 Didaktische Innovation durch Koordinatenreflexion</w:t>
      </w:r>
    </w:p>
    <w:p w14:paraId="1FE10AE4" w14:textId="77777777" w:rsidR="002262A8" w:rsidRDefault="002262A8" w:rsidP="002262A8">
      <w:pPr>
        <w:pStyle w:val="berschrift3"/>
      </w:pPr>
      <w:r>
        <w:t>1. Konzeptwechsel als Ziel naturwissenschaftlicher Bildung</w:t>
      </w:r>
    </w:p>
    <w:p w14:paraId="176B87A6" w14:textId="77777777" w:rsidR="002262A8" w:rsidRDefault="002262A8" w:rsidP="002262A8">
      <w:pPr>
        <w:pStyle w:val="StandardWeb"/>
      </w:pPr>
      <w:r>
        <w:t>Ein zentrales Ziel moderner naturwissenschaftlicher Bildung ist der konzeptuelle Wandel – das bewusste Ersetzen alltagssprachlicher oder naiver Vorstellungen durch wissenschaftlich fundierte Denk- und Modellstrukturen [1]. Gerade in der Physik existiert eine Kluft zwischen dem intuitiven Raumverständnis („der Raum ist da“) und dem physikalischen Modellverständnis („der Raum ist ein durch Funktionen erzeugtes Koordinatensystem“).</w:t>
      </w:r>
    </w:p>
    <w:p w14:paraId="133FB556" w14:textId="77777777" w:rsidR="002262A8" w:rsidRDefault="002262A8" w:rsidP="002262A8">
      <w:pPr>
        <w:pStyle w:val="StandardWeb"/>
      </w:pPr>
      <w:r>
        <w:t>Das Funktionale Raum-Zeit-Koordinatensystem (FRZK) bietet die Möglichkeit, diesen Lernwandel nicht nur zu begleiten, sondern ihn systematisch zu initiieren. Es ersetzt implizite Hintergrundannahmen durch explizite funktionale Modellierung und macht dabei die Bezugssysteme zum Lerngegenstand selbst.</w:t>
      </w:r>
    </w:p>
    <w:p w14:paraId="0E1C6968" w14:textId="77777777" w:rsidR="002262A8" w:rsidRDefault="002262A8" w:rsidP="002262A8">
      <w:pPr>
        <w:pStyle w:val="berschrift3"/>
      </w:pPr>
      <w:r>
        <w:t>2. Koordinatenreflexion als didaktische Innovation</w:t>
      </w:r>
    </w:p>
    <w:p w14:paraId="730460FE" w14:textId="77777777" w:rsidR="002262A8" w:rsidRDefault="002262A8" w:rsidP="002262A8">
      <w:pPr>
        <w:pStyle w:val="StandardWeb"/>
      </w:pPr>
      <w:r>
        <w:t>Die entscheidende Innovation des FRZK liegt in der Reflexionsanregung über das Bezugssystem selbst. Während klassische Koordinatensysteme meist als „gegeben“ behandelt werden, zwingt das FRZK Lernende zur bewussten Modellbildung:</w:t>
      </w:r>
    </w:p>
    <w:p w14:paraId="0A09E28B" w14:textId="77777777" w:rsidR="002262A8" w:rsidRDefault="002262A8" w:rsidP="002262A8">
      <w:pPr>
        <w:pStyle w:val="StandardWeb"/>
        <w:numPr>
          <w:ilvl w:val="0"/>
          <w:numId w:val="4"/>
        </w:numPr>
      </w:pPr>
      <w:r>
        <w:lastRenderedPageBreak/>
        <w:t>Was gilt als Raum?</w:t>
      </w:r>
    </w:p>
    <w:p w14:paraId="3844A21F" w14:textId="77777777" w:rsidR="002262A8" w:rsidRDefault="002262A8" w:rsidP="002262A8">
      <w:pPr>
        <w:pStyle w:val="StandardWeb"/>
        <w:numPr>
          <w:ilvl w:val="0"/>
          <w:numId w:val="4"/>
        </w:numPr>
      </w:pPr>
      <w:r>
        <w:t>Wie verläuft Zeit?</w:t>
      </w:r>
    </w:p>
    <w:p w14:paraId="3C0C5EDF" w14:textId="77777777" w:rsidR="002262A8" w:rsidRDefault="002262A8" w:rsidP="002262A8">
      <w:pPr>
        <w:pStyle w:val="StandardWeb"/>
        <w:numPr>
          <w:ilvl w:val="0"/>
          <w:numId w:val="4"/>
        </w:numPr>
      </w:pPr>
      <w:r>
        <w:t>Was heißt „Position“ in einem dynamischen System?</w:t>
      </w:r>
    </w:p>
    <w:p w14:paraId="41A06229" w14:textId="77777777" w:rsidR="002262A8" w:rsidRDefault="002262A8" w:rsidP="002262A8">
      <w:pPr>
        <w:pStyle w:val="StandardWeb"/>
      </w:pPr>
      <w:r>
        <w:t xml:space="preserve">Dadurch wird ein Prozess in Gang gesetzt, den Karagöz &amp; </w:t>
      </w:r>
      <w:proofErr w:type="spellStart"/>
      <w:r>
        <w:t>Niedderer</w:t>
      </w:r>
      <w:proofErr w:type="spellEnd"/>
      <w:r>
        <w:t xml:space="preserve"> als „Strukturwandel vom Containerraum zum Koordinatenraum“ beschreiben [2]. Lernende entdecken, dass Raum-Zeit-Beobachtung kein Abbild der Wirklichkeit, sondern das Ergebnis einer Strukturentscheidung ist.</w:t>
      </w:r>
    </w:p>
    <w:p w14:paraId="40E28DDF" w14:textId="77777777" w:rsidR="002262A8" w:rsidRDefault="002262A8" w:rsidP="002262A8">
      <w:pPr>
        <w:pStyle w:val="StandardWeb"/>
      </w:pPr>
      <w:r>
        <w:t>Diese Erkenntnis fördert:</w:t>
      </w:r>
    </w:p>
    <w:p w14:paraId="4E6968B8" w14:textId="77777777" w:rsidR="002262A8" w:rsidRDefault="002262A8" w:rsidP="002262A8">
      <w:pPr>
        <w:pStyle w:val="StandardWeb"/>
        <w:numPr>
          <w:ilvl w:val="0"/>
          <w:numId w:val="5"/>
        </w:numPr>
      </w:pPr>
      <w:r>
        <w:t>die Abstraktionsfähigkeit,</w:t>
      </w:r>
    </w:p>
    <w:p w14:paraId="3CE34A56" w14:textId="77777777" w:rsidR="002262A8" w:rsidRDefault="002262A8" w:rsidP="002262A8">
      <w:pPr>
        <w:pStyle w:val="StandardWeb"/>
        <w:numPr>
          <w:ilvl w:val="0"/>
          <w:numId w:val="5"/>
        </w:numPr>
      </w:pPr>
      <w:r>
        <w:t>die Modellierungskompetenz,</w:t>
      </w:r>
    </w:p>
    <w:p w14:paraId="76A7A9DE" w14:textId="77777777" w:rsidR="002262A8" w:rsidRDefault="002262A8" w:rsidP="002262A8">
      <w:pPr>
        <w:pStyle w:val="StandardWeb"/>
        <w:numPr>
          <w:ilvl w:val="0"/>
          <w:numId w:val="5"/>
        </w:numPr>
      </w:pPr>
      <w:r>
        <w:t>die epistemische Selbstständigkeit.</w:t>
      </w:r>
    </w:p>
    <w:p w14:paraId="192CA7AE" w14:textId="77777777" w:rsidR="002262A8" w:rsidRDefault="002262A8" w:rsidP="002262A8">
      <w:pPr>
        <w:pStyle w:val="berschrift3"/>
      </w:pPr>
      <w:r>
        <w:t>3. Didaktische Realisierung: Vom Punkt zur Projektion</w:t>
      </w:r>
    </w:p>
    <w:p w14:paraId="612985C4" w14:textId="77777777" w:rsidR="002262A8" w:rsidRDefault="002262A8" w:rsidP="002262A8">
      <w:pPr>
        <w:pStyle w:val="StandardWeb"/>
      </w:pPr>
      <w:r>
        <w:t>Die Einführung des FRZK kann didaktisch durch den Weg vom Punkt zur Projektion erfolgen:</w:t>
      </w:r>
    </w:p>
    <w:p w14:paraId="10FD9BF4" w14:textId="77777777" w:rsidR="002262A8" w:rsidRDefault="002262A8" w:rsidP="002262A8">
      <w:pPr>
        <w:pStyle w:val="StandardWeb"/>
        <w:numPr>
          <w:ilvl w:val="0"/>
          <w:numId w:val="6"/>
        </w:numPr>
      </w:pPr>
      <w:r>
        <w:t>Individuelle Bezugspunkte werden gesetzt (z. B. Initialpunkt im Raum).</w:t>
      </w:r>
    </w:p>
    <w:p w14:paraId="6C549AC2" w14:textId="77777777" w:rsidR="002262A8" w:rsidRDefault="002262A8" w:rsidP="002262A8">
      <w:pPr>
        <w:pStyle w:val="StandardWeb"/>
        <w:numPr>
          <w:ilvl w:val="0"/>
          <w:numId w:val="6"/>
        </w:numPr>
      </w:pPr>
      <w:r>
        <w:t xml:space="preserve">Zeitfunktionen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werden eingeführt – mit klarer Zuordnung zum Beobachter.</w:t>
      </w:r>
    </w:p>
    <w:p w14:paraId="04C1EA62" w14:textId="77777777" w:rsidR="002262A8" w:rsidRDefault="002262A8" w:rsidP="002262A8">
      <w:pPr>
        <w:pStyle w:val="StandardWeb"/>
        <w:numPr>
          <w:ilvl w:val="0"/>
          <w:numId w:val="6"/>
        </w:numPr>
      </w:pPr>
      <w:r>
        <w:t>Veränderungen der Bewegung (Beschleunigung, Richtungswechsel) entstehen durch Strukturmodifikation des Koordinatensystems – nicht durch „Außenwirkung“.</w:t>
      </w:r>
    </w:p>
    <w:p w14:paraId="1E496647" w14:textId="77777777" w:rsidR="002262A8" w:rsidRDefault="002262A8" w:rsidP="002262A8">
      <w:pPr>
        <w:pStyle w:val="StandardWeb"/>
      </w:pPr>
      <w:r>
        <w:t>Diese Herangehensweise macht Beobachtung zur aktiven Konstruktion, nicht zur passiven Erfassung. Lernende lernen zu „sehen, was sie beschreiben“ – und umgekehrt.</w:t>
      </w:r>
    </w:p>
    <w:p w14:paraId="00E57FDF" w14:textId="77777777" w:rsidR="002262A8" w:rsidRDefault="002262A8" w:rsidP="002262A8">
      <w:pPr>
        <w:pStyle w:val="berschrift3"/>
      </w:pPr>
      <w:r>
        <w:t>4. Wissenschaftsdidaktischer Mehrwert</w:t>
      </w:r>
    </w:p>
    <w:p w14:paraId="7F674BD3" w14:textId="77777777" w:rsidR="002262A8" w:rsidRDefault="002262A8" w:rsidP="002262A8">
      <w:pPr>
        <w:pStyle w:val="StandardWeb"/>
      </w:pPr>
      <w: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588"/>
      </w:tblGrid>
      <w:tr w:rsidR="002262A8" w14:paraId="1D40131C" w14:textId="77777777" w:rsidTr="002262A8">
        <w:trPr>
          <w:tblHeader/>
          <w:tblCellSpacing w:w="15" w:type="dxa"/>
        </w:trPr>
        <w:tc>
          <w:tcPr>
            <w:tcW w:w="0" w:type="auto"/>
            <w:vAlign w:val="center"/>
            <w:hideMark/>
          </w:tcPr>
          <w:p w14:paraId="38D4D83D" w14:textId="77777777" w:rsidR="002262A8" w:rsidRDefault="002262A8">
            <w:pPr>
              <w:jc w:val="center"/>
              <w:rPr>
                <w:b/>
                <w:bCs/>
              </w:rPr>
            </w:pPr>
            <w:r>
              <w:rPr>
                <w:b/>
                <w:bCs/>
              </w:rPr>
              <w:t>Dimension</w:t>
            </w:r>
          </w:p>
        </w:tc>
        <w:tc>
          <w:tcPr>
            <w:tcW w:w="0" w:type="auto"/>
            <w:vAlign w:val="center"/>
            <w:hideMark/>
          </w:tcPr>
          <w:p w14:paraId="58786178" w14:textId="77777777" w:rsidR="002262A8" w:rsidRDefault="002262A8">
            <w:pPr>
              <w:jc w:val="center"/>
              <w:rPr>
                <w:b/>
                <w:bCs/>
              </w:rPr>
            </w:pPr>
            <w:r>
              <w:rPr>
                <w:b/>
                <w:bCs/>
              </w:rPr>
              <w:t>Beitrag des FRZK</w:t>
            </w:r>
          </w:p>
        </w:tc>
      </w:tr>
      <w:tr w:rsidR="002262A8" w14:paraId="7A002197" w14:textId="77777777" w:rsidTr="002262A8">
        <w:trPr>
          <w:tblCellSpacing w:w="15" w:type="dxa"/>
        </w:trPr>
        <w:tc>
          <w:tcPr>
            <w:tcW w:w="0" w:type="auto"/>
            <w:vAlign w:val="center"/>
            <w:hideMark/>
          </w:tcPr>
          <w:p w14:paraId="3E29DCD5" w14:textId="77777777" w:rsidR="002262A8" w:rsidRDefault="002262A8">
            <w:r>
              <w:t>Erkenntnistheorie</w:t>
            </w:r>
          </w:p>
        </w:tc>
        <w:tc>
          <w:tcPr>
            <w:tcW w:w="0" w:type="auto"/>
            <w:vAlign w:val="center"/>
            <w:hideMark/>
          </w:tcPr>
          <w:p w14:paraId="6709B20A" w14:textId="77777777" w:rsidR="002262A8" w:rsidRDefault="002262A8">
            <w:r>
              <w:t>Beobachtung = Konstruktion</w:t>
            </w:r>
          </w:p>
        </w:tc>
      </w:tr>
      <w:tr w:rsidR="002262A8" w14:paraId="7174C68C" w14:textId="77777777" w:rsidTr="002262A8">
        <w:trPr>
          <w:tblCellSpacing w:w="15" w:type="dxa"/>
        </w:trPr>
        <w:tc>
          <w:tcPr>
            <w:tcW w:w="0" w:type="auto"/>
            <w:vAlign w:val="center"/>
            <w:hideMark/>
          </w:tcPr>
          <w:p w14:paraId="721596A3" w14:textId="77777777" w:rsidR="002262A8" w:rsidRDefault="002262A8">
            <w:r>
              <w:t>Modellkompetenz</w:t>
            </w:r>
          </w:p>
        </w:tc>
        <w:tc>
          <w:tcPr>
            <w:tcW w:w="0" w:type="auto"/>
            <w:vAlign w:val="center"/>
            <w:hideMark/>
          </w:tcPr>
          <w:p w14:paraId="4140E3ED" w14:textId="77777777" w:rsidR="002262A8" w:rsidRDefault="002262A8">
            <w:r>
              <w:t>Koordinatensystem = Modellstruktur</w:t>
            </w:r>
          </w:p>
        </w:tc>
      </w:tr>
      <w:tr w:rsidR="002262A8" w14:paraId="1C6A7D1A" w14:textId="77777777" w:rsidTr="002262A8">
        <w:trPr>
          <w:tblCellSpacing w:w="15" w:type="dxa"/>
        </w:trPr>
        <w:tc>
          <w:tcPr>
            <w:tcW w:w="0" w:type="auto"/>
            <w:vAlign w:val="center"/>
            <w:hideMark/>
          </w:tcPr>
          <w:p w14:paraId="27F1E5B1" w14:textId="77777777" w:rsidR="002262A8" w:rsidRDefault="002262A8">
            <w:r>
              <w:t>Systemisches Denken</w:t>
            </w:r>
          </w:p>
        </w:tc>
        <w:tc>
          <w:tcPr>
            <w:tcW w:w="0" w:type="auto"/>
            <w:vAlign w:val="center"/>
            <w:hideMark/>
          </w:tcPr>
          <w:p w14:paraId="06058275" w14:textId="77777777" w:rsidR="002262A8" w:rsidRDefault="002262A8">
            <w:r>
              <w:t>Dynamik entsteht durch Funktion</w:t>
            </w:r>
          </w:p>
        </w:tc>
      </w:tr>
      <w:tr w:rsidR="002262A8" w14:paraId="4BA064C4" w14:textId="77777777" w:rsidTr="002262A8">
        <w:trPr>
          <w:tblCellSpacing w:w="15" w:type="dxa"/>
        </w:trPr>
        <w:tc>
          <w:tcPr>
            <w:tcW w:w="0" w:type="auto"/>
            <w:vAlign w:val="center"/>
            <w:hideMark/>
          </w:tcPr>
          <w:p w14:paraId="3C4E0392" w14:textId="77777777" w:rsidR="002262A8" w:rsidRDefault="002262A8">
            <w:r>
              <w:t>Fächervernetzung</w:t>
            </w:r>
          </w:p>
        </w:tc>
        <w:tc>
          <w:tcPr>
            <w:tcW w:w="0" w:type="auto"/>
            <w:vAlign w:val="center"/>
            <w:hideMark/>
          </w:tcPr>
          <w:p w14:paraId="17EBC990" w14:textId="77777777" w:rsidR="002262A8" w:rsidRDefault="002262A8">
            <w:r>
              <w:t>Anschlussfähig in Informatik, KI, Geografie</w:t>
            </w:r>
          </w:p>
        </w:tc>
      </w:tr>
      <w:tr w:rsidR="002262A8" w14:paraId="6E2ECC6E" w14:textId="77777777" w:rsidTr="002262A8">
        <w:trPr>
          <w:tblCellSpacing w:w="15" w:type="dxa"/>
        </w:trPr>
        <w:tc>
          <w:tcPr>
            <w:tcW w:w="0" w:type="auto"/>
            <w:vAlign w:val="center"/>
            <w:hideMark/>
          </w:tcPr>
          <w:p w14:paraId="634689AB" w14:textId="77777777" w:rsidR="002262A8" w:rsidRDefault="002262A8">
            <w:r>
              <w:t>Metakognition</w:t>
            </w:r>
          </w:p>
        </w:tc>
        <w:tc>
          <w:tcPr>
            <w:tcW w:w="0" w:type="auto"/>
            <w:vAlign w:val="center"/>
            <w:hideMark/>
          </w:tcPr>
          <w:p w14:paraId="241C567D" w14:textId="77777777" w:rsidR="002262A8" w:rsidRDefault="002262A8">
            <w:r>
              <w:t>Reflexion über eigene Mess- und Denkstruktur</w:t>
            </w:r>
          </w:p>
        </w:tc>
      </w:tr>
    </w:tbl>
    <w:p w14:paraId="14657BB2" w14:textId="77777777" w:rsidR="002262A8" w:rsidRDefault="002262A8" w:rsidP="002262A8">
      <w:pPr>
        <w:pStyle w:val="StandardWeb"/>
      </w:pPr>
      <w:r>
        <w:t>Diese Kompetenzen entsprechen exakt den Empfehlungen des National Research Council [3] und der OECD 2030-Lernkompetenzziele [4].</w:t>
      </w:r>
    </w:p>
    <w:p w14:paraId="14470627" w14:textId="77777777" w:rsidR="002262A8" w:rsidRDefault="002262A8" w:rsidP="002262A8">
      <w:pPr>
        <w:pStyle w:val="berschrift2"/>
      </w:pPr>
      <w:r>
        <w:t>4.3 Abgrenzung zum klassischen Modellverständnis</w:t>
      </w:r>
    </w:p>
    <w:p w14:paraId="03C3B946" w14:textId="77777777" w:rsidR="002262A8" w:rsidRDefault="002262A8" w:rsidP="002262A8">
      <w:pPr>
        <w:pStyle w:val="StandardWeb"/>
      </w:pPr>
      <w:r>
        <w:t xml:space="preserve">Im klassischen Modellverständnis bildet das Koordinatensystem lediglich den Rahmen für Kräfte- oder Energiebeschreibungen. Im FRZK hingegen wird es als konstitutiver Bestandteil des Modells betrachtet. Das Bezugssystem dient nicht nur zur räumlichen Verortung, sondern </w:t>
      </w:r>
      <w:r>
        <w:lastRenderedPageBreak/>
        <w:t>wird integraler Teil der Modellstruktur. Bewegung ist in dieser Perspektive ohne eine explizite Referenz auf das Bezugssystem nicht formulierbar.</w:t>
      </w:r>
    </w:p>
    <w:p w14:paraId="06A76144" w14:textId="77777777" w:rsidR="002262A8" w:rsidRDefault="002262A8" w:rsidP="002262A8">
      <w:pPr>
        <w:pStyle w:val="StandardWeb"/>
      </w:pPr>
      <w:r>
        <w:t>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[5].</w:t>
      </w:r>
    </w:p>
    <w:p w14:paraId="5E4B0EF8" w14:textId="77777777" w:rsidR="002262A8" w:rsidRDefault="002262A8" w:rsidP="002262A8">
      <w:pPr>
        <w:pStyle w:val="berschrift2"/>
      </w:pPr>
      <w:r>
        <w:t>4.4 Exemplarisches Modell: Bewegung eines Boots</w:t>
      </w:r>
    </w:p>
    <w:p w14:paraId="008A32D0" w14:textId="77777777" w:rsidR="002262A8" w:rsidRDefault="002262A8" w:rsidP="002262A8">
      <w:pPr>
        <w:pStyle w:val="berschrift3"/>
      </w:pPr>
      <w:r>
        <w:t>4.4.1 Modellbeschreibung</w:t>
      </w:r>
    </w:p>
    <w:p w14:paraId="50CC0C8F" w14:textId="77777777" w:rsidR="002262A8" w:rsidRDefault="002262A8" w:rsidP="002262A8">
      <w:pPr>
        <w:pStyle w:val="StandardWeb"/>
      </w:pPr>
      <w: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3F0AB03A" w14:textId="77777777" w:rsidR="002262A8" w:rsidRDefault="002262A8" w:rsidP="002262A8">
      <w:pPr>
        <w:pStyle w:val="berschrift3"/>
      </w:pPr>
      <w:r>
        <w:t>4.4.2 Funktionale Darstellung</w:t>
      </w:r>
    </w:p>
    <w:p w14:paraId="1817840E" w14:textId="77777777" w:rsidR="002262A8" w:rsidRDefault="002262A8" w:rsidP="002262A8">
      <w:r>
        <w:rPr>
          <w:rStyle w:val="katex-mathml"/>
          <w:rFonts w:eastAsiaTheme="majorEastAsia"/>
        </w:rPr>
        <w:t>x(t)=</w:t>
      </w:r>
      <w:proofErr w:type="spellStart"/>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cos</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),y(t)=</w:t>
      </w:r>
      <w:proofErr w:type="spellStart"/>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sin</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),z(t)=</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sin</w:t>
      </w:r>
      <w:proofErr w:type="spellEnd"/>
      <w:r>
        <w:rPr>
          <w:rStyle w:val="katex-mathml"/>
          <w:rFonts w:eastAsiaTheme="majorEastAsia"/>
        </w:rPr>
        <w:t>⁡(2ωt)x(t) = R \</w:t>
      </w:r>
      <w:proofErr w:type="spellStart"/>
      <w:r>
        <w:rPr>
          <w:rStyle w:val="katex-mathml"/>
          <w:rFonts w:eastAsiaTheme="majorEastAsia"/>
        </w:rPr>
        <w:t>cdot</w:t>
      </w:r>
      <w:proofErr w:type="spellEnd"/>
      <w:r>
        <w:rPr>
          <w:rStyle w:val="katex-mathml"/>
          <w:rFonts w:eastAsiaTheme="majorEastAsia"/>
        </w:rPr>
        <w:t xml:space="preserve"> \cos(\</w:t>
      </w:r>
      <w:proofErr w:type="spellStart"/>
      <w:r>
        <w:rPr>
          <w:rStyle w:val="katex-mathml"/>
          <w:rFonts w:eastAsiaTheme="majorEastAsia"/>
        </w:rPr>
        <w:t>omega</w:t>
      </w:r>
      <w:proofErr w:type="spellEnd"/>
      <w:r>
        <w:rPr>
          <w:rStyle w:val="katex-mathml"/>
          <w:rFonts w:eastAsiaTheme="majorEastAsia"/>
        </w:rPr>
        <w:t xml:space="preserve"> t), \</w:t>
      </w:r>
      <w:proofErr w:type="spellStart"/>
      <w:r>
        <w:rPr>
          <w:rStyle w:val="katex-mathml"/>
          <w:rFonts w:eastAsiaTheme="majorEastAsia"/>
        </w:rPr>
        <w:t>quad</w:t>
      </w:r>
      <w:proofErr w:type="spellEnd"/>
      <w:r>
        <w:rPr>
          <w:rStyle w:val="katex-mathml"/>
          <w:rFonts w:eastAsiaTheme="majorEastAsia"/>
        </w:rPr>
        <w:t xml:space="preserve"> y(t) = R \</w:t>
      </w:r>
      <w:proofErr w:type="spellStart"/>
      <w:r>
        <w:rPr>
          <w:rStyle w:val="katex-mathml"/>
          <w:rFonts w:eastAsiaTheme="majorEastAsia"/>
        </w:rPr>
        <w:t>cdot</w:t>
      </w:r>
      <w:proofErr w:type="spellEnd"/>
      <w:r>
        <w:rPr>
          <w:rStyle w:val="katex-mathml"/>
          <w:rFonts w:eastAsiaTheme="majorEastAsia"/>
        </w:rPr>
        <w:t xml:space="preserve"> \sin(\</w:t>
      </w:r>
      <w:proofErr w:type="spellStart"/>
      <w:r>
        <w:rPr>
          <w:rStyle w:val="katex-mathml"/>
          <w:rFonts w:eastAsiaTheme="majorEastAsia"/>
        </w:rPr>
        <w:t>omega</w:t>
      </w:r>
      <w:proofErr w:type="spellEnd"/>
      <w:r>
        <w:rPr>
          <w:rStyle w:val="katex-mathml"/>
          <w:rFonts w:eastAsiaTheme="majorEastAsia"/>
        </w:rPr>
        <w:t xml:space="preserve"> t), \</w:t>
      </w:r>
      <w:proofErr w:type="spellStart"/>
      <w:r>
        <w:rPr>
          <w:rStyle w:val="katex-mathml"/>
          <w:rFonts w:eastAsiaTheme="majorEastAsia"/>
        </w:rPr>
        <w:t>quad</w:t>
      </w:r>
      <w:proofErr w:type="spellEnd"/>
      <w:r>
        <w:rPr>
          <w:rStyle w:val="katex-mathml"/>
          <w:rFonts w:eastAsiaTheme="majorEastAsia"/>
        </w:rPr>
        <w:t xml:space="preserve"> z(t) = A \</w:t>
      </w:r>
      <w:proofErr w:type="spellStart"/>
      <w:r>
        <w:rPr>
          <w:rStyle w:val="katex-mathml"/>
          <w:rFonts w:eastAsiaTheme="majorEastAsia"/>
        </w:rPr>
        <w:t>cdot</w:t>
      </w:r>
      <w:proofErr w:type="spellEnd"/>
      <w:r>
        <w:rPr>
          <w:rStyle w:val="katex-mathml"/>
          <w:rFonts w:eastAsiaTheme="majorEastAsia"/>
        </w:rPr>
        <w:t xml:space="preserve"> \sin(2 \</w:t>
      </w:r>
      <w:proofErr w:type="spellStart"/>
      <w:r>
        <w:rPr>
          <w:rStyle w:val="katex-mathml"/>
          <w:rFonts w:eastAsiaTheme="majorEastAsia"/>
        </w:rPr>
        <w:t>omega</w:t>
      </w:r>
      <w:proofErr w:type="spellEnd"/>
      <w:r>
        <w:rPr>
          <w:rStyle w:val="katex-mathml"/>
          <w:rFonts w:eastAsiaTheme="majorEastAsia"/>
        </w:rPr>
        <w:t xml:space="preserve"> t)</w:t>
      </w:r>
      <w:r>
        <w:rPr>
          <w:rStyle w:val="mord"/>
        </w:rPr>
        <w:t>x</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y</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r>
        <w:rPr>
          <w:rStyle w:val="mord"/>
        </w:rPr>
        <w:t>z</w:t>
      </w:r>
      <w:r>
        <w:rPr>
          <w:rStyle w:val="mopen"/>
        </w:rPr>
        <w:t>(</w:t>
      </w:r>
      <w:r>
        <w:rPr>
          <w:rStyle w:val="mord"/>
        </w:rPr>
        <w:t>t</w:t>
      </w:r>
      <w:r>
        <w:rPr>
          <w:rStyle w:val="mclose"/>
        </w:rPr>
        <w:t>)</w:t>
      </w:r>
      <w:r>
        <w:rPr>
          <w:rStyle w:val="mrel"/>
        </w:rPr>
        <w:t>=</w:t>
      </w:r>
      <w:proofErr w:type="spellStart"/>
      <w:r>
        <w:rPr>
          <w:rStyle w:val="mord"/>
        </w:rPr>
        <w:t>A</w:t>
      </w:r>
      <w:r>
        <w:rPr>
          <w:rStyle w:val="mbin"/>
          <w:rFonts w:ascii="Cambria Math" w:hAnsi="Cambria Math" w:cs="Cambria Math"/>
        </w:rPr>
        <w:t>⋅</w:t>
      </w:r>
      <w:r>
        <w:rPr>
          <w:rStyle w:val="mop"/>
        </w:rPr>
        <w:t>sin</w:t>
      </w:r>
      <w:proofErr w:type="spellEnd"/>
      <w:r>
        <w:rPr>
          <w:rStyle w:val="mopen"/>
        </w:rPr>
        <w:t>(</w:t>
      </w:r>
      <w:r>
        <w:rPr>
          <w:rStyle w:val="mord"/>
        </w:rPr>
        <w:t>2ωt</w:t>
      </w:r>
      <w:r>
        <w:rPr>
          <w:rStyle w:val="mclose"/>
        </w:rPr>
        <w:t>)</w:t>
      </w:r>
      <w:r>
        <w:t xml:space="preserve"> </w:t>
      </w:r>
    </w:p>
    <w:p w14:paraId="5931BE8A" w14:textId="77777777" w:rsidR="002262A8" w:rsidRDefault="002262A8" w:rsidP="002262A8">
      <w:pPr>
        <w:pStyle w:val="StandardWeb"/>
      </w:pPr>
      <w:r>
        <w:t>mit den Parametern:</w:t>
      </w:r>
    </w:p>
    <w:p w14:paraId="64678979" w14:textId="77777777" w:rsidR="002262A8" w:rsidRDefault="002262A8" w:rsidP="002262A8">
      <w:pPr>
        <w:pStyle w:val="StandardWeb"/>
        <w:numPr>
          <w:ilvl w:val="0"/>
          <w:numId w:val="7"/>
        </w:numPr>
      </w:pPr>
      <w:r>
        <w:rPr>
          <w:rStyle w:val="katex-mathml"/>
          <w:rFonts w:eastAsiaTheme="majorEastAsia"/>
        </w:rPr>
        <w:t>RR</w:t>
      </w:r>
      <w:r>
        <w:rPr>
          <w:rStyle w:val="mord"/>
        </w:rPr>
        <w:t>R</w:t>
      </w:r>
      <w:r>
        <w:t>: Radius der Kreisbahn</w:t>
      </w:r>
    </w:p>
    <w:p w14:paraId="7311E2E3" w14:textId="77777777" w:rsidR="002262A8" w:rsidRDefault="002262A8" w:rsidP="002262A8">
      <w:pPr>
        <w:pStyle w:val="StandardWeb"/>
        <w:numPr>
          <w:ilvl w:val="0"/>
          <w:numId w:val="7"/>
        </w:numPr>
      </w:pPr>
      <w:r>
        <w:rPr>
          <w:rStyle w:val="katex-mathml"/>
          <w:rFonts w:eastAsiaTheme="majorEastAsia"/>
        </w:rPr>
        <w:t>ω\</w:t>
      </w:r>
      <w:proofErr w:type="spellStart"/>
      <w:r>
        <w:rPr>
          <w:rStyle w:val="katex-mathml"/>
          <w:rFonts w:eastAsiaTheme="majorEastAsia"/>
        </w:rPr>
        <w:t>omega</w:t>
      </w:r>
      <w:r>
        <w:rPr>
          <w:rStyle w:val="mord"/>
        </w:rPr>
        <w:t>ω</w:t>
      </w:r>
      <w:proofErr w:type="spellEnd"/>
      <w:r>
        <w:t>: Kreisfrequenz</w:t>
      </w:r>
    </w:p>
    <w:p w14:paraId="103A08F1" w14:textId="77777777" w:rsidR="002262A8" w:rsidRDefault="002262A8" w:rsidP="002262A8">
      <w:pPr>
        <w:pStyle w:val="StandardWeb"/>
        <w:numPr>
          <w:ilvl w:val="0"/>
          <w:numId w:val="7"/>
        </w:numPr>
      </w:pPr>
      <w:r>
        <w:rPr>
          <w:rStyle w:val="katex-mathml"/>
          <w:rFonts w:eastAsiaTheme="majorEastAsia"/>
        </w:rPr>
        <w:t>AA</w:t>
      </w:r>
      <w:r>
        <w:rPr>
          <w:rStyle w:val="mord"/>
        </w:rPr>
        <w:t>A</w:t>
      </w:r>
      <w:r>
        <w:t>: Amplitude der vertikalen Schwingung</w:t>
      </w:r>
    </w:p>
    <w:p w14:paraId="1D75BD60" w14:textId="77777777" w:rsidR="002262A8" w:rsidRDefault="002262A8" w:rsidP="002262A8">
      <w:pPr>
        <w:pStyle w:val="berschrift3"/>
      </w:pPr>
      <w:r>
        <w:t>4.4.3 Erste und zweite Ableitung</w:t>
      </w:r>
    </w:p>
    <w:p w14:paraId="48EECBB7" w14:textId="77777777" w:rsidR="002262A8" w:rsidRDefault="002262A8" w:rsidP="002262A8">
      <w:r>
        <w:rPr>
          <w:rStyle w:val="katex-mathml"/>
          <w:rFonts w:eastAsiaTheme="majorEastAsia"/>
        </w:rPr>
        <w:t>v</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Rωsin</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),  </w:t>
      </w:r>
      <w:proofErr w:type="spellStart"/>
      <w:r>
        <w:rPr>
          <w:rStyle w:val="katex-mathml"/>
          <w:rFonts w:eastAsiaTheme="majorEastAsia"/>
        </w:rPr>
        <w:t>Rωcos</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),  2Aωcos⁡(2ωt))\</w:t>
      </w:r>
      <w:proofErr w:type="spellStart"/>
      <w:r>
        <w:rPr>
          <w:rStyle w:val="katex-mathml"/>
          <w:rFonts w:eastAsiaTheme="majorEastAsia"/>
        </w:rPr>
        <w:t>vec</w:t>
      </w:r>
      <w:proofErr w:type="spellEnd"/>
      <w:r>
        <w:rPr>
          <w:rStyle w:val="katex-mathml"/>
          <w:rFonts w:eastAsiaTheme="majorEastAsia"/>
        </w:rPr>
        <w:t>{v}(t) = (-R \</w:t>
      </w:r>
      <w:proofErr w:type="spellStart"/>
      <w:r>
        <w:rPr>
          <w:rStyle w:val="katex-mathml"/>
          <w:rFonts w:eastAsiaTheme="majorEastAsia"/>
        </w:rPr>
        <w:t>omega</w:t>
      </w:r>
      <w:proofErr w:type="spellEnd"/>
      <w:r>
        <w:rPr>
          <w:rStyle w:val="katex-mathml"/>
          <w:rFonts w:eastAsiaTheme="majorEastAsia"/>
        </w:rPr>
        <w:t xml:space="preserve"> \sin(\</w:t>
      </w:r>
      <w:proofErr w:type="spellStart"/>
      <w:r>
        <w:rPr>
          <w:rStyle w:val="katex-mathml"/>
          <w:rFonts w:eastAsiaTheme="majorEastAsia"/>
        </w:rPr>
        <w:t>omega</w:t>
      </w:r>
      <w:proofErr w:type="spellEnd"/>
      <w:r>
        <w:rPr>
          <w:rStyle w:val="katex-mathml"/>
          <w:rFonts w:eastAsiaTheme="majorEastAsia"/>
        </w:rPr>
        <w:t xml:space="preserve"> t), \; R \</w:t>
      </w:r>
      <w:proofErr w:type="spellStart"/>
      <w:r>
        <w:rPr>
          <w:rStyle w:val="katex-mathml"/>
          <w:rFonts w:eastAsiaTheme="majorEastAsia"/>
        </w:rPr>
        <w:t>omega</w:t>
      </w:r>
      <w:proofErr w:type="spellEnd"/>
      <w:r>
        <w:rPr>
          <w:rStyle w:val="katex-mathml"/>
          <w:rFonts w:eastAsiaTheme="majorEastAsia"/>
        </w:rPr>
        <w:t xml:space="preserve"> \cos(\</w:t>
      </w:r>
      <w:proofErr w:type="spellStart"/>
      <w:r>
        <w:rPr>
          <w:rStyle w:val="katex-mathml"/>
          <w:rFonts w:eastAsiaTheme="majorEastAsia"/>
        </w:rPr>
        <w:t>omega</w:t>
      </w:r>
      <w:proofErr w:type="spellEnd"/>
      <w:r>
        <w:rPr>
          <w:rStyle w:val="katex-mathml"/>
          <w:rFonts w:eastAsiaTheme="majorEastAsia"/>
        </w:rPr>
        <w:t xml:space="preserve"> t), \; 2 A \</w:t>
      </w:r>
      <w:proofErr w:type="spellStart"/>
      <w:r>
        <w:rPr>
          <w:rStyle w:val="katex-mathml"/>
          <w:rFonts w:eastAsiaTheme="majorEastAsia"/>
        </w:rPr>
        <w:t>omega</w:t>
      </w:r>
      <w:proofErr w:type="spellEnd"/>
      <w:r>
        <w:rPr>
          <w:rStyle w:val="katex-mathml"/>
          <w:rFonts w:eastAsiaTheme="majorEastAsia"/>
        </w:rPr>
        <w:t xml:space="preserve"> \cos(2 \</w:t>
      </w:r>
      <w:proofErr w:type="spellStart"/>
      <w:r>
        <w:rPr>
          <w:rStyle w:val="katex-mathml"/>
          <w:rFonts w:eastAsiaTheme="majorEastAsia"/>
        </w:rPr>
        <w:t>omega</w:t>
      </w:r>
      <w:proofErr w:type="spellEnd"/>
      <w:r>
        <w:rPr>
          <w:rStyle w:val="katex-mathml"/>
          <w:rFonts w:eastAsiaTheme="majorEastAsia"/>
        </w:rPr>
        <w:t xml:space="preserve"> t))</w:t>
      </w:r>
      <w:r>
        <w:rPr>
          <w:rStyle w:val="mord"/>
        </w:rPr>
        <w:t>v</w:t>
      </w:r>
      <w:r>
        <w:rPr>
          <w:rStyle w:val="mopen"/>
        </w:rPr>
        <w:t>(</w:t>
      </w:r>
      <w:r>
        <w:rPr>
          <w:rStyle w:val="mord"/>
        </w:rPr>
        <w:t>t</w:t>
      </w:r>
      <w:r>
        <w:rPr>
          <w:rStyle w:val="mclose"/>
        </w:rPr>
        <w:t>)</w:t>
      </w:r>
      <w:r>
        <w:rPr>
          <w:rStyle w:val="mrel"/>
        </w:rPr>
        <w:t>=</w:t>
      </w:r>
      <w:r>
        <w:rPr>
          <w:rStyle w:val="mopen"/>
        </w:rPr>
        <w:t>(</w:t>
      </w:r>
      <w:r>
        <w:rPr>
          <w:rStyle w:val="mord"/>
        </w:rPr>
        <w:t>−</w:t>
      </w:r>
      <w:proofErr w:type="spellStart"/>
      <w:r>
        <w:rPr>
          <w:rStyle w:val="mord"/>
        </w:rPr>
        <w:t>Rω</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proofErr w:type="spellStart"/>
      <w:r>
        <w:rPr>
          <w:rStyle w:val="mord"/>
        </w:rPr>
        <w:t>Rω</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2Aω</w:t>
      </w:r>
      <w:r>
        <w:rPr>
          <w:rStyle w:val="mop"/>
        </w:rPr>
        <w:t>cos</w:t>
      </w:r>
      <w:r>
        <w:rPr>
          <w:rStyle w:val="mopen"/>
        </w:rPr>
        <w:t>(</w:t>
      </w:r>
      <w:r>
        <w:rPr>
          <w:rStyle w:val="mord"/>
        </w:rPr>
        <w:t>2ωt</w:t>
      </w:r>
      <w:r>
        <w:rPr>
          <w:rStyle w:val="mclose"/>
        </w:rPr>
        <w:t>))</w:t>
      </w:r>
      <w:r>
        <w:t xml:space="preserve"> </w:t>
      </w:r>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(t)=(−Rω2cos⁡(</w:t>
      </w:r>
      <w:proofErr w:type="spellStart"/>
      <w:r>
        <w:rPr>
          <w:rStyle w:val="katex-mathml"/>
          <w:rFonts w:eastAsiaTheme="majorEastAsia"/>
        </w:rPr>
        <w:t>ωt</w:t>
      </w:r>
      <w:proofErr w:type="spellEnd"/>
      <w:r>
        <w:rPr>
          <w:rStyle w:val="katex-mathml"/>
          <w:rFonts w:eastAsiaTheme="majorEastAsia"/>
        </w:rPr>
        <w:t>),  −Rω2sin⁡(</w:t>
      </w:r>
      <w:proofErr w:type="spellStart"/>
      <w:r>
        <w:rPr>
          <w:rStyle w:val="katex-mathml"/>
          <w:rFonts w:eastAsiaTheme="majorEastAsia"/>
        </w:rPr>
        <w:t>ωt</w:t>
      </w:r>
      <w:proofErr w:type="spellEnd"/>
      <w:r>
        <w:rPr>
          <w:rStyle w:val="katex-mathml"/>
          <w:rFonts w:eastAsiaTheme="majorEastAsia"/>
        </w:rPr>
        <w:t>),  −4Aω2sin⁡(2ωt))\</w:t>
      </w:r>
      <w:proofErr w:type="spellStart"/>
      <w:r>
        <w:rPr>
          <w:rStyle w:val="katex-mathml"/>
          <w:rFonts w:eastAsiaTheme="majorEastAsia"/>
        </w:rPr>
        <w:t>vec</w:t>
      </w:r>
      <w:proofErr w:type="spellEnd"/>
      <w:r>
        <w:rPr>
          <w:rStyle w:val="katex-mathml"/>
          <w:rFonts w:eastAsiaTheme="majorEastAsia"/>
        </w:rPr>
        <w:t>{a}(t) = (-R \omega^2 \cos(\</w:t>
      </w:r>
      <w:proofErr w:type="spellStart"/>
      <w:r>
        <w:rPr>
          <w:rStyle w:val="katex-mathml"/>
          <w:rFonts w:eastAsiaTheme="majorEastAsia"/>
        </w:rPr>
        <w:t>omega</w:t>
      </w:r>
      <w:proofErr w:type="spellEnd"/>
      <w:r>
        <w:rPr>
          <w:rStyle w:val="katex-mathml"/>
          <w:rFonts w:eastAsiaTheme="majorEastAsia"/>
        </w:rPr>
        <w:t xml:space="preserve"> t), \; -R \omega^2 \sin(\</w:t>
      </w:r>
      <w:proofErr w:type="spellStart"/>
      <w:r>
        <w:rPr>
          <w:rStyle w:val="katex-mathml"/>
          <w:rFonts w:eastAsiaTheme="majorEastAsia"/>
        </w:rPr>
        <w:t>omega</w:t>
      </w:r>
      <w:proofErr w:type="spellEnd"/>
      <w:r>
        <w:rPr>
          <w:rStyle w:val="katex-mathml"/>
          <w:rFonts w:eastAsiaTheme="majorEastAsia"/>
        </w:rPr>
        <w:t xml:space="preserve"> t), \; -4 A \omega^2 \sin(2 \</w:t>
      </w:r>
      <w:proofErr w:type="spellStart"/>
      <w:r>
        <w:rPr>
          <w:rStyle w:val="katex-mathml"/>
          <w:rFonts w:eastAsiaTheme="majorEastAsia"/>
        </w:rPr>
        <w:t>omega</w:t>
      </w:r>
      <w:proofErr w:type="spellEnd"/>
      <w:r>
        <w:rPr>
          <w:rStyle w:val="katex-mathml"/>
          <w:rFonts w:eastAsiaTheme="majorEastAsia"/>
        </w:rPr>
        <w:t xml:space="preserve"> t))</w:t>
      </w:r>
      <w:r>
        <w:rPr>
          <w:rStyle w:val="mord"/>
        </w:rPr>
        <w:t>a</w:t>
      </w:r>
      <w:r>
        <w:rPr>
          <w:rStyle w:val="mopen"/>
        </w:rPr>
        <w:t>(</w:t>
      </w:r>
      <w:r>
        <w:rPr>
          <w:rStyle w:val="mord"/>
        </w:rPr>
        <w:t>t</w:t>
      </w:r>
      <w:r>
        <w:rPr>
          <w:rStyle w:val="mclose"/>
        </w:rPr>
        <w:t>)</w:t>
      </w:r>
      <w:r>
        <w:rPr>
          <w:rStyle w:val="mrel"/>
        </w:rPr>
        <w:t>=</w:t>
      </w:r>
      <w:r>
        <w:rPr>
          <w:rStyle w:val="mopen"/>
        </w:rPr>
        <w:t>(</w:t>
      </w:r>
      <w:r>
        <w:rPr>
          <w:rStyle w:val="mord"/>
        </w:rPr>
        <w:t>−Rω2</w:t>
      </w:r>
      <w:r>
        <w:rPr>
          <w:rStyle w:val="mop"/>
        </w:rPr>
        <w:t>cos</w:t>
      </w:r>
      <w:r>
        <w:rPr>
          <w:rStyle w:val="mopen"/>
        </w:rPr>
        <w:t>(</w:t>
      </w:r>
      <w:proofErr w:type="spellStart"/>
      <w:r>
        <w:rPr>
          <w:rStyle w:val="mord"/>
        </w:rPr>
        <w:t>ωt</w:t>
      </w:r>
      <w:proofErr w:type="spellEnd"/>
      <w:r>
        <w:rPr>
          <w:rStyle w:val="mclose"/>
        </w:rPr>
        <w:t>)</w:t>
      </w:r>
      <w:r>
        <w:rPr>
          <w:rStyle w:val="mpunct"/>
        </w:rPr>
        <w:t>,</w:t>
      </w:r>
      <w:r>
        <w:rPr>
          <w:rStyle w:val="mord"/>
        </w:rPr>
        <w:t>−Rω2</w:t>
      </w:r>
      <w:r>
        <w:rPr>
          <w:rStyle w:val="mop"/>
        </w:rPr>
        <w:t>sin</w:t>
      </w:r>
      <w:r>
        <w:rPr>
          <w:rStyle w:val="mopen"/>
        </w:rPr>
        <w:t>(</w:t>
      </w:r>
      <w:proofErr w:type="spellStart"/>
      <w:r>
        <w:rPr>
          <w:rStyle w:val="mord"/>
        </w:rPr>
        <w:t>ωt</w:t>
      </w:r>
      <w:proofErr w:type="spellEnd"/>
      <w:r>
        <w:rPr>
          <w:rStyle w:val="mclose"/>
        </w:rPr>
        <w:t>)</w:t>
      </w:r>
      <w:r>
        <w:rPr>
          <w:rStyle w:val="mpunct"/>
        </w:rPr>
        <w:t>,</w:t>
      </w:r>
      <w:r>
        <w:rPr>
          <w:rStyle w:val="mord"/>
        </w:rPr>
        <w:t>−4Aω2</w:t>
      </w:r>
      <w:r>
        <w:rPr>
          <w:rStyle w:val="mop"/>
        </w:rPr>
        <w:t>sin</w:t>
      </w:r>
      <w:r>
        <w:rPr>
          <w:rStyle w:val="mopen"/>
        </w:rPr>
        <w:t>(</w:t>
      </w:r>
      <w:r>
        <w:rPr>
          <w:rStyle w:val="mord"/>
        </w:rPr>
        <w:t>2ωt</w:t>
      </w:r>
      <w:r>
        <w:rPr>
          <w:rStyle w:val="mclose"/>
        </w:rPr>
        <w:t>))</w:t>
      </w:r>
      <w:r>
        <w:t xml:space="preserve"> </w:t>
      </w:r>
    </w:p>
    <w:p w14:paraId="0C09FC08" w14:textId="77777777" w:rsidR="002262A8" w:rsidRDefault="002262A8" w:rsidP="002262A8">
      <w:pPr>
        <w:pStyle w:val="berschrift2"/>
      </w:pPr>
      <w:r>
        <w:t>4.5 Die wissenschaftlichen Vorteile der funktionalen Betrachtung</w:t>
      </w:r>
    </w:p>
    <w:p w14:paraId="76167C7F" w14:textId="77777777" w:rsidR="002262A8" w:rsidRDefault="002262A8" w:rsidP="002262A8">
      <w:pPr>
        <w:pStyle w:val="StandardWeb"/>
      </w:pPr>
      <w:r>
        <w:t xml:space="preserve">Die wissenschaftlichen Vorteile der funktionalen Betrachtung eines physikalischen Systems in einem definierten Raum-Zeit-Bezugssystem (wie im Boot-Beispiel mit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sind fundamental für alle Naturwissenschaften. Im Folgenden sind die wichtigsten Vorteile im Überblick dargestellt:</w:t>
      </w:r>
    </w:p>
    <w:p w14:paraId="57B2F9D0" w14:textId="77777777" w:rsidR="002262A8" w:rsidRDefault="002262A8" w:rsidP="002262A8">
      <w:pPr>
        <w:pStyle w:val="StandardWeb"/>
        <w:numPr>
          <w:ilvl w:val="0"/>
          <w:numId w:val="8"/>
        </w:numPr>
      </w:pPr>
      <w:r>
        <w:rPr>
          <w:rStyle w:val="Fett"/>
        </w:rPr>
        <w:t>Allgemeingültige Beschreibung von Bewegung und Veränderung</w:t>
      </w:r>
      <w:r>
        <w:br/>
        <w:t xml:space="preserve">Durch die Beschreibung von Positionen und Zuständen als Funktionen der Zeit </w:t>
      </w:r>
      <w:proofErr w:type="spellStart"/>
      <w:r>
        <w:rPr>
          <w:rStyle w:val="katex-mathml"/>
          <w:rFonts w:eastAsiaTheme="majorEastAsia"/>
        </w:rPr>
        <w:t>tt</w:t>
      </w:r>
      <w:r>
        <w:rPr>
          <w:rStyle w:val="mord"/>
        </w:rPr>
        <w:t>t</w:t>
      </w:r>
      <w:proofErr w:type="spellEnd"/>
      <w:r>
        <w:t xml:space="preserve"> wird jede Bewegung mathematisch exakt und nachvollziehbar modellierbar. Diese Beschreibung ist unabhängig vom Beobachter, solange das Bezugssystem klar definiert ist.</w:t>
      </w:r>
      <w:r>
        <w:br/>
      </w:r>
      <w:r>
        <w:lastRenderedPageBreak/>
        <w:t>Beispiel: Ob ein Boot, ein Planet oder ein Teilchen – alle Bewegungen lassen sich durch dieselben Grundfunktionen modellieren.</w:t>
      </w:r>
    </w:p>
    <w:p w14:paraId="08268D23" w14:textId="77777777" w:rsidR="002262A8" w:rsidRDefault="002262A8" w:rsidP="002262A8">
      <w:pPr>
        <w:pStyle w:val="StandardWeb"/>
        <w:numPr>
          <w:ilvl w:val="0"/>
          <w:numId w:val="8"/>
        </w:numPr>
      </w:pPr>
      <w:r>
        <w:rPr>
          <w:rStyle w:val="Fett"/>
        </w:rPr>
        <w:t>Ableitung weiterer physikalischer Größen</w:t>
      </w:r>
      <w:r>
        <w:br/>
        <w:t xml:space="preserve">Aus der Ortsfunktion </w:t>
      </w:r>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{r}(</w:t>
      </w:r>
      <w:proofErr w:type="gramStart"/>
      <w:r>
        <w:rPr>
          <w:rStyle w:val="katex-mathml"/>
          <w:rFonts w:eastAsiaTheme="majorEastAsia"/>
        </w:rPr>
        <w:t>t)</w:t>
      </w:r>
      <w:r>
        <w:rPr>
          <w:rStyle w:val="mord"/>
        </w:rPr>
        <w:t>r</w:t>
      </w:r>
      <w:proofErr w:type="gramEnd"/>
      <w:r>
        <w:rPr>
          <w:rStyle w:val="mopen"/>
        </w:rPr>
        <w:t>(</w:t>
      </w:r>
      <w:r>
        <w:rPr>
          <w:rStyle w:val="mord"/>
        </w:rPr>
        <w:t>t</w:t>
      </w:r>
      <w:r>
        <w:rPr>
          <w:rStyle w:val="mclose"/>
        </w:rPr>
        <w:t>)</w:t>
      </w:r>
      <w:r>
        <w:t xml:space="preserve"> lassen sich folgende Größen direkt ableiten:</w:t>
      </w:r>
    </w:p>
    <w:p w14:paraId="4A0132C2" w14:textId="77777777" w:rsidR="002262A8" w:rsidRDefault="002262A8" w:rsidP="002262A8">
      <w:pPr>
        <w:pStyle w:val="StandardWeb"/>
        <w:numPr>
          <w:ilvl w:val="0"/>
          <w:numId w:val="9"/>
        </w:numPr>
      </w:pPr>
      <w:r>
        <w:t xml:space="preserve">Geschwindigkeit: </w:t>
      </w:r>
      <w:r>
        <w:rPr>
          <w:rStyle w:val="katex-mathml"/>
          <w:rFonts w:eastAsiaTheme="majorEastAsia"/>
        </w:rPr>
        <w:t>v</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ddtr</w:t>
      </w:r>
      <w:proofErr w:type="spellEnd"/>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{v}(t) = \</w:t>
      </w:r>
      <w:proofErr w:type="spellStart"/>
      <w:r>
        <w:rPr>
          <w:rStyle w:val="katex-mathml"/>
          <w:rFonts w:eastAsiaTheme="majorEastAsia"/>
        </w:rPr>
        <w:t>frac</w:t>
      </w:r>
      <w:proofErr w:type="spellEnd"/>
      <w:r>
        <w:rPr>
          <w:rStyle w:val="katex-mathml"/>
          <w:rFonts w:eastAsiaTheme="majorEastAsia"/>
        </w:rPr>
        <w:t>{d}{</w:t>
      </w:r>
      <w:proofErr w:type="spellStart"/>
      <w:r>
        <w:rPr>
          <w:rStyle w:val="katex-mathml"/>
          <w:rFonts w:eastAsiaTheme="majorEastAsia"/>
        </w:rPr>
        <w:t>dt</w:t>
      </w:r>
      <w:proofErr w:type="spellEnd"/>
      <w:r>
        <w:rPr>
          <w:rStyle w:val="katex-mathml"/>
          <w:rFonts w:eastAsiaTheme="majorEastAsia"/>
        </w:rPr>
        <w:t>} \</w:t>
      </w:r>
      <w:proofErr w:type="spellStart"/>
      <w:r>
        <w:rPr>
          <w:rStyle w:val="katex-mathml"/>
          <w:rFonts w:eastAsiaTheme="majorEastAsia"/>
        </w:rPr>
        <w:t>vec</w:t>
      </w:r>
      <w:proofErr w:type="spellEnd"/>
      <w:r>
        <w:rPr>
          <w:rStyle w:val="katex-mathml"/>
          <w:rFonts w:eastAsiaTheme="majorEastAsia"/>
        </w:rPr>
        <w:t>{r}(</w:t>
      </w:r>
      <w:proofErr w:type="gramStart"/>
      <w:r>
        <w:rPr>
          <w:rStyle w:val="katex-mathml"/>
          <w:rFonts w:eastAsiaTheme="majorEastAsia"/>
        </w:rPr>
        <w:t>t)</w:t>
      </w:r>
      <w:r>
        <w:rPr>
          <w:rStyle w:val="mord"/>
        </w:rPr>
        <w:t>v</w:t>
      </w:r>
      <w:proofErr w:type="gramEnd"/>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r</w:t>
      </w:r>
      <w:r>
        <w:rPr>
          <w:rStyle w:val="mopen"/>
        </w:rPr>
        <w:t>(</w:t>
      </w:r>
      <w:r>
        <w:rPr>
          <w:rStyle w:val="mord"/>
        </w:rPr>
        <w:t>t</w:t>
      </w:r>
      <w:r>
        <w:rPr>
          <w:rStyle w:val="mclose"/>
        </w:rPr>
        <w:t>)</w:t>
      </w:r>
    </w:p>
    <w:p w14:paraId="2B051B6A" w14:textId="77777777" w:rsidR="002262A8" w:rsidRDefault="002262A8" w:rsidP="002262A8">
      <w:pPr>
        <w:pStyle w:val="StandardWeb"/>
        <w:numPr>
          <w:ilvl w:val="0"/>
          <w:numId w:val="9"/>
        </w:numPr>
      </w:pPr>
      <w:r>
        <w:t xml:space="preserve">Beschleunigung: </w:t>
      </w:r>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(t)=d2dt2r</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{a}(t) = \</w:t>
      </w:r>
      <w:proofErr w:type="spellStart"/>
      <w:r>
        <w:rPr>
          <w:rStyle w:val="katex-mathml"/>
          <w:rFonts w:eastAsiaTheme="majorEastAsia"/>
        </w:rPr>
        <w:t>frac</w:t>
      </w:r>
      <w:proofErr w:type="spellEnd"/>
      <w:r>
        <w:rPr>
          <w:rStyle w:val="katex-mathml"/>
          <w:rFonts w:eastAsiaTheme="majorEastAsia"/>
        </w:rPr>
        <w:t>{d^</w:t>
      </w:r>
      <w:proofErr w:type="gramStart"/>
      <w:r>
        <w:rPr>
          <w:rStyle w:val="katex-mathml"/>
          <w:rFonts w:eastAsiaTheme="majorEastAsia"/>
        </w:rPr>
        <w:t>2}{</w:t>
      </w:r>
      <w:proofErr w:type="gramEnd"/>
      <w:r>
        <w:rPr>
          <w:rStyle w:val="katex-mathml"/>
          <w:rFonts w:eastAsiaTheme="majorEastAsia"/>
        </w:rPr>
        <w:t>dt^2} \</w:t>
      </w:r>
      <w:proofErr w:type="spellStart"/>
      <w:r>
        <w:rPr>
          <w:rStyle w:val="katex-mathml"/>
          <w:rFonts w:eastAsiaTheme="majorEastAsia"/>
        </w:rPr>
        <w:t>vec</w:t>
      </w:r>
      <w:proofErr w:type="spellEnd"/>
      <w:r>
        <w:rPr>
          <w:rStyle w:val="katex-mathml"/>
          <w:rFonts w:eastAsiaTheme="majorEastAsia"/>
        </w:rPr>
        <w:t>{r}(t)</w:t>
      </w:r>
      <w:r>
        <w:rPr>
          <w:rStyle w:val="mord"/>
        </w:rPr>
        <w:t>a</w:t>
      </w:r>
      <w:r>
        <w:rPr>
          <w:rStyle w:val="mopen"/>
        </w:rPr>
        <w:t>(</w:t>
      </w:r>
      <w:r>
        <w:rPr>
          <w:rStyle w:val="mord"/>
        </w:rPr>
        <w:t>t</w:t>
      </w:r>
      <w:r>
        <w:rPr>
          <w:rStyle w:val="mclose"/>
        </w:rPr>
        <w:t>)</w:t>
      </w:r>
      <w:r>
        <w:rPr>
          <w:rStyle w:val="mrel"/>
        </w:rPr>
        <w:t>=</w:t>
      </w:r>
      <w:r>
        <w:rPr>
          <w:rStyle w:val="mord"/>
        </w:rPr>
        <w:t>dt2d2</w:t>
      </w:r>
      <w:r>
        <w:rPr>
          <w:rStyle w:val="vlist-s"/>
        </w:rPr>
        <w:t>​</w:t>
      </w:r>
      <w:r>
        <w:rPr>
          <w:rStyle w:val="mord"/>
        </w:rPr>
        <w:t>r</w:t>
      </w:r>
      <w:r>
        <w:rPr>
          <w:rStyle w:val="mopen"/>
        </w:rPr>
        <w:t>(</w:t>
      </w:r>
      <w:r>
        <w:rPr>
          <w:rStyle w:val="mord"/>
        </w:rPr>
        <w:t>t</w:t>
      </w:r>
      <w:r>
        <w:rPr>
          <w:rStyle w:val="mclose"/>
        </w:rPr>
        <w:t>)</w:t>
      </w:r>
    </w:p>
    <w:p w14:paraId="7DF96A4D" w14:textId="77777777" w:rsidR="002262A8" w:rsidRDefault="002262A8" w:rsidP="002262A8">
      <w:pPr>
        <w:pStyle w:val="StandardWeb"/>
        <w:numPr>
          <w:ilvl w:val="0"/>
          <w:numId w:val="9"/>
        </w:numPr>
      </w:pPr>
      <w:r>
        <w:t xml:space="preserve">Kraft: </w:t>
      </w:r>
      <w:r>
        <w:rPr>
          <w:rStyle w:val="katex-mathml"/>
          <w:rFonts w:eastAsiaTheme="majorEastAsia"/>
        </w:rPr>
        <w:t>F</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m</w:t>
      </w:r>
      <w:r>
        <w:rPr>
          <w:rStyle w:val="katex-mathml"/>
          <w:rFonts w:ascii="Cambria Math" w:eastAsiaTheme="majorEastAsia" w:hAnsi="Cambria Math" w:cs="Cambria Math"/>
        </w:rPr>
        <w:t>⋅</w:t>
      </w:r>
      <w:r>
        <w:rPr>
          <w:rStyle w:val="katex-mathml"/>
          <w:rFonts w:eastAsiaTheme="majorEastAsia"/>
        </w:rPr>
        <w:t>a</w:t>
      </w:r>
      <w:proofErr w:type="spellEnd"/>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{F}(t) = m \</w:t>
      </w:r>
      <w:proofErr w:type="spellStart"/>
      <w:r>
        <w:rPr>
          <w:rStyle w:val="katex-mathml"/>
          <w:rFonts w:eastAsiaTheme="majorEastAsia"/>
        </w:rPr>
        <w:t>cdot</w:t>
      </w:r>
      <w:proofErr w:type="spellEnd"/>
      <w:r>
        <w:rPr>
          <w:rStyle w:val="katex-mathml"/>
          <w:rFonts w:eastAsiaTheme="majorEastAsia"/>
        </w:rPr>
        <w:t xml:space="preserve"> \</w:t>
      </w:r>
      <w:proofErr w:type="spellStart"/>
      <w:r>
        <w:rPr>
          <w:rStyle w:val="katex-mathml"/>
          <w:rFonts w:eastAsiaTheme="majorEastAsia"/>
        </w:rPr>
        <w:t>vec</w:t>
      </w:r>
      <w:proofErr w:type="spellEnd"/>
      <w:r>
        <w:rPr>
          <w:rStyle w:val="katex-mathml"/>
          <w:rFonts w:eastAsiaTheme="majorEastAsia"/>
        </w:rPr>
        <w:t>{a}(</w:t>
      </w:r>
      <w:proofErr w:type="gramStart"/>
      <w:r>
        <w:rPr>
          <w:rStyle w:val="katex-mathml"/>
          <w:rFonts w:eastAsiaTheme="majorEastAsia"/>
        </w:rPr>
        <w:t>t)</w:t>
      </w:r>
      <w:r>
        <w:rPr>
          <w:rStyle w:val="mord"/>
        </w:rPr>
        <w:t>F</w:t>
      </w:r>
      <w:proofErr w:type="gramEnd"/>
      <w:r>
        <w:rPr>
          <w:rStyle w:val="mopen"/>
        </w:rPr>
        <w:t>(</w:t>
      </w:r>
      <w:r>
        <w:rPr>
          <w:rStyle w:val="mord"/>
        </w:rPr>
        <w:t>t</w:t>
      </w:r>
      <w:r>
        <w:rPr>
          <w:rStyle w:val="mclose"/>
        </w:rPr>
        <w:t>)</w:t>
      </w:r>
      <w:r>
        <w:rPr>
          <w:rStyle w:val="mrel"/>
        </w:rPr>
        <w:t>=</w:t>
      </w:r>
      <w:proofErr w:type="spellStart"/>
      <w:r>
        <w:rPr>
          <w:rStyle w:val="mord"/>
        </w:rPr>
        <w:t>m</w:t>
      </w:r>
      <w:r>
        <w:rPr>
          <w:rStyle w:val="mbin"/>
          <w:rFonts w:ascii="Cambria Math" w:hAnsi="Cambria Math" w:cs="Cambria Math"/>
        </w:rPr>
        <w:t>⋅</w:t>
      </w:r>
      <w:r>
        <w:rPr>
          <w:rStyle w:val="mord"/>
        </w:rPr>
        <w:t>a</w:t>
      </w:r>
      <w:proofErr w:type="spellEnd"/>
      <w:r>
        <w:rPr>
          <w:rStyle w:val="mopen"/>
        </w:rPr>
        <w:t>(</w:t>
      </w:r>
      <w:r>
        <w:rPr>
          <w:rStyle w:val="mord"/>
        </w:rPr>
        <w:t>t</w:t>
      </w:r>
      <w:r>
        <w:rPr>
          <w:rStyle w:val="mclose"/>
        </w:rPr>
        <w:t>)</w:t>
      </w:r>
      <w:r>
        <w:br/>
        <w:t>Damit wird aus einer einfachen Ortsfunktion ein vollständiges dynamisches Modell.</w:t>
      </w:r>
    </w:p>
    <w:p w14:paraId="64700009" w14:textId="77777777" w:rsidR="002262A8" w:rsidRDefault="002262A8" w:rsidP="002262A8">
      <w:pPr>
        <w:pStyle w:val="StandardWeb"/>
        <w:numPr>
          <w:ilvl w:val="0"/>
          <w:numId w:val="10"/>
        </w:numPr>
      </w:pPr>
      <w:r>
        <w:rPr>
          <w:rStyle w:val="Fett"/>
        </w:rPr>
        <w:t xml:space="preserve">Vergleichbarkeit und </w:t>
      </w:r>
      <w:proofErr w:type="gramStart"/>
      <w:r>
        <w:rPr>
          <w:rStyle w:val="Fett"/>
        </w:rPr>
        <w:t>Wiederholbarkeit</w:t>
      </w:r>
      <w:proofErr w:type="gramEnd"/>
      <w:r>
        <w:br/>
        <w:t>Wenn alle Bewegungen im gleichen funktionalen Bezugssystem dargestellt werden, sind die Daten vergleichbar, reproduzierbar und objektivierbar – Grundlage jeder Naturwissenschaft.</w:t>
      </w:r>
    </w:p>
    <w:p w14:paraId="37BE410C" w14:textId="77777777" w:rsidR="002262A8" w:rsidRDefault="002262A8" w:rsidP="002262A8">
      <w:pPr>
        <w:pStyle w:val="StandardWeb"/>
        <w:numPr>
          <w:ilvl w:val="0"/>
          <w:numId w:val="10"/>
        </w:numPr>
      </w:pPr>
      <w:r>
        <w:rPr>
          <w:rStyle w:val="Fett"/>
        </w:rPr>
        <w:t>Simulation und Vorhersage</w:t>
      </w:r>
      <w:r>
        <w:br/>
        <w:t>Funktionale Beschreibungen ermöglichen die numerische Simulation zukünftiger Zustände aus bekannten Anfangsbedingungen. Dies ist essenziell in der:</w:t>
      </w:r>
    </w:p>
    <w:p w14:paraId="18D232CB" w14:textId="77777777" w:rsidR="002262A8" w:rsidRDefault="002262A8" w:rsidP="002262A8">
      <w:pPr>
        <w:pStyle w:val="StandardWeb"/>
        <w:numPr>
          <w:ilvl w:val="0"/>
          <w:numId w:val="11"/>
        </w:numPr>
      </w:pPr>
      <w:r>
        <w:t>Raumfahrt (z. B. exakte Bahn zum Mond),</w:t>
      </w:r>
    </w:p>
    <w:p w14:paraId="52F34985" w14:textId="77777777" w:rsidR="002262A8" w:rsidRDefault="002262A8" w:rsidP="002262A8">
      <w:pPr>
        <w:pStyle w:val="StandardWeb"/>
        <w:numPr>
          <w:ilvl w:val="0"/>
          <w:numId w:val="11"/>
        </w:numPr>
      </w:pPr>
      <w:r>
        <w:t>Robotik,</w:t>
      </w:r>
    </w:p>
    <w:p w14:paraId="5A5860DC" w14:textId="77777777" w:rsidR="002262A8" w:rsidRDefault="002262A8" w:rsidP="002262A8">
      <w:pPr>
        <w:pStyle w:val="StandardWeb"/>
        <w:numPr>
          <w:ilvl w:val="0"/>
          <w:numId w:val="11"/>
        </w:numPr>
      </w:pPr>
      <w:r>
        <w:t>Meteorologie.</w:t>
      </w:r>
    </w:p>
    <w:p w14:paraId="0B88C732" w14:textId="77777777" w:rsidR="002262A8" w:rsidRDefault="002262A8" w:rsidP="002262A8">
      <w:pPr>
        <w:pStyle w:val="StandardWeb"/>
        <w:numPr>
          <w:ilvl w:val="0"/>
          <w:numId w:val="12"/>
        </w:numPr>
      </w:pPr>
      <w:r>
        <w:rPr>
          <w:rStyle w:val="Fett"/>
        </w:rPr>
        <w:t>Übertragbarkeit auf andere Systeme</w:t>
      </w:r>
      <w:r>
        <w:br/>
        <w:t>Das Konzept funktioniert modellübergreifend – für mikroskopische, makroskopische und astronomische Systeme.</w:t>
      </w:r>
    </w:p>
    <w:p w14:paraId="194E7287" w14:textId="77777777" w:rsidR="002262A8" w:rsidRDefault="002262A8" w:rsidP="002262A8">
      <w:pPr>
        <w:pStyle w:val="StandardWeb"/>
        <w:numPr>
          <w:ilvl w:val="0"/>
          <w:numId w:val="12"/>
        </w:numPr>
      </w:pPr>
      <w:r>
        <w:rPr>
          <w:rStyle w:val="Fett"/>
        </w:rPr>
        <w:t>Erweiterung auf Felder und höhere Dimensionen</w:t>
      </w:r>
      <w:r>
        <w:br/>
        <w:t>Das FRZK lässt sich auf skalare und vektorielle Felder erweitern:</w:t>
      </w:r>
    </w:p>
    <w:p w14:paraId="718C62B5" w14:textId="77777777" w:rsidR="002262A8" w:rsidRDefault="002262A8" w:rsidP="002262A8">
      <w:pPr>
        <w:pStyle w:val="StandardWeb"/>
        <w:numPr>
          <w:ilvl w:val="0"/>
          <w:numId w:val="13"/>
        </w:numPr>
      </w:pPr>
      <w:r>
        <w:t xml:space="preserve">Elektrisches Feld: </w:t>
      </w:r>
      <w:r>
        <w:rPr>
          <w:rStyle w:val="katex-mathml"/>
          <w:rFonts w:eastAsiaTheme="majorEastAsia"/>
        </w:rPr>
        <w:t>E(</w:t>
      </w:r>
      <w:proofErr w:type="spellStart"/>
      <w:proofErr w:type="gramStart"/>
      <w:r>
        <w:rPr>
          <w:rStyle w:val="katex-mathml"/>
          <w:rFonts w:eastAsiaTheme="majorEastAsia"/>
        </w:rPr>
        <w:t>x,y</w:t>
      </w:r>
      <w:proofErr w:type="gramEnd"/>
      <w:r>
        <w:rPr>
          <w:rStyle w:val="katex-mathml"/>
          <w:rFonts w:eastAsiaTheme="majorEastAsia"/>
        </w:rPr>
        <w:t>,z,t</w:t>
      </w:r>
      <w:proofErr w:type="spellEnd"/>
      <w:r>
        <w:rPr>
          <w:rStyle w:val="katex-mathml"/>
          <w:rFonts w:eastAsiaTheme="majorEastAsia"/>
        </w:rPr>
        <w:t>)E(</w:t>
      </w:r>
      <w:proofErr w:type="spellStart"/>
      <w:r>
        <w:rPr>
          <w:rStyle w:val="katex-mathml"/>
          <w:rFonts w:eastAsiaTheme="majorEastAsia"/>
        </w:rPr>
        <w:t>x,y,z,t</w:t>
      </w:r>
      <w:proofErr w:type="spellEnd"/>
      <w:r>
        <w:rPr>
          <w:rStyle w:val="katex-mathml"/>
          <w:rFonts w:eastAsiaTheme="majorEastAsia"/>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31B3A667" w14:textId="77777777" w:rsidR="002262A8" w:rsidRDefault="002262A8" w:rsidP="002262A8">
      <w:pPr>
        <w:pStyle w:val="StandardWeb"/>
        <w:numPr>
          <w:ilvl w:val="0"/>
          <w:numId w:val="13"/>
        </w:numPr>
      </w:pPr>
      <w:r>
        <w:t xml:space="preserve">Temperaturverlauf: </w:t>
      </w:r>
      <w:r>
        <w:rPr>
          <w:rStyle w:val="katex-mathml"/>
          <w:rFonts w:eastAsiaTheme="majorEastAsia"/>
        </w:rPr>
        <w:t>T(</w:t>
      </w:r>
      <w:proofErr w:type="spellStart"/>
      <w:proofErr w:type="gramStart"/>
      <w:r>
        <w:rPr>
          <w:rStyle w:val="katex-mathml"/>
          <w:rFonts w:eastAsiaTheme="majorEastAsia"/>
        </w:rPr>
        <w:t>x,y</w:t>
      </w:r>
      <w:proofErr w:type="gramEnd"/>
      <w:r>
        <w:rPr>
          <w:rStyle w:val="katex-mathml"/>
          <w:rFonts w:eastAsiaTheme="majorEastAsia"/>
        </w:rPr>
        <w:t>,z,t</w:t>
      </w:r>
      <w:proofErr w:type="spellEnd"/>
      <w:r>
        <w:rPr>
          <w:rStyle w:val="katex-mathml"/>
          <w:rFonts w:eastAsiaTheme="majorEastAsia"/>
        </w:rPr>
        <w:t>)T(</w:t>
      </w:r>
      <w:proofErr w:type="spellStart"/>
      <w:r>
        <w:rPr>
          <w:rStyle w:val="katex-mathml"/>
          <w:rFonts w:eastAsiaTheme="majorEastAsia"/>
        </w:rPr>
        <w:t>x,y,z,t</w:t>
      </w:r>
      <w:proofErr w:type="spellEnd"/>
      <w:r>
        <w:rPr>
          <w:rStyle w:val="katex-mathml"/>
          <w:rFonts w:eastAsiaTheme="majorEastAsia"/>
        </w:rPr>
        <w:t>)</w:t>
      </w:r>
      <w:r>
        <w:rPr>
          <w:rStyle w:val="mord"/>
        </w:rPr>
        <w:t>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br/>
        <w:t>Diese Felder sind Grundlage für Differentialgleichungen (Maxwell, Schrödinger, Navier-Stokes).</w:t>
      </w:r>
    </w:p>
    <w:p w14:paraId="54037F94" w14:textId="77777777" w:rsidR="002262A8" w:rsidRDefault="002262A8" w:rsidP="002262A8">
      <w:pPr>
        <w:pStyle w:val="StandardWeb"/>
        <w:numPr>
          <w:ilvl w:val="0"/>
          <w:numId w:val="14"/>
        </w:numPr>
      </w:pPr>
      <w:r>
        <w:rPr>
          <w:rStyle w:val="Fett"/>
        </w:rPr>
        <w:t>Transformation zwischen Bezugssystemen</w:t>
      </w:r>
      <w:r>
        <w:br/>
        <w:t xml:space="preserve">Funktionale Darstellungen ermöglichen Transformationen in andere Bezugssysteme (z. B. </w:t>
      </w:r>
      <w:proofErr w:type="spellStart"/>
      <w:r>
        <w:t>Lorentztransformation</w:t>
      </w:r>
      <w:proofErr w:type="spellEnd"/>
      <w:r>
        <w:t xml:space="preserve"> in der Relativitätstheorie). Ohne diese Grundlage wäre eine systematische Beschreibung unmöglich.</w:t>
      </w:r>
    </w:p>
    <w:p w14:paraId="25423984" w14:textId="77777777" w:rsidR="002262A8" w:rsidRDefault="002262A8" w:rsidP="002262A8">
      <w:pPr>
        <w:pStyle w:val="StandardWeb"/>
      </w:pPr>
      <w:r>
        <w:rPr>
          <w:rFonts w:ascii="Segoe UI Emoji" w:hAnsi="Segoe UI Emoji" w:cs="Segoe UI Emoji"/>
        </w:rPr>
        <w:t>✅</w:t>
      </w:r>
      <w:r>
        <w:t xml:space="preserve"> </w:t>
      </w:r>
      <w:r>
        <w:rPr>
          <w:rStyle w:val="Fett"/>
        </w:rPr>
        <w:t>Zusammenfassung:</w:t>
      </w:r>
      <w:r>
        <w:br/>
        <w:t>Das Funktionale Raum-Zeit-Koordinatensystem (FRZK) bietet:</w:t>
      </w:r>
    </w:p>
    <w:p w14:paraId="78A5543E" w14:textId="77777777" w:rsidR="002262A8" w:rsidRDefault="002262A8" w:rsidP="002262A8">
      <w:pPr>
        <w:pStyle w:val="StandardWeb"/>
        <w:numPr>
          <w:ilvl w:val="0"/>
          <w:numId w:val="15"/>
        </w:numPr>
      </w:pPr>
      <w:r>
        <w:t>Präzision</w:t>
      </w:r>
    </w:p>
    <w:p w14:paraId="799DBFD0" w14:textId="77777777" w:rsidR="002262A8" w:rsidRDefault="002262A8" w:rsidP="002262A8">
      <w:pPr>
        <w:pStyle w:val="StandardWeb"/>
        <w:numPr>
          <w:ilvl w:val="0"/>
          <w:numId w:val="15"/>
        </w:numPr>
      </w:pPr>
      <w:r>
        <w:t>Allgemeingültigkeit</w:t>
      </w:r>
    </w:p>
    <w:p w14:paraId="33D480FB" w14:textId="77777777" w:rsidR="002262A8" w:rsidRDefault="002262A8" w:rsidP="002262A8">
      <w:pPr>
        <w:pStyle w:val="StandardWeb"/>
        <w:numPr>
          <w:ilvl w:val="0"/>
          <w:numId w:val="15"/>
        </w:numPr>
      </w:pPr>
      <w:r>
        <w:t>Vorhersagekraft</w:t>
      </w:r>
    </w:p>
    <w:p w14:paraId="7A64DEBE" w14:textId="77777777" w:rsidR="002262A8" w:rsidRDefault="002262A8" w:rsidP="002262A8">
      <w:pPr>
        <w:pStyle w:val="StandardWeb"/>
        <w:numPr>
          <w:ilvl w:val="0"/>
          <w:numId w:val="15"/>
        </w:numPr>
      </w:pPr>
      <w:r>
        <w:t>Ableitbarkeit physikalischer Größen</w:t>
      </w:r>
    </w:p>
    <w:p w14:paraId="0AC21CC2" w14:textId="77777777" w:rsidR="002262A8" w:rsidRDefault="002262A8" w:rsidP="002262A8">
      <w:pPr>
        <w:pStyle w:val="StandardWeb"/>
        <w:numPr>
          <w:ilvl w:val="0"/>
          <w:numId w:val="15"/>
        </w:numPr>
      </w:pPr>
      <w:r>
        <w:t>Vergleichbarkeit</w:t>
      </w:r>
    </w:p>
    <w:p w14:paraId="53D5EA29" w14:textId="77777777" w:rsidR="002262A8" w:rsidRDefault="002262A8" w:rsidP="002262A8">
      <w:pPr>
        <w:pStyle w:val="StandardWeb"/>
        <w:numPr>
          <w:ilvl w:val="0"/>
          <w:numId w:val="15"/>
        </w:numPr>
      </w:pPr>
      <w:r>
        <w:t>Erweiterbarkeit</w:t>
      </w:r>
    </w:p>
    <w:p w14:paraId="5084FCC3" w14:textId="77777777" w:rsidR="002262A8" w:rsidRDefault="002262A8" w:rsidP="002262A8">
      <w:pPr>
        <w:pStyle w:val="StandardWeb"/>
        <w:numPr>
          <w:ilvl w:val="0"/>
          <w:numId w:val="15"/>
        </w:numPr>
      </w:pPr>
      <w:r>
        <w:t>Transformation in andere Bezugssysteme</w:t>
      </w:r>
    </w:p>
    <w:p w14:paraId="18E1A4D3" w14:textId="77777777" w:rsidR="002262A8" w:rsidRDefault="002262A8" w:rsidP="002262A8">
      <w:pPr>
        <w:pStyle w:val="berschrift2"/>
      </w:pPr>
      <w:r>
        <w:lastRenderedPageBreak/>
        <w:t>4.6 Visualisierung als didaktisches Instrument</w:t>
      </w:r>
    </w:p>
    <w:p w14:paraId="237D0048" w14:textId="77777777" w:rsidR="002262A8" w:rsidRDefault="002262A8" w:rsidP="002262A8">
      <w:pPr>
        <w:pStyle w:val="StandardWeb"/>
      </w:pPr>
      <w:r>
        <w:t xml:space="preserve">Die explizite Formulierung physikalischer Bewegungen in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erleichtert nicht nur die mathematische Analyse, sondern bietet auch einen didaktischen Mehrwert: Durch Variation einzelner Parameter lassen sich Systemverhalten explorativ erschließen und visualisieren. Studierende können z. B. Frequenzverhältnisse oder Überlagerungseffekte untersuchen und translatorische von oszillatorischen Anteilen unterscheiden.</w:t>
      </w:r>
    </w:p>
    <w:p w14:paraId="0D808487" w14:textId="77777777" w:rsidR="002262A8" w:rsidRDefault="002262A8" w:rsidP="002262A8">
      <w:pPr>
        <w:pStyle w:val="StandardWeb"/>
      </w:pPr>
      <w:r>
        <w:t>Solche Visualisierungen fördern konzeptuelles Verständnis und ermöglichen eine intuitive Annäherung an komplexe physikalische Prozesse [6].</w:t>
      </w:r>
    </w:p>
    <w:p w14:paraId="1668F5A1" w14:textId="77777777" w:rsidR="002262A8" w:rsidRDefault="002262A8" w:rsidP="002262A8">
      <w:pPr>
        <w:pStyle w:val="berschrift2"/>
      </w:pPr>
      <w:r>
        <w:t>4.7 Wissenschaftlicher und methodologischer Nutzen</w:t>
      </w:r>
    </w:p>
    <w:p w14:paraId="53A3D902" w14:textId="77777777" w:rsidR="002262A8" w:rsidRDefault="002262A8" w:rsidP="002262A8">
      <w:pPr>
        <w:pStyle w:val="berschrift3"/>
      </w:pPr>
      <w:r>
        <w:t>4.7.1 Strukturelle Vereinheitlichung</w:t>
      </w:r>
    </w:p>
    <w:p w14:paraId="4FC9126B" w14:textId="77777777" w:rsidR="002262A8" w:rsidRDefault="002262A8" w:rsidP="002262A8">
      <w:pPr>
        <w:pStyle w:val="StandardWeb"/>
      </w:pPr>
      <w:r>
        <w:t>Das FRZK erlaubt die einheitliche Darstellung unterschiedlichster physikalischer Systeme in einem konsistenten Formalschema. Diese Vereinheitlichung erleichtert die vergleichende Analyse und unterstützt systematische Modellbildung.</w:t>
      </w:r>
    </w:p>
    <w:p w14:paraId="6FD473E7" w14:textId="77777777" w:rsidR="002262A8" w:rsidRDefault="002262A8" w:rsidP="002262A8">
      <w:pPr>
        <w:pStyle w:val="berschrift3"/>
      </w:pPr>
      <w:r>
        <w:t>4.7.2 Methodische Transparenz</w:t>
      </w:r>
    </w:p>
    <w:p w14:paraId="446F4760" w14:textId="77777777" w:rsidR="002262A8" w:rsidRDefault="002262A8" w:rsidP="002262A8">
      <w:pPr>
        <w:pStyle w:val="StandardWeb"/>
      </w:pPr>
      <w:r>
        <w:t xml:space="preserve">Durch die explizite Darstellung aller Modellkomponenten werden Annahmen und Struktur des Modells klar sichtbar. Dies </w:t>
      </w:r>
      <w:proofErr w:type="gramStart"/>
      <w:r>
        <w:t>erhöht</w:t>
      </w:r>
      <w:proofErr w:type="gramEnd"/>
      <w:r>
        <w:t xml:space="preserve"> die Nachvollziehbarkeit und Reproduzierbarkeit – zentrale Anforderungen moderner Wissenschaft [7].</w:t>
      </w:r>
    </w:p>
    <w:p w14:paraId="7C11FB6C" w14:textId="77777777" w:rsidR="002262A8" w:rsidRDefault="002262A8" w:rsidP="002262A8">
      <w:pPr>
        <w:pStyle w:val="berschrift3"/>
      </w:pPr>
      <w:r>
        <w:t>4.7.3 Mathematische Anschlussfähigkeit</w:t>
      </w:r>
    </w:p>
    <w:p w14:paraId="58E75E5C" w14:textId="77777777" w:rsidR="002262A8" w:rsidRDefault="002262A8" w:rsidP="002262A8">
      <w:pPr>
        <w:pStyle w:val="StandardWeb"/>
      </w:pPr>
      <w:r>
        <w:t>Funktionale Darstellungen sind direkt zugänglich für klassische mathematische Verfahren: Differentiation, Integration, Fourier-Analyse und mehr. Dies vereinfacht Übergänge von Theorie zu Simulation und Datenanalyse.</w:t>
      </w:r>
    </w:p>
    <w:p w14:paraId="3F1BE0A4" w14:textId="77777777" w:rsidR="002262A8" w:rsidRDefault="002262A8" w:rsidP="002262A8">
      <w:pPr>
        <w:pStyle w:val="berschrift3"/>
      </w:pPr>
      <w:r>
        <w:t>4.7.4 Numerische Effizienz</w:t>
      </w:r>
    </w:p>
    <w:p w14:paraId="2B85B8AA" w14:textId="77777777" w:rsidR="002262A8" w:rsidRDefault="002262A8" w:rsidP="002262A8">
      <w:pPr>
        <w:pStyle w:val="StandardWeb"/>
      </w:pPr>
      <w:r>
        <w:t>Im Vergleich zu diskreten Datensätzen ermöglichen funktionale Modelle effizientere Berechnungen, optimierbare Algorithmen und bessere Integration in maschinelle Lernverfahren.</w:t>
      </w:r>
    </w:p>
    <w:p w14:paraId="440A175E" w14:textId="77777777" w:rsidR="002262A8" w:rsidRDefault="002262A8" w:rsidP="002262A8">
      <w:pPr>
        <w:pStyle w:val="berschrift3"/>
      </w:pPr>
      <w:r>
        <w:t>4.7.5 Didaktischer Mehrwert</w:t>
      </w:r>
    </w:p>
    <w:p w14:paraId="522F412C" w14:textId="77777777" w:rsidR="002262A8" w:rsidRDefault="002262A8" w:rsidP="002262A8">
      <w:pPr>
        <w:pStyle w:val="StandardWeb"/>
      </w:pPr>
      <w:r>
        <w:t>Für die Lehre bietet das FRZK:</w:t>
      </w:r>
    </w:p>
    <w:p w14:paraId="79E40E85" w14:textId="77777777" w:rsidR="002262A8" w:rsidRDefault="002262A8" w:rsidP="002262A8">
      <w:pPr>
        <w:pStyle w:val="StandardWeb"/>
        <w:numPr>
          <w:ilvl w:val="0"/>
          <w:numId w:val="16"/>
        </w:numPr>
      </w:pPr>
      <w:r>
        <w:t>eine kognitive Entlastung durch klare Struktur,</w:t>
      </w:r>
    </w:p>
    <w:p w14:paraId="3D0E06D8" w14:textId="77777777" w:rsidR="002262A8" w:rsidRDefault="002262A8" w:rsidP="002262A8">
      <w:pPr>
        <w:pStyle w:val="StandardWeb"/>
        <w:numPr>
          <w:ilvl w:val="0"/>
          <w:numId w:val="16"/>
        </w:numPr>
      </w:pPr>
      <w:r>
        <w:t>visuelle und interaktive Zugangsmöglichkeiten,</w:t>
      </w:r>
    </w:p>
    <w:p w14:paraId="5E295021" w14:textId="77777777" w:rsidR="002262A8" w:rsidRDefault="002262A8" w:rsidP="002262A8">
      <w:pPr>
        <w:pStyle w:val="StandardWeb"/>
        <w:numPr>
          <w:ilvl w:val="0"/>
          <w:numId w:val="16"/>
        </w:numPr>
      </w:pPr>
      <w:r>
        <w:t>ein Verständnis für systemisches Denken,</w:t>
      </w:r>
    </w:p>
    <w:p w14:paraId="71F3DCA6" w14:textId="77777777" w:rsidR="002262A8" w:rsidRDefault="002262A8" w:rsidP="002262A8">
      <w:pPr>
        <w:pStyle w:val="StandardWeb"/>
        <w:numPr>
          <w:ilvl w:val="0"/>
          <w:numId w:val="16"/>
        </w:numPr>
      </w:pPr>
      <w:r>
        <w:t>sowie eine Brücke zwischen Theorie und Praxis.</w:t>
      </w:r>
    </w:p>
    <w:p w14:paraId="3364C444" w14:textId="77777777" w:rsidR="002262A8" w:rsidRDefault="002262A8" w:rsidP="002262A8">
      <w:pPr>
        <w:pStyle w:val="berschrift3"/>
      </w:pPr>
      <w:r>
        <w:lastRenderedPageBreak/>
        <w:t>4.7.6 Interdisziplinäre Anschlussfähigkeit</w:t>
      </w:r>
    </w:p>
    <w:p w14:paraId="3BCA3733" w14:textId="77777777" w:rsidR="002262A8" w:rsidRDefault="002262A8" w:rsidP="002262A8">
      <w:pPr>
        <w:pStyle w:val="StandardWeb"/>
      </w:pPr>
      <w:r>
        <w:t>Neben der Physik kann das FRZK in Bereichen wie Robotik, Biomechanik, Medizintechnik oder Verkehrssimulation Anwendung finden. Seine Strukturierung erlaubt domänenübergreifende Modellierungen dynamischer Systeme.</w:t>
      </w:r>
    </w:p>
    <w:p w14:paraId="57B478D7" w14:textId="77777777" w:rsidR="002262A8" w:rsidRDefault="002262A8" w:rsidP="002262A8">
      <w:pPr>
        <w:pStyle w:val="berschrift2"/>
      </w:pPr>
      <w:r>
        <w:t>4.8 Fazit</w:t>
      </w:r>
    </w:p>
    <w:p w14:paraId="418CBDBA" w14:textId="77777777" w:rsidR="002262A8" w:rsidRDefault="002262A8" w:rsidP="002262A8">
      <w:pPr>
        <w:pStyle w:val="StandardWeb"/>
      </w:pPr>
      <w:r>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p>
    <w:p w14:paraId="4F575871" w14:textId="77777777" w:rsidR="002262A8" w:rsidRDefault="002262A8" w:rsidP="002262A8">
      <w:pPr>
        <w:pStyle w:val="StandardWeb"/>
      </w:pPr>
      <w:r>
        <w:t>Die Vorteile des FRZK umfassen:</w:t>
      </w:r>
    </w:p>
    <w:p w14:paraId="64E8D904" w14:textId="77777777" w:rsidR="002262A8" w:rsidRDefault="002262A8" w:rsidP="002262A8">
      <w:pPr>
        <w:pStyle w:val="StandardWeb"/>
        <w:numPr>
          <w:ilvl w:val="0"/>
          <w:numId w:val="17"/>
        </w:numPr>
      </w:pPr>
      <w:r>
        <w:t>eine einheitliche Strukturierung physikalischer Modelle,</w:t>
      </w:r>
    </w:p>
    <w:p w14:paraId="53DA52DB" w14:textId="77777777" w:rsidR="002262A8" w:rsidRDefault="002262A8" w:rsidP="002262A8">
      <w:pPr>
        <w:pStyle w:val="StandardWeb"/>
        <w:numPr>
          <w:ilvl w:val="0"/>
          <w:numId w:val="17"/>
        </w:numPr>
      </w:pPr>
      <w:r>
        <w:t>klare Nachvollziehbarkeit und Reproduzierbarkeit,</w:t>
      </w:r>
    </w:p>
    <w:p w14:paraId="79A984AE" w14:textId="77777777" w:rsidR="002262A8" w:rsidRDefault="002262A8" w:rsidP="002262A8">
      <w:pPr>
        <w:pStyle w:val="StandardWeb"/>
        <w:numPr>
          <w:ilvl w:val="0"/>
          <w:numId w:val="17"/>
        </w:numPr>
      </w:pPr>
      <w:r>
        <w:t>umfassende Anschlussfähigkeit an mathematische Verfahren und numerische Simulation,</w:t>
      </w:r>
    </w:p>
    <w:p w14:paraId="77540157" w14:textId="77777777" w:rsidR="002262A8" w:rsidRDefault="002262A8" w:rsidP="002262A8">
      <w:pPr>
        <w:pStyle w:val="StandardWeb"/>
        <w:numPr>
          <w:ilvl w:val="0"/>
          <w:numId w:val="17"/>
        </w:numPr>
      </w:pPr>
      <w:r>
        <w:t>didaktische Potenziale zur Förderung konzeptuellen und systemischen Denkens,</w:t>
      </w:r>
    </w:p>
    <w:p w14:paraId="6CC469CD" w14:textId="77777777" w:rsidR="002262A8" w:rsidRDefault="002262A8" w:rsidP="002262A8">
      <w:pPr>
        <w:pStyle w:val="StandardWeb"/>
        <w:numPr>
          <w:ilvl w:val="0"/>
          <w:numId w:val="17"/>
        </w:numPr>
      </w:pPr>
      <w:r>
        <w:t>die Möglichkeit zur interdisziplinären Anwendung.</w:t>
      </w:r>
    </w:p>
    <w:p w14:paraId="461BDFC6" w14:textId="77777777" w:rsidR="002262A8" w:rsidRDefault="002262A8" w:rsidP="002262A8">
      <w:pPr>
        <w:pStyle w:val="StandardWeb"/>
      </w:pPr>
      <w:r>
        <w:t>Diese Eigenschaften unterstützen sowohl die wissenschaftliche Forschung als auch die naturwissenschaftliche Bildung und bieten somit eine solide Grundlage für innovative didaktisch-methodische Ansätze [1,3,5,7].</w:t>
      </w:r>
    </w:p>
    <w:p w14:paraId="366483F9" w14:textId="77777777" w:rsidR="002262A8" w:rsidRDefault="002262A8" w:rsidP="002262A8">
      <w:r>
        <w:pict w14:anchorId="3961C835">
          <v:rect id="_x0000_i1028" style="width:0;height:1.5pt" o:hralign="center" o:hrstd="t" o:hr="t" fillcolor="#a0a0a0" stroked="f"/>
        </w:pict>
      </w:r>
    </w:p>
    <w:p w14:paraId="4927C784" w14:textId="77777777" w:rsidR="002262A8" w:rsidRDefault="002262A8" w:rsidP="002262A8">
      <w:pPr>
        <w:pStyle w:val="berschrift1"/>
      </w:pPr>
      <w:r>
        <w:t>Literaturverzeichnis</w:t>
      </w:r>
    </w:p>
    <w:p w14:paraId="161DE78D" w14:textId="77777777" w:rsidR="002262A8" w:rsidRDefault="002262A8" w:rsidP="002262A8">
      <w:pPr>
        <w:pStyle w:val="StandardWeb"/>
        <w:numPr>
          <w:ilvl w:val="0"/>
          <w:numId w:val="18"/>
        </w:numPr>
      </w:pPr>
      <w:proofErr w:type="spellStart"/>
      <w:r>
        <w:t>Duit</w:t>
      </w:r>
      <w:proofErr w:type="spellEnd"/>
      <w:r>
        <w:t>, R. (2006). „Konzepte des Lernens und der Lehre in der Physikdidaktik“. In: Physikdidaktik – Forschung und Entwicklung, Springer.</w:t>
      </w:r>
    </w:p>
    <w:p w14:paraId="1448C279" w14:textId="77777777" w:rsidR="002262A8" w:rsidRDefault="002262A8" w:rsidP="002262A8">
      <w:pPr>
        <w:pStyle w:val="StandardWeb"/>
        <w:numPr>
          <w:ilvl w:val="0"/>
          <w:numId w:val="18"/>
        </w:numPr>
      </w:pPr>
      <w:r>
        <w:t xml:space="preserve">Karagöz, S., </w:t>
      </w:r>
      <w:proofErr w:type="spellStart"/>
      <w:r>
        <w:t>Niedderer</w:t>
      </w:r>
      <w:proofErr w:type="spellEnd"/>
      <w:r>
        <w:t>, H. (2014). „Vom Containerraum zum Koordinatenraum – Strukturwandel im Raumverständnis“. Zeitschrift für Didaktik der Naturwissenschaften, 20(2), 137–155.</w:t>
      </w:r>
    </w:p>
    <w:p w14:paraId="465962EA" w14:textId="77777777" w:rsidR="002262A8" w:rsidRDefault="002262A8" w:rsidP="002262A8">
      <w:pPr>
        <w:pStyle w:val="StandardWeb"/>
        <w:numPr>
          <w:ilvl w:val="0"/>
          <w:numId w:val="18"/>
        </w:numPr>
      </w:pPr>
      <w:r>
        <w:t xml:space="preserve">National Research Council (2012). „A Framework </w:t>
      </w:r>
      <w:proofErr w:type="spellStart"/>
      <w:r>
        <w:t>for</w:t>
      </w:r>
      <w:proofErr w:type="spellEnd"/>
      <w:r>
        <w:t xml:space="preserve"> K-12 Science Education: Practices, </w:t>
      </w:r>
      <w:proofErr w:type="spellStart"/>
      <w:r>
        <w:t>Crosscutting</w:t>
      </w:r>
      <w:proofErr w:type="spellEnd"/>
      <w:r>
        <w:t xml:space="preserve"> </w:t>
      </w:r>
      <w:proofErr w:type="spellStart"/>
      <w:r>
        <w:t>Concepts</w:t>
      </w:r>
      <w:proofErr w:type="spellEnd"/>
      <w:r>
        <w:t xml:space="preserve">, and Core </w:t>
      </w:r>
      <w:proofErr w:type="spellStart"/>
      <w:r>
        <w:t>Ideas</w:t>
      </w:r>
      <w:proofErr w:type="spellEnd"/>
      <w:r>
        <w:t xml:space="preserve">“. National </w:t>
      </w:r>
      <w:proofErr w:type="spellStart"/>
      <w:r>
        <w:t>Academies</w:t>
      </w:r>
      <w:proofErr w:type="spellEnd"/>
      <w:r>
        <w:t xml:space="preserve"> Press.</w:t>
      </w:r>
    </w:p>
    <w:p w14:paraId="6E34855E" w14:textId="77777777" w:rsidR="002262A8" w:rsidRDefault="002262A8" w:rsidP="002262A8">
      <w:pPr>
        <w:pStyle w:val="StandardWeb"/>
        <w:numPr>
          <w:ilvl w:val="0"/>
          <w:numId w:val="18"/>
        </w:numPr>
      </w:pPr>
      <w:r>
        <w:t xml:space="preserve">OECD (2018). „The Future </w:t>
      </w:r>
      <w:proofErr w:type="spellStart"/>
      <w:r>
        <w:t>of</w:t>
      </w:r>
      <w:proofErr w:type="spellEnd"/>
      <w:r>
        <w:t xml:space="preserve"> Education and Skills: Education 2030“. OECD Publishing.</w:t>
      </w:r>
    </w:p>
    <w:p w14:paraId="6FED6999" w14:textId="77777777" w:rsidR="002262A8" w:rsidRDefault="002262A8" w:rsidP="002262A8">
      <w:pPr>
        <w:pStyle w:val="StandardWeb"/>
        <w:numPr>
          <w:ilvl w:val="0"/>
          <w:numId w:val="18"/>
        </w:numPr>
      </w:pPr>
      <w:r>
        <w:t xml:space="preserve">Kuhn, T. S. (1970). „The </w:t>
      </w:r>
      <w:proofErr w:type="spellStart"/>
      <w:r>
        <w:t>Structure</w:t>
      </w:r>
      <w:proofErr w:type="spellEnd"/>
      <w:r>
        <w:t xml:space="preserve"> </w:t>
      </w:r>
      <w:proofErr w:type="spellStart"/>
      <w:r>
        <w:t>of</w:t>
      </w:r>
      <w:proofErr w:type="spellEnd"/>
      <w:r>
        <w:t xml:space="preserve"> Scientific </w:t>
      </w:r>
      <w:proofErr w:type="spellStart"/>
      <w:r>
        <w:t>Revolutions</w:t>
      </w:r>
      <w:proofErr w:type="spellEnd"/>
      <w:r>
        <w:t xml:space="preserve">“. University </w:t>
      </w:r>
      <w:proofErr w:type="spellStart"/>
      <w:r>
        <w:t>of</w:t>
      </w:r>
      <w:proofErr w:type="spellEnd"/>
      <w:r>
        <w:t xml:space="preserve"> Chicago Press.</w:t>
      </w:r>
    </w:p>
    <w:p w14:paraId="01F8F591" w14:textId="77777777" w:rsidR="002262A8" w:rsidRDefault="002262A8" w:rsidP="002262A8">
      <w:pPr>
        <w:pStyle w:val="StandardWeb"/>
        <w:numPr>
          <w:ilvl w:val="0"/>
          <w:numId w:val="18"/>
        </w:numPr>
      </w:pPr>
      <w:r>
        <w:t xml:space="preserve">de Jong, T., van </w:t>
      </w:r>
      <w:proofErr w:type="spellStart"/>
      <w:r>
        <w:t>Joolingen</w:t>
      </w:r>
      <w:proofErr w:type="spellEnd"/>
      <w:r>
        <w:t xml:space="preserve">, W. R. (1998). „Scientific Discovery Learning </w:t>
      </w:r>
      <w:proofErr w:type="spellStart"/>
      <w:r>
        <w:t>with</w:t>
      </w:r>
      <w:proofErr w:type="spellEnd"/>
      <w:r>
        <w:t xml:space="preserve"> Computer </w:t>
      </w:r>
      <w:proofErr w:type="spellStart"/>
      <w:r>
        <w:t>Simulations</w:t>
      </w:r>
      <w:proofErr w:type="spellEnd"/>
      <w:r>
        <w:t xml:space="preserve"> </w:t>
      </w:r>
      <w:proofErr w:type="spellStart"/>
      <w:r>
        <w:t>of</w:t>
      </w:r>
      <w:proofErr w:type="spellEnd"/>
      <w:r>
        <w:t xml:space="preserve"> </w:t>
      </w:r>
      <w:proofErr w:type="spellStart"/>
      <w:r>
        <w:t>Conceptual</w:t>
      </w:r>
      <w:proofErr w:type="spellEnd"/>
      <w:r>
        <w:t xml:space="preserve"> Domains“. Review </w:t>
      </w:r>
      <w:proofErr w:type="spellStart"/>
      <w:r>
        <w:t>of</w:t>
      </w:r>
      <w:proofErr w:type="spellEnd"/>
      <w:r>
        <w:t xml:space="preserve"> Educational Research, 68(2), 179–201.</w:t>
      </w:r>
    </w:p>
    <w:p w14:paraId="46F16D34" w14:textId="7C1DEBCB" w:rsidR="002262A8" w:rsidRDefault="002262A8" w:rsidP="002262A8">
      <w:pPr>
        <w:pStyle w:val="StandardWeb"/>
        <w:numPr>
          <w:ilvl w:val="0"/>
          <w:numId w:val="18"/>
        </w:numPr>
      </w:pPr>
      <w:r>
        <w:t>Mayer, R. E. (2009). „Multimedia Learning“. Cambridge University Press.</w:t>
      </w:r>
    </w:p>
    <w:p w14:paraId="22EBBC7D" w14:textId="48AAD70F" w:rsidR="002262A8" w:rsidRDefault="002262A8">
      <w:pPr>
        <w:spacing w:after="160" w:line="259" w:lineRule="auto"/>
      </w:pPr>
      <w:r>
        <w:br w:type="page"/>
      </w:r>
    </w:p>
    <w:p w14:paraId="5D093782" w14:textId="484CAC6C" w:rsidR="002262A8" w:rsidRDefault="002262A8" w:rsidP="002262A8">
      <w:pPr>
        <w:pStyle w:val="StandardWeb"/>
      </w:pPr>
      <w:r w:rsidRPr="002262A8">
        <w:lastRenderedPageBreak/>
        <w:drawing>
          <wp:inline distT="0" distB="0" distL="0" distR="0" wp14:anchorId="76E050AC" wp14:editId="71150FA0">
            <wp:extent cx="5760720" cy="68389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6838950"/>
                    </a:xfrm>
                    <a:prstGeom prst="rect">
                      <a:avLst/>
                    </a:prstGeom>
                  </pic:spPr>
                </pic:pic>
              </a:graphicData>
            </a:graphic>
          </wp:inline>
        </w:drawing>
      </w:r>
      <w:r w:rsidRPr="002262A8">
        <w:rPr>
          <w:noProof/>
        </w:rPr>
        <w:t xml:space="preserve"> </w:t>
      </w:r>
      <w:r w:rsidRPr="002262A8">
        <w:lastRenderedPageBreak/>
        <w:drawing>
          <wp:inline distT="0" distB="0" distL="0" distR="0" wp14:anchorId="5587BC6E" wp14:editId="44E375E4">
            <wp:extent cx="5760720" cy="507047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070475"/>
                    </a:xfrm>
                    <a:prstGeom prst="rect">
                      <a:avLst/>
                    </a:prstGeom>
                  </pic:spPr>
                </pic:pic>
              </a:graphicData>
            </a:graphic>
          </wp:inline>
        </w:drawing>
      </w:r>
      <w:r w:rsidRPr="002262A8">
        <w:rPr>
          <w:noProof/>
        </w:rPr>
        <w:t xml:space="preserve"> </w:t>
      </w:r>
      <w:r w:rsidRPr="002262A8">
        <w:rPr>
          <w:noProof/>
        </w:rPr>
        <w:lastRenderedPageBreak/>
        <w:drawing>
          <wp:inline distT="0" distB="0" distL="0" distR="0" wp14:anchorId="4400C967" wp14:editId="41F57401">
            <wp:extent cx="5760720" cy="4909820"/>
            <wp:effectExtent l="0" t="0" r="0" b="508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909820"/>
                    </a:xfrm>
                    <a:prstGeom prst="rect">
                      <a:avLst/>
                    </a:prstGeom>
                  </pic:spPr>
                </pic:pic>
              </a:graphicData>
            </a:graphic>
          </wp:inline>
        </w:drawing>
      </w:r>
      <w:r w:rsidRPr="002262A8">
        <w:rPr>
          <w:noProof/>
        </w:rPr>
        <w:t xml:space="preserve"> </w:t>
      </w:r>
      <w:r w:rsidRPr="002262A8">
        <w:rPr>
          <w:noProof/>
        </w:rPr>
        <w:lastRenderedPageBreak/>
        <w:drawing>
          <wp:inline distT="0" distB="0" distL="0" distR="0" wp14:anchorId="250BDDD1" wp14:editId="396BD379">
            <wp:extent cx="5760720" cy="6910070"/>
            <wp:effectExtent l="0" t="0" r="0" b="508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6910070"/>
                    </a:xfrm>
                    <a:prstGeom prst="rect">
                      <a:avLst/>
                    </a:prstGeom>
                  </pic:spPr>
                </pic:pic>
              </a:graphicData>
            </a:graphic>
          </wp:inline>
        </w:drawing>
      </w:r>
      <w:r w:rsidRPr="002262A8">
        <w:rPr>
          <w:noProof/>
        </w:rPr>
        <w:t xml:space="preserve"> </w:t>
      </w:r>
      <w:r w:rsidRPr="002262A8">
        <w:rPr>
          <w:noProof/>
        </w:rPr>
        <w:lastRenderedPageBreak/>
        <w:drawing>
          <wp:inline distT="0" distB="0" distL="0" distR="0" wp14:anchorId="69841114" wp14:editId="2FE8B7CD">
            <wp:extent cx="5760720" cy="593026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930265"/>
                    </a:xfrm>
                    <a:prstGeom prst="rect">
                      <a:avLst/>
                    </a:prstGeom>
                  </pic:spPr>
                </pic:pic>
              </a:graphicData>
            </a:graphic>
          </wp:inline>
        </w:drawing>
      </w:r>
      <w:r w:rsidRPr="002262A8">
        <w:rPr>
          <w:noProof/>
        </w:rPr>
        <w:t xml:space="preserve"> </w:t>
      </w:r>
      <w:r w:rsidRPr="002262A8">
        <w:rPr>
          <w:noProof/>
        </w:rPr>
        <w:lastRenderedPageBreak/>
        <w:drawing>
          <wp:inline distT="0" distB="0" distL="0" distR="0" wp14:anchorId="12A48F3C" wp14:editId="170B18C8">
            <wp:extent cx="5760720" cy="558990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589905"/>
                    </a:xfrm>
                    <a:prstGeom prst="rect">
                      <a:avLst/>
                    </a:prstGeom>
                  </pic:spPr>
                </pic:pic>
              </a:graphicData>
            </a:graphic>
          </wp:inline>
        </w:drawing>
      </w:r>
      <w:r w:rsidRPr="002262A8">
        <w:rPr>
          <w:noProof/>
        </w:rPr>
        <w:t xml:space="preserve"> </w:t>
      </w:r>
      <w:r w:rsidRPr="002262A8">
        <w:rPr>
          <w:noProof/>
        </w:rPr>
        <w:lastRenderedPageBreak/>
        <w:drawing>
          <wp:inline distT="0" distB="0" distL="0" distR="0" wp14:anchorId="0F9720E3" wp14:editId="5F57E1D4">
            <wp:extent cx="5760720" cy="5292725"/>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292725"/>
                    </a:xfrm>
                    <a:prstGeom prst="rect">
                      <a:avLst/>
                    </a:prstGeom>
                  </pic:spPr>
                </pic:pic>
              </a:graphicData>
            </a:graphic>
          </wp:inline>
        </w:drawing>
      </w:r>
      <w:r w:rsidRPr="002262A8">
        <w:rPr>
          <w:noProof/>
        </w:rPr>
        <w:t xml:space="preserve"> </w:t>
      </w:r>
      <w:r w:rsidRPr="002262A8">
        <w:rPr>
          <w:noProof/>
        </w:rPr>
        <w:drawing>
          <wp:inline distT="0" distB="0" distL="0" distR="0" wp14:anchorId="2337D22F" wp14:editId="5F64B38C">
            <wp:extent cx="5760720" cy="336042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360420"/>
                    </a:xfrm>
                    <a:prstGeom prst="rect">
                      <a:avLst/>
                    </a:prstGeom>
                  </pic:spPr>
                </pic:pic>
              </a:graphicData>
            </a:graphic>
          </wp:inline>
        </w:drawing>
      </w:r>
      <w:r w:rsidRPr="002262A8">
        <w:rPr>
          <w:noProof/>
        </w:rPr>
        <w:t xml:space="preserve"> </w:t>
      </w:r>
      <w:r w:rsidRPr="002262A8">
        <w:rPr>
          <w:noProof/>
        </w:rPr>
        <w:lastRenderedPageBreak/>
        <w:drawing>
          <wp:inline distT="0" distB="0" distL="0" distR="0" wp14:anchorId="05BE3AE9" wp14:editId="62F9718A">
            <wp:extent cx="5760720" cy="3176270"/>
            <wp:effectExtent l="0" t="0" r="0" b="508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76270"/>
                    </a:xfrm>
                    <a:prstGeom prst="rect">
                      <a:avLst/>
                    </a:prstGeom>
                  </pic:spPr>
                </pic:pic>
              </a:graphicData>
            </a:graphic>
          </wp:inline>
        </w:drawing>
      </w:r>
    </w:p>
    <w:p w14:paraId="717AEEB3" w14:textId="77777777" w:rsidR="00EB713B" w:rsidRPr="002262A8" w:rsidRDefault="00EB713B" w:rsidP="002262A8"/>
    <w:sectPr w:rsidR="00EB713B" w:rsidRPr="002262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5A62"/>
    <w:multiLevelType w:val="multilevel"/>
    <w:tmpl w:val="6A0A82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4773"/>
    <w:multiLevelType w:val="multilevel"/>
    <w:tmpl w:val="90F475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16E70"/>
    <w:multiLevelType w:val="multilevel"/>
    <w:tmpl w:val="295E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9014B"/>
    <w:multiLevelType w:val="multilevel"/>
    <w:tmpl w:val="9DA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D0E"/>
    <w:multiLevelType w:val="multilevel"/>
    <w:tmpl w:val="96B06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639C6"/>
    <w:multiLevelType w:val="multilevel"/>
    <w:tmpl w:val="42B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2D75"/>
    <w:multiLevelType w:val="multilevel"/>
    <w:tmpl w:val="424E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290D"/>
    <w:multiLevelType w:val="multilevel"/>
    <w:tmpl w:val="408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631"/>
    <w:multiLevelType w:val="multilevel"/>
    <w:tmpl w:val="2F4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D341D"/>
    <w:multiLevelType w:val="multilevel"/>
    <w:tmpl w:val="0702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0F063A"/>
    <w:multiLevelType w:val="multilevel"/>
    <w:tmpl w:val="425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22C2B"/>
    <w:multiLevelType w:val="multilevel"/>
    <w:tmpl w:val="359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57BAA"/>
    <w:multiLevelType w:val="multilevel"/>
    <w:tmpl w:val="058AF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D7CAD"/>
    <w:multiLevelType w:val="multilevel"/>
    <w:tmpl w:val="AF5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F5668"/>
    <w:multiLevelType w:val="multilevel"/>
    <w:tmpl w:val="17D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B21FA"/>
    <w:multiLevelType w:val="multilevel"/>
    <w:tmpl w:val="5C1A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820B89"/>
    <w:multiLevelType w:val="multilevel"/>
    <w:tmpl w:val="7A1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75120"/>
    <w:multiLevelType w:val="multilevel"/>
    <w:tmpl w:val="1C48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4"/>
  </w:num>
  <w:num w:numId="4">
    <w:abstractNumId w:val="3"/>
  </w:num>
  <w:num w:numId="5">
    <w:abstractNumId w:val="6"/>
  </w:num>
  <w:num w:numId="6">
    <w:abstractNumId w:val="9"/>
  </w:num>
  <w:num w:numId="7">
    <w:abstractNumId w:val="11"/>
  </w:num>
  <w:num w:numId="8">
    <w:abstractNumId w:val="15"/>
  </w:num>
  <w:num w:numId="9">
    <w:abstractNumId w:val="5"/>
  </w:num>
  <w:num w:numId="10">
    <w:abstractNumId w:val="12"/>
  </w:num>
  <w:num w:numId="11">
    <w:abstractNumId w:val="14"/>
  </w:num>
  <w:num w:numId="12">
    <w:abstractNumId w:val="0"/>
  </w:num>
  <w:num w:numId="13">
    <w:abstractNumId w:val="10"/>
  </w:num>
  <w:num w:numId="14">
    <w:abstractNumId w:val="1"/>
  </w:num>
  <w:num w:numId="15">
    <w:abstractNumId w:val="7"/>
  </w:num>
  <w:num w:numId="16">
    <w:abstractNumId w:val="8"/>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53"/>
    <w:rsid w:val="002262A8"/>
    <w:rsid w:val="008871CF"/>
    <w:rsid w:val="00B96C53"/>
    <w:rsid w:val="00E6450A"/>
    <w:rsid w:val="00EB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A334"/>
  <w15:chartTrackingRefBased/>
  <w15:docId w15:val="{5EE4FD16-F2EE-4943-B91B-E80849F3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6C5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B96C53"/>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B96C53"/>
    <w:pPr>
      <w:spacing w:before="100" w:beforeAutospacing="1" w:after="100" w:afterAutospacing="1"/>
      <w:outlineLvl w:val="1"/>
    </w:pPr>
    <w:rPr>
      <w:b/>
      <w:bCs/>
      <w:sz w:val="36"/>
      <w:szCs w:val="36"/>
    </w:rPr>
  </w:style>
  <w:style w:type="paragraph" w:styleId="berschrift3">
    <w:name w:val="heading 3"/>
    <w:basedOn w:val="Standard"/>
    <w:next w:val="Standard"/>
    <w:link w:val="berschrift3Zchn"/>
    <w:uiPriority w:val="9"/>
    <w:semiHidden/>
    <w:unhideWhenUsed/>
    <w:qFormat/>
    <w:rsid w:val="002262A8"/>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6C53"/>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B96C53"/>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B96C53"/>
    <w:pPr>
      <w:spacing w:before="100" w:beforeAutospacing="1" w:after="100" w:afterAutospacing="1"/>
    </w:pPr>
  </w:style>
  <w:style w:type="character" w:styleId="Fett">
    <w:name w:val="Strong"/>
    <w:basedOn w:val="Absatz-Standardschriftart"/>
    <w:uiPriority w:val="22"/>
    <w:qFormat/>
    <w:rsid w:val="00B96C53"/>
    <w:rPr>
      <w:b/>
      <w:bCs/>
    </w:rPr>
  </w:style>
  <w:style w:type="character" w:styleId="Hervorhebung">
    <w:name w:val="Emphasis"/>
    <w:basedOn w:val="Absatz-Standardschriftart"/>
    <w:uiPriority w:val="20"/>
    <w:qFormat/>
    <w:rsid w:val="00B96C53"/>
    <w:rPr>
      <w:i/>
      <w:iCs/>
    </w:rPr>
  </w:style>
  <w:style w:type="character" w:customStyle="1" w:styleId="berschrift3Zchn">
    <w:name w:val="Überschrift 3 Zchn"/>
    <w:basedOn w:val="Absatz-Standardschriftart"/>
    <w:link w:val="berschrift3"/>
    <w:uiPriority w:val="9"/>
    <w:semiHidden/>
    <w:rsid w:val="002262A8"/>
    <w:rPr>
      <w:rFonts w:asciiTheme="majorHAnsi" w:eastAsiaTheme="majorEastAsia" w:hAnsiTheme="majorHAnsi" w:cstheme="majorBidi"/>
      <w:color w:val="1F3763" w:themeColor="accent1" w:themeShade="7F"/>
      <w:sz w:val="24"/>
      <w:szCs w:val="24"/>
      <w:lang w:eastAsia="de-DE"/>
    </w:rPr>
  </w:style>
  <w:style w:type="character" w:customStyle="1" w:styleId="katex-mathml">
    <w:name w:val="katex-mathml"/>
    <w:basedOn w:val="Absatz-Standardschriftart"/>
    <w:rsid w:val="002262A8"/>
  </w:style>
  <w:style w:type="character" w:customStyle="1" w:styleId="mord">
    <w:name w:val="mord"/>
    <w:basedOn w:val="Absatz-Standardschriftart"/>
    <w:rsid w:val="002262A8"/>
  </w:style>
  <w:style w:type="character" w:customStyle="1" w:styleId="mopen">
    <w:name w:val="mopen"/>
    <w:basedOn w:val="Absatz-Standardschriftart"/>
    <w:rsid w:val="002262A8"/>
  </w:style>
  <w:style w:type="character" w:customStyle="1" w:styleId="mclose">
    <w:name w:val="mclose"/>
    <w:basedOn w:val="Absatz-Standardschriftart"/>
    <w:rsid w:val="002262A8"/>
  </w:style>
  <w:style w:type="character" w:customStyle="1" w:styleId="mpunct">
    <w:name w:val="mpunct"/>
    <w:basedOn w:val="Absatz-Standardschriftart"/>
    <w:rsid w:val="002262A8"/>
  </w:style>
  <w:style w:type="character" w:customStyle="1" w:styleId="mrel">
    <w:name w:val="mrel"/>
    <w:basedOn w:val="Absatz-Standardschriftart"/>
    <w:rsid w:val="002262A8"/>
  </w:style>
  <w:style w:type="character" w:customStyle="1" w:styleId="mbin">
    <w:name w:val="mbin"/>
    <w:basedOn w:val="Absatz-Standardschriftart"/>
    <w:rsid w:val="002262A8"/>
  </w:style>
  <w:style w:type="character" w:customStyle="1" w:styleId="mop">
    <w:name w:val="mop"/>
    <w:basedOn w:val="Absatz-Standardschriftart"/>
    <w:rsid w:val="002262A8"/>
  </w:style>
  <w:style w:type="character" w:customStyle="1" w:styleId="vlist-s">
    <w:name w:val="vlist-s"/>
    <w:basedOn w:val="Absatz-Standardschriftart"/>
    <w:rsid w:val="00226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224225">
      <w:bodyDiv w:val="1"/>
      <w:marLeft w:val="0"/>
      <w:marRight w:val="0"/>
      <w:marTop w:val="0"/>
      <w:marBottom w:val="0"/>
      <w:divBdr>
        <w:top w:val="none" w:sz="0" w:space="0" w:color="auto"/>
        <w:left w:val="none" w:sz="0" w:space="0" w:color="auto"/>
        <w:bottom w:val="none" w:sz="0" w:space="0" w:color="auto"/>
        <w:right w:val="none" w:sz="0" w:space="0" w:color="auto"/>
      </w:divBdr>
      <w:divsChild>
        <w:div w:id="981235022">
          <w:marLeft w:val="0"/>
          <w:marRight w:val="0"/>
          <w:marTop w:val="0"/>
          <w:marBottom w:val="0"/>
          <w:divBdr>
            <w:top w:val="none" w:sz="0" w:space="0" w:color="auto"/>
            <w:left w:val="none" w:sz="0" w:space="0" w:color="auto"/>
            <w:bottom w:val="none" w:sz="0" w:space="0" w:color="auto"/>
            <w:right w:val="none" w:sz="0" w:space="0" w:color="auto"/>
          </w:divBdr>
          <w:divsChild>
            <w:div w:id="1945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4933">
      <w:bodyDiv w:val="1"/>
      <w:marLeft w:val="0"/>
      <w:marRight w:val="0"/>
      <w:marTop w:val="0"/>
      <w:marBottom w:val="0"/>
      <w:divBdr>
        <w:top w:val="none" w:sz="0" w:space="0" w:color="auto"/>
        <w:left w:val="none" w:sz="0" w:space="0" w:color="auto"/>
        <w:bottom w:val="none" w:sz="0" w:space="0" w:color="auto"/>
        <w:right w:val="none" w:sz="0" w:space="0" w:color="auto"/>
      </w:divBdr>
      <w:divsChild>
        <w:div w:id="1454902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1738</Words>
  <Characters>10955</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2025-05-25T08:17:00Z</dcterms:created>
  <dcterms:modified xsi:type="dcterms:W3CDTF">2025-05-25T08:38:00Z</dcterms:modified>
</cp:coreProperties>
</file>