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15A00" w14:textId="1417B74E" w:rsidR="00F134FD" w:rsidRDefault="00F134FD" w:rsidP="00F134FD">
      <w:pPr>
        <w:pStyle w:val="berschrift1"/>
      </w:pPr>
      <w:r>
        <w:rPr>
          <w:rFonts w:ascii="Segoe UI Emoji" w:hAnsi="Segoe UI Emoji" w:cs="Segoe UI Emoji"/>
        </w:rPr>
        <w:t>📘</w:t>
      </w:r>
      <w:r>
        <w:t xml:space="preserve"> Kapitel</w:t>
      </w:r>
      <w:r w:rsidR="00DC6DEC">
        <w:t xml:space="preserve"> </w:t>
      </w:r>
      <w:r w:rsidR="00344195">
        <w:t>7</w:t>
      </w:r>
      <w:r>
        <w:t>: Der Beobachtungstetraeder – Raumstruktur aus projizierter Differenz</w:t>
      </w:r>
    </w:p>
    <w:p w14:paraId="4C66621B" w14:textId="77777777" w:rsidR="00F134FD" w:rsidRDefault="006F25FE" w:rsidP="00F134FD">
      <w:r>
        <w:pict w14:anchorId="6658AAFB">
          <v:rect id="_x0000_i1025" style="width:0;height:1.5pt" o:hralign="center" o:hrstd="t" o:hr="t" fillcolor="#a0a0a0" stroked="f"/>
        </w:pict>
      </w:r>
    </w:p>
    <w:p w14:paraId="0ECE70D1" w14:textId="77777777" w:rsidR="00F134FD" w:rsidRDefault="00F134FD" w:rsidP="00F134FD">
      <w:pPr>
        <w:pStyle w:val="berschrift2"/>
      </w:pPr>
      <w:r>
        <w:t>1. Einleitung</w:t>
      </w:r>
    </w:p>
    <w:p w14:paraId="20CAAE96" w14:textId="77777777" w:rsidR="00F134FD" w:rsidRDefault="00F134FD" w:rsidP="00F134FD">
      <w:pPr>
        <w:pStyle w:val="StandardWeb"/>
      </w:pPr>
      <w:r>
        <w:t xml:space="preserve">Der Beobachtungstetraeder ist die logische Fortsetzung einer ontologischen Raumgenese, die mit dem Punkt ($P_B$) als Beobachter begann. Aufbauend auf den vorhergehenden Kapiteln – insbesondere dem zentralen Kapitel </w:t>
      </w:r>
      <w:r>
        <w:rPr>
          <w:rStyle w:val="Hervorhebung"/>
        </w:rPr>
        <w:t>„Signal und Information“</w:t>
      </w:r>
      <w:r>
        <w:t xml:space="preserve"> – folgt er konsequent der funktionalen Differenzierung:</w:t>
      </w:r>
    </w:p>
    <w:p w14:paraId="1A986DDC" w14:textId="77777777" w:rsidR="00F134FD" w:rsidRDefault="00F134FD" w:rsidP="00F134FD">
      <w:r>
        <w:rPr>
          <w:rStyle w:val="katex-mathml"/>
        </w:rPr>
        <w:t>Punkt (P)→Linie (L)→Dreieck (</w:t>
      </w:r>
      <w:r>
        <w:rPr>
          <w:rStyle w:val="katex-mathml"/>
          <w:rFonts w:ascii="Cambria Math" w:hAnsi="Cambria Math" w:cs="Cambria Math"/>
        </w:rPr>
        <w:t>△</w:t>
      </w:r>
      <w:r>
        <w:rPr>
          <w:rStyle w:val="katex-mathml"/>
        </w:rPr>
        <w:t>)→Tetraeder (T)\boxed{\text{Punkt (P)} \rightarrow \text{Linie (L)} \rightarrow \text{Dreieck (\(\triangle\))} \rightarrow \text{Tetraeder (T)}}</w:t>
      </w:r>
      <w:r>
        <w:rPr>
          <w:rStyle w:val="mord"/>
        </w:rPr>
        <w:t>Punkt (P)</w:t>
      </w:r>
      <w:r>
        <w:rPr>
          <w:rStyle w:val="mrel"/>
        </w:rPr>
        <w:t>→</w:t>
      </w:r>
      <w:r>
        <w:rPr>
          <w:rStyle w:val="mord"/>
        </w:rPr>
        <w:t>Linie (L)</w:t>
      </w:r>
      <w:r>
        <w:rPr>
          <w:rStyle w:val="mrel"/>
        </w:rPr>
        <w:t>→</w:t>
      </w:r>
      <w:r>
        <w:rPr>
          <w:rStyle w:val="mord"/>
        </w:rPr>
        <w:t>Dreieck (</w:t>
      </w:r>
      <w:r>
        <w:rPr>
          <w:rStyle w:val="mord"/>
          <w:rFonts w:ascii="Cambria Math" w:hAnsi="Cambria Math" w:cs="Cambria Math"/>
        </w:rPr>
        <w:t>△</w:t>
      </w:r>
      <w:r>
        <w:rPr>
          <w:rStyle w:val="mord"/>
        </w:rPr>
        <w:t>)</w:t>
      </w:r>
      <w:r>
        <w:rPr>
          <w:rStyle w:val="mrel"/>
        </w:rPr>
        <w:t>→</w:t>
      </w:r>
      <w:r>
        <w:rPr>
          <w:rStyle w:val="mord"/>
        </w:rPr>
        <w:t>Tetraeder (T)</w:t>
      </w:r>
      <w:r>
        <w:rPr>
          <w:rStyle w:val="vlist-s"/>
        </w:rPr>
        <w:t>​</w:t>
      </w:r>
      <w:r>
        <w:t xml:space="preserve"> </w:t>
      </w:r>
    </w:p>
    <w:p w14:paraId="64BB61B1" w14:textId="77777777" w:rsidR="00F134FD" w:rsidRDefault="00F134FD" w:rsidP="00F134FD">
      <w:pPr>
        <w:pStyle w:val="StandardWeb"/>
      </w:pPr>
      <w:r>
        <w:t xml:space="preserve">Der Tetraeder ist die erste abgeschlossene, </w:t>
      </w:r>
      <w:r>
        <w:rPr>
          <w:rStyle w:val="Fett"/>
        </w:rPr>
        <w:t>dreidimensionale Raumstruktur</w:t>
      </w:r>
      <w:r>
        <w:t>, die sich aus gerichteter Signalübertragung und projektiver Rückbindung ergibt. Er vereint Perspektive, Richtung, Fläche und Raum in einer minimalen, vollständigen Struktur – geometrisch wie epistemisch.</w:t>
      </w:r>
    </w:p>
    <w:p w14:paraId="039FBC2A" w14:textId="77777777" w:rsidR="00F134FD" w:rsidRDefault="006F25FE" w:rsidP="00F134FD">
      <w:r>
        <w:pict w14:anchorId="72A450FF">
          <v:rect id="_x0000_i1026" style="width:0;height:1.5pt" o:hralign="center" o:hrstd="t" o:hr="t" fillcolor="#a0a0a0" stroked="f"/>
        </w:pict>
      </w:r>
    </w:p>
    <w:p w14:paraId="22024A36" w14:textId="77777777" w:rsidR="00F134FD" w:rsidRDefault="00F134FD" w:rsidP="00F134FD">
      <w:pPr>
        <w:pStyle w:val="berschrift2"/>
      </w:pPr>
      <w:r>
        <w:t>2. Herleitung aus Signal und Information</w:t>
      </w:r>
    </w:p>
    <w:p w14:paraId="4CE5C0E0" w14:textId="77777777" w:rsidR="00F134FD" w:rsidRDefault="00F134FD" w:rsidP="00F134FD">
      <w:pPr>
        <w:pStyle w:val="StandardWeb"/>
      </w:pPr>
      <w:r>
        <w:t xml:space="preserve">Gemäß Kapitel </w:t>
      </w:r>
      <w:r>
        <w:rPr>
          <w:rStyle w:val="Hervorhebung"/>
        </w:rPr>
        <w:t>„Signal und Information“</w:t>
      </w:r>
      <w:r>
        <w:t xml:space="preserve"> entstehen Informationen durch gerichtete Signale, die reflektiert und beim Beobachter strukturiert werden. Der Beobachtungskegel beschreibt den kausalen Wahrnehmungsbereich, das Beobachtungsdreieck die projektive Rückfläche.</w:t>
      </w:r>
    </w:p>
    <w:p w14:paraId="25252140" w14:textId="77777777" w:rsidR="00F134FD" w:rsidRDefault="00F134FD" w:rsidP="00F134FD">
      <w:pPr>
        <w:pStyle w:val="StandardWeb"/>
      </w:pPr>
      <w:r>
        <w:t xml:space="preserve">Was nun fehlt, ist eine </w:t>
      </w:r>
      <w:r>
        <w:rPr>
          <w:rStyle w:val="Fett"/>
        </w:rPr>
        <w:t>Raumstruktur</w:t>
      </w:r>
      <w:r>
        <w:t xml:space="preserve">, in der mehrere solcher Dreiecke </w:t>
      </w:r>
      <w:r>
        <w:rPr>
          <w:rStyle w:val="Fett"/>
        </w:rPr>
        <w:t>kontextualisiert und abgeschlossen</w:t>
      </w:r>
      <w:r>
        <w:t xml:space="preserve"> werden können – also ein geometrisches </w:t>
      </w:r>
      <w:r>
        <w:rPr>
          <w:rStyle w:val="Fett"/>
        </w:rPr>
        <w:t>Raumgehäuse</w:t>
      </w:r>
      <w:r>
        <w:t xml:space="preserve">, das Projektionen, Perspektiven und Rückbezüge in sich trägt: </w:t>
      </w:r>
      <w:r>
        <w:rPr>
          <w:rStyle w:val="Fett"/>
        </w:rPr>
        <w:t>der Beobachtungstetraeder.</w:t>
      </w:r>
    </w:p>
    <w:p w14:paraId="1C795FDB" w14:textId="77777777" w:rsidR="00F134FD" w:rsidRDefault="00F134FD" w:rsidP="00F134FD">
      <w:pPr>
        <w:pStyle w:val="StandardWeb"/>
      </w:pPr>
      <w:r>
        <w:t>Er bildet die minimale Einheit, in der drei Richtungen und deren gemeinsame Spitze ($P_B$) einen Raum aufspannen:</w:t>
      </w:r>
    </w:p>
    <w:p w14:paraId="775F1299" w14:textId="77777777" w:rsidR="00F134FD" w:rsidRDefault="00F134FD" w:rsidP="00F134FD">
      <w:pPr>
        <w:pStyle w:val="StandardWeb"/>
        <w:numPr>
          <w:ilvl w:val="0"/>
          <w:numId w:val="7"/>
        </w:numPr>
      </w:pPr>
      <w:r>
        <w:rPr>
          <w:rStyle w:val="Fett"/>
        </w:rPr>
        <w:t>Ecken</w:t>
      </w:r>
      <w:r>
        <w:t xml:space="preserve"> = definierte Projektionsrichtungen (A, B, C, D),</w:t>
      </w:r>
    </w:p>
    <w:p w14:paraId="155960B6" w14:textId="77777777" w:rsidR="00F134FD" w:rsidRDefault="00F134FD" w:rsidP="00F134FD">
      <w:pPr>
        <w:pStyle w:val="StandardWeb"/>
        <w:numPr>
          <w:ilvl w:val="0"/>
          <w:numId w:val="7"/>
        </w:numPr>
      </w:pPr>
      <w:r>
        <w:rPr>
          <w:rStyle w:val="Fett"/>
        </w:rPr>
        <w:t>Flächen</w:t>
      </w:r>
      <w:r>
        <w:t xml:space="preserve"> = perspektivische Rückprojektionszonen ($\triangle ABC, \triangle ABD$, ...),</w:t>
      </w:r>
    </w:p>
    <w:p w14:paraId="20DFD39A" w14:textId="77777777" w:rsidR="00F134FD" w:rsidRDefault="00F134FD" w:rsidP="00F134FD">
      <w:pPr>
        <w:pStyle w:val="StandardWeb"/>
        <w:numPr>
          <w:ilvl w:val="0"/>
          <w:numId w:val="7"/>
        </w:numPr>
      </w:pPr>
      <w:r>
        <w:rPr>
          <w:rStyle w:val="Fett"/>
        </w:rPr>
        <w:t>Volumen</w:t>
      </w:r>
      <w:r>
        <w:t xml:space="preserve"> = funktional erfahrbarer Raum.</w:t>
      </w:r>
    </w:p>
    <w:p w14:paraId="45C5783D" w14:textId="77777777" w:rsidR="00F134FD" w:rsidRDefault="00F134FD" w:rsidP="00F134FD">
      <w:pPr>
        <w:pStyle w:val="StandardWeb"/>
      </w:pPr>
      <w:r>
        <w:t xml:space="preserve">Zur Veranschaulichung siehe Skizze im Anhang (bzw. interaktive Darstellung in GeoGebra-Modell </w:t>
      </w:r>
      <w:r>
        <w:rPr>
          <w:rStyle w:val="Hervorhebung"/>
        </w:rPr>
        <w:t>Tetraeder-Projektion.ggb</w:t>
      </w:r>
      <w:r>
        <w:t>).</w:t>
      </w:r>
    </w:p>
    <w:p w14:paraId="43A285F7" w14:textId="77777777" w:rsidR="00F134FD" w:rsidRDefault="006F25FE" w:rsidP="00F134FD">
      <w:r>
        <w:pict w14:anchorId="24C44378">
          <v:rect id="_x0000_i1027" style="width:0;height:1.5pt" o:hralign="center" o:hrstd="t" o:hr="t" fillcolor="#a0a0a0" stroked="f"/>
        </w:pict>
      </w:r>
    </w:p>
    <w:p w14:paraId="4CFA2B59" w14:textId="77777777" w:rsidR="00F134FD" w:rsidRDefault="00F134FD" w:rsidP="00F134FD">
      <w:pPr>
        <w:pStyle w:val="berschrift2"/>
      </w:pPr>
      <w:r>
        <w:t>3. Mathematische Definition</w:t>
      </w:r>
    </w:p>
    <w:p w14:paraId="345DCE46" w14:textId="77777777" w:rsidR="00F134FD" w:rsidRDefault="00F134FD" w:rsidP="00F134FD">
      <w:pPr>
        <w:pStyle w:val="berschrift3"/>
      </w:pPr>
      <w:r>
        <w:lastRenderedPageBreak/>
        <w:t>3.1 Eckpunkte</w:t>
      </w:r>
    </w:p>
    <w:p w14:paraId="0DBF1E36" w14:textId="77777777" w:rsidR="00F134FD" w:rsidRDefault="00F134FD" w:rsidP="00F134FD">
      <w:pPr>
        <w:pStyle w:val="StandardWeb"/>
      </w:pPr>
      <w:r>
        <w:t>Gegeben sei der Ursprung $P_B = (0,0,0)$. Die drei Punkte A, B, C des Beobachtungsdreiecks (vgl. voriges Kapitel) definieren eine projektive Fläche.</w:t>
      </w:r>
    </w:p>
    <w:p w14:paraId="77F6BBBB" w14:textId="77777777" w:rsidR="00F134FD" w:rsidRDefault="00F134FD" w:rsidP="00F134FD">
      <w:pPr>
        <w:pStyle w:val="StandardWeb"/>
      </w:pPr>
      <w:r>
        <w:t xml:space="preserve">Ergänzt man diese Fläche um einen weiteren Punkt $D$, der ebenfalls auf der Einheitskugel liegt und </w:t>
      </w:r>
      <w:r>
        <w:rPr>
          <w:rStyle w:val="Fett"/>
        </w:rPr>
        <w:t>nicht in der durch A, B, C aufgespannten Ebene</w:t>
      </w:r>
      <w:r>
        <w:t xml:space="preserve"> liegt, ergibt sich beispielsweise:</w:t>
      </w:r>
    </w:p>
    <w:p w14:paraId="4F8CE507" w14:textId="77777777" w:rsidR="00F134FD" w:rsidRDefault="00F134FD" w:rsidP="00F134FD">
      <w:r>
        <w:rPr>
          <w:rStyle w:val="katex-mathml"/>
        </w:rPr>
        <w:t>D:=(r,h,0),mit r2+h2=1D := (r, h, 0), \quad \text{mit } r^2 + h^2 = 1</w:t>
      </w:r>
      <w:r>
        <w:rPr>
          <w:rStyle w:val="mord"/>
        </w:rPr>
        <w:t>D</w:t>
      </w:r>
      <w:r>
        <w:rPr>
          <w:rStyle w:val="mrel"/>
        </w:rPr>
        <w:t>:=</w:t>
      </w:r>
      <w:r>
        <w:rPr>
          <w:rStyle w:val="mopen"/>
        </w:rPr>
        <w:t>(</w:t>
      </w:r>
      <w:r>
        <w:rPr>
          <w:rStyle w:val="mord"/>
        </w:rPr>
        <w:t>r</w:t>
      </w:r>
      <w:r>
        <w:rPr>
          <w:rStyle w:val="mpunct"/>
        </w:rPr>
        <w:t>,</w:t>
      </w:r>
      <w:r>
        <w:rPr>
          <w:rStyle w:val="mord"/>
        </w:rPr>
        <w:t>h</w:t>
      </w:r>
      <w:r>
        <w:rPr>
          <w:rStyle w:val="mpunct"/>
        </w:rPr>
        <w:t>,</w:t>
      </w:r>
      <w:r>
        <w:rPr>
          <w:rStyle w:val="mord"/>
        </w:rPr>
        <w:t>0</w:t>
      </w:r>
      <w:r>
        <w:rPr>
          <w:rStyle w:val="mclose"/>
        </w:rPr>
        <w:t>)</w:t>
      </w:r>
      <w:r>
        <w:rPr>
          <w:rStyle w:val="mpunct"/>
        </w:rPr>
        <w:t>,</w:t>
      </w:r>
      <w:r>
        <w:rPr>
          <w:rStyle w:val="mord"/>
        </w:rPr>
        <w:t>mit r2</w:t>
      </w:r>
      <w:r>
        <w:rPr>
          <w:rStyle w:val="mbin"/>
        </w:rPr>
        <w:t>+</w:t>
      </w:r>
      <w:r>
        <w:rPr>
          <w:rStyle w:val="mord"/>
        </w:rPr>
        <w:t>h2</w:t>
      </w:r>
      <w:r>
        <w:rPr>
          <w:rStyle w:val="mrel"/>
        </w:rPr>
        <w:t>=</w:t>
      </w:r>
      <w:r>
        <w:rPr>
          <w:rStyle w:val="mord"/>
        </w:rPr>
        <w:t>1</w:t>
      </w:r>
      <w:r>
        <w:t xml:space="preserve"> </w:t>
      </w:r>
    </w:p>
    <w:p w14:paraId="6B3B0D30" w14:textId="77777777" w:rsidR="00F134FD" w:rsidRDefault="00F134FD" w:rsidP="00F134FD">
      <w:pPr>
        <w:pStyle w:val="StandardWeb"/>
      </w:pPr>
      <w:r>
        <w:t xml:space="preserve">Der Punkt $D$ steht für eine vertikale oder übergeordnete Perspektivrichtung – etwa </w:t>
      </w:r>
      <w:r>
        <w:rPr>
          <w:rStyle w:val="Fett"/>
        </w:rPr>
        <w:t>„oben“, „tief“ oder „transversal“</w:t>
      </w:r>
      <w:r>
        <w:t xml:space="preserve"> – und erlaubt so eine Erweiterung der Rückprojektion aus der Fläche in den Raum.</w:t>
      </w:r>
    </w:p>
    <w:p w14:paraId="5375EDDC" w14:textId="77777777" w:rsidR="00F134FD" w:rsidRDefault="00F134FD" w:rsidP="00F134FD">
      <w:pPr>
        <w:pStyle w:val="berschrift3"/>
      </w:pPr>
      <w:r>
        <w:t>3.2 Volumenkonstruktion</w:t>
      </w:r>
    </w:p>
    <w:p w14:paraId="6E3301D6" w14:textId="77777777" w:rsidR="00F134FD" w:rsidRDefault="00F134FD" w:rsidP="00F134FD">
      <w:pPr>
        <w:pStyle w:val="StandardWeb"/>
      </w:pPr>
      <w:r>
        <w:t>Der Beobachtungstetraeder ist dann definiert als:</w:t>
      </w:r>
    </w:p>
    <w:p w14:paraId="35DA64AE" w14:textId="77777777" w:rsidR="00F134FD" w:rsidRDefault="00F134FD" w:rsidP="00F134FD">
      <w:r>
        <w:rPr>
          <w:rStyle w:val="katex-mathml"/>
        </w:rPr>
        <w:t>T:=Conv({PB,A,B,C,D})T := \text{Conv}\left(\{P_B, A, B, C, D\}\right)</w:t>
      </w:r>
      <w:r>
        <w:rPr>
          <w:rStyle w:val="mord"/>
        </w:rPr>
        <w:t>T</w:t>
      </w:r>
      <w:r>
        <w:rPr>
          <w:rStyle w:val="mrel"/>
        </w:rPr>
        <w:t>:=</w:t>
      </w:r>
      <w:r>
        <w:rPr>
          <w:rStyle w:val="mord"/>
        </w:rPr>
        <w:t>Conv</w:t>
      </w:r>
      <w:r>
        <w:rPr>
          <w:rStyle w:val="mopen"/>
        </w:rPr>
        <w:t>({</w:t>
      </w:r>
      <w:r>
        <w:rPr>
          <w:rStyle w:val="mord"/>
        </w:rPr>
        <w:t>PB</w:t>
      </w:r>
      <w:r>
        <w:rPr>
          <w:rStyle w:val="vlist-s"/>
        </w:rPr>
        <w:t>​</w:t>
      </w:r>
      <w:r>
        <w:rPr>
          <w:rStyle w:val="mpunct"/>
        </w:rPr>
        <w:t>,</w:t>
      </w:r>
      <w:r>
        <w:rPr>
          <w:rStyle w:val="mord"/>
        </w:rPr>
        <w:t>A</w:t>
      </w:r>
      <w:r>
        <w:rPr>
          <w:rStyle w:val="mpunct"/>
        </w:rPr>
        <w:t>,</w:t>
      </w:r>
      <w:r>
        <w:rPr>
          <w:rStyle w:val="mord"/>
        </w:rPr>
        <w:t>B</w:t>
      </w:r>
      <w:r>
        <w:rPr>
          <w:rStyle w:val="mpunct"/>
        </w:rPr>
        <w:t>,</w:t>
      </w:r>
      <w:r>
        <w:rPr>
          <w:rStyle w:val="mord"/>
        </w:rPr>
        <w:t>C</w:t>
      </w:r>
      <w:r>
        <w:rPr>
          <w:rStyle w:val="mpunct"/>
        </w:rPr>
        <w:t>,</w:t>
      </w:r>
      <w:r>
        <w:rPr>
          <w:rStyle w:val="mord"/>
        </w:rPr>
        <w:t>D</w:t>
      </w:r>
      <w:r>
        <w:rPr>
          <w:rStyle w:val="mclose"/>
        </w:rPr>
        <w:t>})</w:t>
      </w:r>
      <w:r>
        <w:t xml:space="preserve"> </w:t>
      </w:r>
    </w:p>
    <w:p w14:paraId="16553D75" w14:textId="77777777" w:rsidR="00F134FD" w:rsidRDefault="00F134FD" w:rsidP="00F134FD">
      <w:pPr>
        <w:pStyle w:val="StandardWeb"/>
      </w:pPr>
      <w:r>
        <w:t>Dabei ist $T$ die konvexe Hülle der fünf Projektionspunkte. Die für die funktionale Struktur zentralen Flächen sind:</w:t>
      </w:r>
    </w:p>
    <w:p w14:paraId="5F23679A" w14:textId="77777777" w:rsidR="00F134FD" w:rsidRDefault="00F134FD" w:rsidP="00F134FD">
      <w:r>
        <w:rPr>
          <w:rStyle w:val="katex-mathml"/>
          <w:rFonts w:ascii="Cambria Math" w:hAnsi="Cambria Math" w:cs="Cambria Math"/>
        </w:rPr>
        <w:t>△</w:t>
      </w:r>
      <w:r>
        <w:rPr>
          <w:rStyle w:val="katex-mathml"/>
        </w:rPr>
        <w:t>ABC, </w:t>
      </w:r>
      <w:r>
        <w:rPr>
          <w:rStyle w:val="katex-mathml"/>
          <w:rFonts w:ascii="Cambria Math" w:hAnsi="Cambria Math" w:cs="Cambria Math"/>
        </w:rPr>
        <w:t>△</w:t>
      </w:r>
      <w:r>
        <w:rPr>
          <w:rStyle w:val="katex-mathml"/>
        </w:rPr>
        <w:t>ABD, </w:t>
      </w:r>
      <w:r>
        <w:rPr>
          <w:rStyle w:val="katex-mathml"/>
          <w:rFonts w:ascii="Cambria Math" w:hAnsi="Cambria Math" w:cs="Cambria Math"/>
        </w:rPr>
        <w:t>△</w:t>
      </w:r>
      <w:r>
        <w:rPr>
          <w:rStyle w:val="katex-mathml"/>
        </w:rPr>
        <w:t>BCD, </w:t>
      </w:r>
      <w:r>
        <w:rPr>
          <w:rStyle w:val="katex-mathml"/>
          <w:rFonts w:ascii="Cambria Math" w:hAnsi="Cambria Math" w:cs="Cambria Math"/>
        </w:rPr>
        <w:t>△</w:t>
      </w:r>
      <w:r>
        <w:rPr>
          <w:rStyle w:val="katex-mathml"/>
        </w:rPr>
        <w:t>CAD\triangle ABC,\ \triangle ABD,\ \triangle BCD,\ \triangle CAD</w:t>
      </w:r>
      <w:r>
        <w:rPr>
          <w:rStyle w:val="mord"/>
          <w:rFonts w:ascii="Cambria Math" w:hAnsi="Cambria Math" w:cs="Cambria Math"/>
        </w:rPr>
        <w:t>△</w:t>
      </w:r>
      <w:r>
        <w:rPr>
          <w:rStyle w:val="mord"/>
        </w:rPr>
        <w:t>ABC</w:t>
      </w:r>
      <w:r>
        <w:rPr>
          <w:rStyle w:val="mpunct"/>
        </w:rPr>
        <w:t>,</w:t>
      </w:r>
      <w:r>
        <w:rPr>
          <w:rStyle w:val="mspace"/>
        </w:rPr>
        <w:t> </w:t>
      </w:r>
      <w:r>
        <w:rPr>
          <w:rStyle w:val="mord"/>
          <w:rFonts w:ascii="Cambria Math" w:hAnsi="Cambria Math" w:cs="Cambria Math"/>
        </w:rPr>
        <w:t>△</w:t>
      </w:r>
      <w:r>
        <w:rPr>
          <w:rStyle w:val="mord"/>
        </w:rPr>
        <w:t>ABD</w:t>
      </w:r>
      <w:r>
        <w:rPr>
          <w:rStyle w:val="mpunct"/>
        </w:rPr>
        <w:t>,</w:t>
      </w:r>
      <w:r>
        <w:rPr>
          <w:rStyle w:val="mspace"/>
        </w:rPr>
        <w:t> </w:t>
      </w:r>
      <w:r>
        <w:rPr>
          <w:rStyle w:val="mord"/>
          <w:rFonts w:ascii="Cambria Math" w:hAnsi="Cambria Math" w:cs="Cambria Math"/>
        </w:rPr>
        <w:t>△</w:t>
      </w:r>
      <w:r>
        <w:rPr>
          <w:rStyle w:val="mord"/>
        </w:rPr>
        <w:t>BCD</w:t>
      </w:r>
      <w:r>
        <w:rPr>
          <w:rStyle w:val="mpunct"/>
        </w:rPr>
        <w:t>,</w:t>
      </w:r>
      <w:r>
        <w:rPr>
          <w:rStyle w:val="mspace"/>
        </w:rPr>
        <w:t> </w:t>
      </w:r>
      <w:r>
        <w:rPr>
          <w:rStyle w:val="mord"/>
          <w:rFonts w:ascii="Cambria Math" w:hAnsi="Cambria Math" w:cs="Cambria Math"/>
        </w:rPr>
        <w:t>△</w:t>
      </w:r>
      <w:r>
        <w:rPr>
          <w:rStyle w:val="mord"/>
        </w:rPr>
        <w:t>CAD</w:t>
      </w:r>
      <w:r>
        <w:t xml:space="preserve"> </w:t>
      </w:r>
    </w:p>
    <w:p w14:paraId="6C4A5E54" w14:textId="77777777" w:rsidR="00F134FD" w:rsidRDefault="00F134FD" w:rsidP="00F134FD">
      <w:pPr>
        <w:pStyle w:val="StandardWeb"/>
      </w:pPr>
      <w:r>
        <w:t>Der Tetraeder umfasst vier gerichtete Flächen und sechs Kanten – jede Fläche stellt eine projektive Perspektivstruktur dar, jeder Punkt einen funktionalen Projektionsanker.</w:t>
      </w:r>
    </w:p>
    <w:p w14:paraId="478E1A17" w14:textId="5D7B42A4" w:rsidR="00F134FD" w:rsidRDefault="00F134FD" w:rsidP="00F134FD"/>
    <w:p w14:paraId="7C119F1E" w14:textId="440D2696" w:rsidR="00F134FD" w:rsidRDefault="006F25FE" w:rsidP="00F134FD">
      <w:r>
        <w:pict w14:anchorId="185D1DC0">
          <v:rect id="_x0000_i1028" style="width:0;height:1.5pt" o:hralign="center" o:hrstd="t" o:hr="t" fillcolor="#a0a0a0" stroked="f"/>
        </w:pict>
      </w:r>
    </w:p>
    <w:p w14:paraId="4B124399" w14:textId="77777777" w:rsidR="00F134FD" w:rsidRDefault="00F134FD" w:rsidP="00F134FD">
      <w:pPr>
        <w:pStyle w:val="berschrift2"/>
      </w:pPr>
      <w:r>
        <w:t>4. Der genormte Beobachtungstetraeder und das genormte Beobachtungsdreieck als Innovation</w:t>
      </w:r>
    </w:p>
    <w:p w14:paraId="16B82E9C" w14:textId="77777777" w:rsidR="00F134FD" w:rsidRDefault="00F134FD" w:rsidP="00F134FD">
      <w:pPr>
        <w:pStyle w:val="StandardWeb"/>
      </w:pPr>
      <w:r>
        <w:t xml:space="preserve">Im Rahmen dieser Dissertation wird der </w:t>
      </w:r>
      <w:r>
        <w:rPr>
          <w:rStyle w:val="Fett"/>
        </w:rPr>
        <w:t>Beobachtungstetraeder</w:t>
      </w:r>
      <w:r>
        <w:t xml:space="preserve"> und das </w:t>
      </w:r>
      <w:r>
        <w:rPr>
          <w:rStyle w:val="Fett"/>
        </w:rPr>
        <w:t>Beobachtungsdreieck</w:t>
      </w:r>
      <w:r>
        <w:t xml:space="preserve"> jeweils in </w:t>
      </w:r>
      <w:r>
        <w:rPr>
          <w:rStyle w:val="Fett"/>
        </w:rPr>
        <w:t>genormter Form</w:t>
      </w:r>
      <w:r>
        <w:t xml:space="preserve"> mit </w:t>
      </w:r>
      <w:r>
        <w:rPr>
          <w:rStyle w:val="Fett"/>
        </w:rPr>
        <w:t>Seitenlänge 1</w:t>
      </w:r>
      <w:r>
        <w:t xml:space="preserve"> eingeführt.</w:t>
      </w:r>
    </w:p>
    <w:p w14:paraId="32E0CAF9" w14:textId="77777777" w:rsidR="00F134FD" w:rsidRDefault="00F134FD" w:rsidP="00F134FD">
      <w:pPr>
        <w:pStyle w:val="berschrift3"/>
      </w:pPr>
      <w:r>
        <w:t>4.1 Motivation der Normierung</w:t>
      </w:r>
    </w:p>
    <w:p w14:paraId="74D7840D" w14:textId="77777777" w:rsidR="00F134FD" w:rsidRDefault="00F134FD" w:rsidP="00F134FD">
      <w:pPr>
        <w:pStyle w:val="StandardWeb"/>
      </w:pPr>
      <w:r>
        <w:t xml:space="preserve">Diese Normierung schafft eine </w:t>
      </w:r>
      <w:r>
        <w:rPr>
          <w:rStyle w:val="Fett"/>
        </w:rPr>
        <w:t>maßstabsunabhängige, vergleichbare, metrisch definierte Raumstruktur</w:t>
      </w:r>
      <w:r>
        <w:t>, die für:</w:t>
      </w:r>
    </w:p>
    <w:p w14:paraId="0AF1DF83" w14:textId="77777777" w:rsidR="00F134FD" w:rsidRDefault="00F134FD" w:rsidP="00F134FD">
      <w:pPr>
        <w:pStyle w:val="StandardWeb"/>
        <w:numPr>
          <w:ilvl w:val="0"/>
          <w:numId w:val="8"/>
        </w:numPr>
      </w:pPr>
      <w:r>
        <w:t>analytische Formeln,</w:t>
      </w:r>
    </w:p>
    <w:p w14:paraId="7C185092" w14:textId="77777777" w:rsidR="00F134FD" w:rsidRDefault="00F134FD" w:rsidP="00F134FD">
      <w:pPr>
        <w:pStyle w:val="StandardWeb"/>
        <w:numPr>
          <w:ilvl w:val="0"/>
          <w:numId w:val="8"/>
        </w:numPr>
      </w:pPr>
      <w:r>
        <w:t>algorithmische Modelle,</w:t>
      </w:r>
    </w:p>
    <w:p w14:paraId="4BD7E2C8" w14:textId="77777777" w:rsidR="00F134FD" w:rsidRDefault="00F134FD" w:rsidP="00F134FD">
      <w:pPr>
        <w:pStyle w:val="StandardWeb"/>
        <w:numPr>
          <w:ilvl w:val="0"/>
          <w:numId w:val="8"/>
        </w:numPr>
      </w:pPr>
      <w:r>
        <w:t>didaktische Visualisierungen,</w:t>
      </w:r>
    </w:p>
    <w:p w14:paraId="3423E24E" w14:textId="77777777" w:rsidR="00F134FD" w:rsidRDefault="00F134FD" w:rsidP="00F134FD">
      <w:pPr>
        <w:pStyle w:val="StandardWeb"/>
        <w:numPr>
          <w:ilvl w:val="0"/>
          <w:numId w:val="8"/>
        </w:numPr>
      </w:pPr>
      <w:r>
        <w:t>technische Simulationen,</w:t>
      </w:r>
    </w:p>
    <w:p w14:paraId="5FADA765" w14:textId="77777777" w:rsidR="00F134FD" w:rsidRDefault="00F134FD" w:rsidP="00F134FD">
      <w:pPr>
        <w:pStyle w:val="StandardWeb"/>
        <w:numPr>
          <w:ilvl w:val="0"/>
          <w:numId w:val="8"/>
        </w:numPr>
      </w:pPr>
      <w:r>
        <w:t>sowie symbolisch-epistemische Operationen</w:t>
      </w:r>
    </w:p>
    <w:p w14:paraId="23FBBE76" w14:textId="77777777" w:rsidR="00F134FD" w:rsidRDefault="00F134FD" w:rsidP="00F134FD">
      <w:pPr>
        <w:pStyle w:val="StandardWeb"/>
      </w:pPr>
      <w:r>
        <w:lastRenderedPageBreak/>
        <w:t>optimiert ist.</w:t>
      </w:r>
    </w:p>
    <w:p w14:paraId="0BC67682" w14:textId="77777777" w:rsidR="00F134FD" w:rsidRDefault="00F134FD" w:rsidP="00F134FD">
      <w:pPr>
        <w:pStyle w:val="berschrift3"/>
      </w:pPr>
      <w:r>
        <w:t>4.2 Begründung aus verschiedenen Perspektiven</w:t>
      </w:r>
    </w:p>
    <w:p w14:paraId="57BD1132" w14:textId="77777777" w:rsidR="00F134FD" w:rsidRDefault="00F134FD" w:rsidP="00F134FD">
      <w:pPr>
        <w:pStyle w:val="StandardWeb"/>
      </w:pPr>
      <w:r>
        <w:rPr>
          <w:rStyle w:val="Fett"/>
        </w:rPr>
        <w:t>Natur:</w:t>
      </w:r>
      <w:r>
        <w:t xml:space="preserve"> In natürlichen Strukturen – etwa Molekülen (z. B. Methan), Kristallen oder biologischen Raumwahrnehmungen – taucht der Tetraeder als energetisch und geometrisch stabilste Form auf. Die Dreiecksfläche ist gleichzeitig die einfachste Fläche, die durch Differenzbildung entsteht.</w:t>
      </w:r>
    </w:p>
    <w:p w14:paraId="0B499F4E" w14:textId="77777777" w:rsidR="00F134FD" w:rsidRDefault="00F134FD" w:rsidP="00F134FD">
      <w:pPr>
        <w:pStyle w:val="StandardWeb"/>
      </w:pPr>
      <w:r>
        <w:rPr>
          <w:rStyle w:val="Fett"/>
        </w:rPr>
        <w:t>Technik:</w:t>
      </w:r>
      <w:r>
        <w:t xml:space="preserve"> Die Normierung erlaubt vergleichbare technische Mess-, Abtast- und Darstellungsroutinen (z. B. LIDAR-Pixelung, CAD-Basiselemente). Normierte Tetraeder/Dreiecke können als Module in skalierbaren Netzwerken verwendet werden – etwa bei rekursiv aufgebauten Meshes in 3D-Modellierungssystemen.</w:t>
      </w:r>
    </w:p>
    <w:p w14:paraId="22713BA5" w14:textId="77777777" w:rsidR="00F134FD" w:rsidRDefault="00F134FD" w:rsidP="00F134FD">
      <w:pPr>
        <w:pStyle w:val="StandardWeb"/>
      </w:pPr>
      <w:r>
        <w:rPr>
          <w:rStyle w:val="Fett"/>
        </w:rPr>
        <w:t>Mensch:</w:t>
      </w:r>
      <w:r>
        <w:t xml:space="preserve"> Die kognitive Konstruktion von Raum folgt dreieckigen Mustern (z. B. visuelles Blickdreieck, Körperachsen, Gleichgewichtssysteme). Die psychologische Effizienz von Dreiecken als Wahrnehmungs- und Ausdrucksflächen ist empirisch nachgewiesen.</w:t>
      </w:r>
    </w:p>
    <w:p w14:paraId="6D09E748" w14:textId="77777777" w:rsidR="00F134FD" w:rsidRDefault="00F134FD" w:rsidP="00F134FD">
      <w:pPr>
        <w:pStyle w:val="StandardWeb"/>
      </w:pPr>
      <w:r>
        <w:rPr>
          <w:rStyle w:val="Fett"/>
        </w:rPr>
        <w:t>Mathematik:</w:t>
      </w:r>
      <w:r>
        <w:t xml:space="preserve"> Der Tetraeder mit Kantenlänge 1 ist die einfachste 3D-Struktur mit definierter Volumeneinheit ($V = \frac{1}{6\sqrt{2}}$ bei gleichseitiger Geometrie). Seine Kombinatorik (4 Ecken, 6 Kanten, 4 Flächen) ist vollständig geschlossen. Die Dreiecksfläche mit Seitenlänge 1 erlaubt elementare trigonometrische Analyse.</w:t>
      </w:r>
    </w:p>
    <w:p w14:paraId="2FFA93CB" w14:textId="77777777" w:rsidR="00F134FD" w:rsidRDefault="00F134FD" w:rsidP="00F134FD">
      <w:pPr>
        <w:pStyle w:val="StandardWeb"/>
      </w:pPr>
      <w:r>
        <w:rPr>
          <w:rStyle w:val="Fett"/>
        </w:rPr>
        <w:t>Philosophie:</w:t>
      </w:r>
      <w:r>
        <w:t xml:space="preserve"> Das Dreieck als erste unterscheidbare Fläche steht für Differenz, Beziehung und Kontrast – die Grundformen der Erkenntnis. Der Tetraeder repräsentiert erste Raumverhältnisse und Komplexitätsüberschreitungen (vgl. platonische Körper, Whitehead: </w:t>
      </w:r>
      <w:r>
        <w:rPr>
          <w:rStyle w:val="Hervorhebung"/>
        </w:rPr>
        <w:t>„Process and Reality“</w:t>
      </w:r>
      <w:r>
        <w:t xml:space="preserve">, Luhmann: </w:t>
      </w:r>
      <w:r>
        <w:rPr>
          <w:rStyle w:val="Hervorhebung"/>
        </w:rPr>
        <w:t>„Unterscheiden und Beobachten“</w:t>
      </w:r>
      <w:r>
        <w:t>).</w:t>
      </w:r>
    </w:p>
    <w:p w14:paraId="3B04961B" w14:textId="77777777" w:rsidR="00F134FD" w:rsidRDefault="00F134FD" w:rsidP="00F134FD">
      <w:pPr>
        <w:pStyle w:val="StandardWeb"/>
      </w:pPr>
      <w:r>
        <w:rPr>
          <w:rStyle w:val="Fett"/>
        </w:rPr>
        <w:t>Didaktik:</w:t>
      </w:r>
      <w:r>
        <w:t xml:space="preserve"> Die Normierung schafft klare Lehr- und Kommunikationsformen: Jedes Studierendensystem kann mit identischen Parametern arbeiten. Die geometrischen Invarianten fördern intuitive wie formale Zugänge. Ein konkreter Anwendungsfall ist die Konstruktion von Sensorzonen in technischen Schulmodellen oder die algorithmische Umsetzung in Open-Source-Lernumgebungen wie GeoGebra oder Processing.</w:t>
      </w:r>
    </w:p>
    <w:p w14:paraId="39FF6EF6" w14:textId="77777777" w:rsidR="00F134FD" w:rsidRDefault="00F134FD" w:rsidP="00F134FD">
      <w:pPr>
        <w:pStyle w:val="berschrift3"/>
      </w:pPr>
      <w:r>
        <w:t>4.3 Fazit der Innovation</w:t>
      </w:r>
    </w:p>
    <w:p w14:paraId="1750B573" w14:textId="77777777" w:rsidR="00F134FD" w:rsidRDefault="00F134FD" w:rsidP="00F134FD">
      <w:pPr>
        <w:pStyle w:val="StandardWeb"/>
      </w:pPr>
      <w:r>
        <w:t xml:space="preserve">Die Einführung des genormten Beobachtungsdreiecks und -tetraeders stellt eine </w:t>
      </w:r>
      <w:r>
        <w:rPr>
          <w:rStyle w:val="Fett"/>
        </w:rPr>
        <w:t>zentrale methodische Innovation</w:t>
      </w:r>
      <w:r>
        <w:t xml:space="preserve"> dieser Arbeit dar. Sie transformiert die funktionalen, erkenntnistheoretischen und geometrischen Konzepte in </w:t>
      </w:r>
      <w:r>
        <w:rPr>
          <w:rStyle w:val="Fett"/>
        </w:rPr>
        <w:t>konsistente, rechnerisch nutzbare und erkenntniskonforme Einheiten</w:t>
      </w:r>
      <w:r>
        <w:t>.</w:t>
      </w:r>
    </w:p>
    <w:p w14:paraId="0E4DCDB4" w14:textId="77777777" w:rsidR="00F134FD" w:rsidRDefault="006F25FE" w:rsidP="00F134FD">
      <w:r>
        <w:pict w14:anchorId="474B0958">
          <v:rect id="_x0000_i1029" style="width:0;height:1.5pt" o:hralign="center" o:hrstd="t" o:hr="t" fillcolor="#a0a0a0" stroked="f"/>
        </w:pict>
      </w:r>
    </w:p>
    <w:p w14:paraId="691E9350" w14:textId="77777777" w:rsidR="00DC6DEC" w:rsidRDefault="00DC6DEC" w:rsidP="00DC6DEC">
      <w:pPr>
        <w:pStyle w:val="berschrift2"/>
      </w:pPr>
      <w:r>
        <w:t>5. Abbildung von Signallaufzeit auf dem Beobachtungsdreieck</w:t>
      </w:r>
    </w:p>
    <w:p w14:paraId="550661B7" w14:textId="77777777" w:rsidR="00DC6DEC" w:rsidRDefault="00DC6DEC" w:rsidP="00DC6DEC">
      <w:pPr>
        <w:pStyle w:val="berschrift3"/>
      </w:pPr>
      <w:r>
        <w:t>5.1 Signallaufzeit als projektive Metrik</w:t>
      </w:r>
    </w:p>
    <w:p w14:paraId="70DF9AC5" w14:textId="77777777" w:rsidR="00DC6DEC" w:rsidRDefault="00DC6DEC" w:rsidP="00DC6DEC">
      <w:pPr>
        <w:pStyle w:val="StandardWeb"/>
      </w:pPr>
      <w:r>
        <w:t xml:space="preserve">Die </w:t>
      </w:r>
      <w:r>
        <w:rPr>
          <w:rStyle w:val="Fett"/>
        </w:rPr>
        <w:t>Signallaufzeit</w:t>
      </w:r>
      <w:r>
        <w:t xml:space="preserve"> ist die messbare Zeit, die ein Signal benötigt, um vom Ursprung </w:t>
      </w:r>
      <w:r>
        <w:rPr>
          <w:rStyle w:val="katex-mathml"/>
        </w:rPr>
        <w:t>PBP_B</w:t>
      </w:r>
      <w:r>
        <w:rPr>
          <w:rStyle w:val="mord"/>
        </w:rPr>
        <w:t>PB</w:t>
      </w:r>
      <w:r>
        <w:rPr>
          <w:rStyle w:val="vlist-s"/>
        </w:rPr>
        <w:t>​</w:t>
      </w:r>
      <w:r>
        <w:t xml:space="preserve"> zu einem Punkt </w:t>
      </w:r>
      <w:r>
        <w:rPr>
          <w:rStyle w:val="katex-mathml"/>
        </w:rPr>
        <w:t>X</w:t>
      </w:r>
      <w:r>
        <w:rPr>
          <w:rStyle w:val="katex-mathml"/>
          <w:rFonts w:ascii="Cambria Math" w:hAnsi="Cambria Math" w:cs="Cambria Math"/>
        </w:rPr>
        <w:t>∈</w:t>
      </w:r>
      <w:r>
        <w:rPr>
          <w:rStyle w:val="katex-mathml"/>
        </w:rPr>
        <w:t>{A,B,C}X \in \{A, B, C\}</w:t>
      </w:r>
      <w:r>
        <w:rPr>
          <w:rStyle w:val="mord"/>
        </w:rPr>
        <w:t>X</w:t>
      </w:r>
      <w:r>
        <w:rPr>
          <w:rStyle w:val="mrel"/>
          <w:rFonts w:ascii="Cambria Math" w:hAnsi="Cambria Math" w:cs="Cambria Math"/>
        </w:rPr>
        <w:t>∈</w:t>
      </w:r>
      <w:r>
        <w:rPr>
          <w:rStyle w:val="mopen"/>
        </w:rPr>
        <w:t>{</w:t>
      </w:r>
      <w:r>
        <w:rPr>
          <w:rStyle w:val="mord"/>
        </w:rPr>
        <w:t>A</w:t>
      </w:r>
      <w:r>
        <w:rPr>
          <w:rStyle w:val="mpunct"/>
        </w:rPr>
        <w:t>,</w:t>
      </w:r>
      <w:r>
        <w:rPr>
          <w:rStyle w:val="mord"/>
        </w:rPr>
        <w:t>B</w:t>
      </w:r>
      <w:r>
        <w:rPr>
          <w:rStyle w:val="mpunct"/>
        </w:rPr>
        <w:t>,</w:t>
      </w:r>
      <w:r>
        <w:rPr>
          <w:rStyle w:val="mord"/>
        </w:rPr>
        <w:t>C</w:t>
      </w:r>
      <w:r>
        <w:rPr>
          <w:rStyle w:val="mclose"/>
        </w:rPr>
        <w:t>}</w:t>
      </w:r>
      <w:r>
        <w:t xml:space="preserve"> zu gelangen – oder </w:t>
      </w:r>
      <w:r>
        <w:lastRenderedPageBreak/>
        <w:t xml:space="preserve">umgekehrt. Sie stellt damit eine </w:t>
      </w:r>
      <w:r>
        <w:rPr>
          <w:rStyle w:val="Fett"/>
        </w:rPr>
        <w:t>temporale Metrik</w:t>
      </w:r>
      <w:r>
        <w:t xml:space="preserve"> bereit, die im Beobachtungsdreieck in geometrische Relationen übersetzt werden kann.</w:t>
      </w:r>
    </w:p>
    <w:p w14:paraId="4D4169FB" w14:textId="77777777" w:rsidR="00DC6DEC" w:rsidRDefault="00DC6DEC" w:rsidP="00DC6DEC">
      <w:pPr>
        <w:pStyle w:val="StandardWeb"/>
      </w:pPr>
      <w:r>
        <w:t>Das zentrale Ziel besteht darin, aus unterschiedlichen Signallaufzeiten auf die Struktur und Orientierung des Dreiecks zu schließen – und umgekehrt aus der Geometrie auf erwartbare Laufzeiten.</w:t>
      </w:r>
    </w:p>
    <w:p w14:paraId="618BAA1B" w14:textId="77777777" w:rsidR="00DC6DEC" w:rsidRDefault="00DC6DEC" w:rsidP="00DC6DEC">
      <w:pPr>
        <w:pStyle w:val="StandardWeb"/>
      </w:pPr>
      <w:r>
        <w:t xml:space="preserve">Die allgemeine Formel für die Laufzeit eines Signals entlang eines Vektors </w:t>
      </w:r>
      <w:r>
        <w:rPr>
          <w:rStyle w:val="katex-mathml"/>
        </w:rPr>
        <w:t>v</w:t>
      </w:r>
      <w:r>
        <w:rPr>
          <w:rStyle w:val="katex-mathml"/>
          <w:rFonts w:ascii="Cambria Math" w:hAnsi="Cambria Math" w:cs="Cambria Math"/>
        </w:rPr>
        <w:t>⃗</w:t>
      </w:r>
      <w:r>
        <w:rPr>
          <w:rStyle w:val="katex-mathml"/>
        </w:rPr>
        <w:t>X=PBX→\vec{v}_X = \overrightarrow{P_BX}</w:t>
      </w:r>
      <w:r>
        <w:rPr>
          <w:rStyle w:val="mord"/>
        </w:rPr>
        <w:t>vX</w:t>
      </w:r>
      <w:r>
        <w:rPr>
          <w:rStyle w:val="vlist-s"/>
        </w:rPr>
        <w:t>​</w:t>
      </w:r>
      <w:r>
        <w:rPr>
          <w:rStyle w:val="mrel"/>
        </w:rPr>
        <w:t>=</w:t>
      </w:r>
      <w:r>
        <w:rPr>
          <w:rStyle w:val="mord"/>
        </w:rPr>
        <w:t>PB</w:t>
      </w:r>
      <w:r>
        <w:rPr>
          <w:rStyle w:val="vlist-s"/>
        </w:rPr>
        <w:t>​</w:t>
      </w:r>
      <w:r>
        <w:rPr>
          <w:rStyle w:val="mord"/>
        </w:rPr>
        <w:t>X</w:t>
      </w:r>
      <w:r>
        <w:rPr>
          <w:rStyle w:val="vlist-s"/>
        </w:rPr>
        <w:t>​</w:t>
      </w:r>
      <w:r>
        <w:t xml:space="preserve"> lautet:</w:t>
      </w:r>
    </w:p>
    <w:p w14:paraId="4609CB8A" w14:textId="77777777" w:rsidR="00DC6DEC" w:rsidRDefault="00DC6DEC" w:rsidP="00DC6DEC">
      <w:r>
        <w:rPr>
          <w:rStyle w:val="katex-mathml"/>
        </w:rPr>
        <w:t>tX=</w:t>
      </w:r>
      <w:r>
        <w:rPr>
          <w:rStyle w:val="katex-mathml"/>
          <w:rFonts w:ascii="Cambria Math" w:hAnsi="Cambria Math" w:cs="Cambria Math"/>
        </w:rPr>
        <w:t>∣</w:t>
      </w:r>
      <w:r>
        <w:rPr>
          <w:rStyle w:val="katex-mathml"/>
        </w:rPr>
        <w:t>v</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v(X)t_X = \frac{|\vec{v}_X|}{v(X)}</w:t>
      </w:r>
      <w:r>
        <w:rPr>
          <w:rStyle w:val="mord"/>
        </w:rPr>
        <w:t>tX</w:t>
      </w:r>
      <w:r>
        <w:rPr>
          <w:rStyle w:val="vlist-s"/>
        </w:rPr>
        <w:t>​</w:t>
      </w:r>
      <w:r>
        <w:rPr>
          <w:rStyle w:val="mrel"/>
        </w:rPr>
        <w:t>=</w:t>
      </w:r>
      <w:r>
        <w:rPr>
          <w:rStyle w:val="mord"/>
        </w:rPr>
        <w:t>v</w:t>
      </w:r>
      <w:r>
        <w:rPr>
          <w:rStyle w:val="mopen"/>
        </w:rPr>
        <w:t>(</w:t>
      </w:r>
      <w:r>
        <w:rPr>
          <w:rStyle w:val="mord"/>
        </w:rPr>
        <w:t>X</w:t>
      </w:r>
      <w:r>
        <w:rPr>
          <w:rStyle w:val="mclose"/>
        </w:rPr>
        <w:t>)</w:t>
      </w:r>
      <w:r>
        <w:rPr>
          <w:rStyle w:val="mord"/>
          <w:rFonts w:ascii="Cambria Math" w:hAnsi="Cambria Math" w:cs="Cambria Math"/>
        </w:rPr>
        <w:t>∣</w:t>
      </w:r>
      <w:r>
        <w:rPr>
          <w:rStyle w:val="mord"/>
        </w:rPr>
        <w:t>vX</w:t>
      </w:r>
      <w:r>
        <w:rPr>
          <w:rStyle w:val="vlist-s"/>
        </w:rPr>
        <w:t>​</w:t>
      </w:r>
      <w:r>
        <w:rPr>
          <w:rStyle w:val="mord"/>
          <w:rFonts w:ascii="Cambria Math" w:hAnsi="Cambria Math" w:cs="Cambria Math"/>
        </w:rPr>
        <w:t>∣</w:t>
      </w:r>
      <w:r>
        <w:rPr>
          <w:rStyle w:val="vlist-s"/>
        </w:rPr>
        <w:t>​</w:t>
      </w:r>
      <w:r>
        <w:t xml:space="preserve"> </w:t>
      </w:r>
    </w:p>
    <w:p w14:paraId="00D23F09" w14:textId="77777777" w:rsidR="00DC6DEC" w:rsidRDefault="00DC6DEC" w:rsidP="00DC6DEC">
      <w:pPr>
        <w:pStyle w:val="StandardWeb"/>
      </w:pPr>
      <w:r>
        <w:t xml:space="preserve">Dabei ist </w:t>
      </w:r>
      <w:r>
        <w:rPr>
          <w:rStyle w:val="katex-mathml"/>
        </w:rPr>
        <w:t>v(X)v(X)</w:t>
      </w:r>
      <w:r>
        <w:rPr>
          <w:rStyle w:val="mord"/>
        </w:rPr>
        <w:t>v</w:t>
      </w:r>
      <w:r>
        <w:rPr>
          <w:rStyle w:val="mopen"/>
        </w:rPr>
        <w:t>(</w:t>
      </w:r>
      <w:r>
        <w:rPr>
          <w:rStyle w:val="mord"/>
        </w:rPr>
        <w:t>X</w:t>
      </w:r>
      <w:r>
        <w:rPr>
          <w:rStyle w:val="mclose"/>
        </w:rPr>
        <w:t>)</w:t>
      </w:r>
      <w:r>
        <w:t xml:space="preserve"> die effektive </w:t>
      </w:r>
      <w:r>
        <w:rPr>
          <w:rStyle w:val="Fett"/>
        </w:rPr>
        <w:t>Signalausbreitungsgeschwindigkeit</w:t>
      </w:r>
      <w:r>
        <w:t xml:space="preserve"> in Richtung </w:t>
      </w:r>
      <w:r>
        <w:rPr>
          <w:rStyle w:val="katex-mathml"/>
        </w:rPr>
        <w:t>XX</w:t>
      </w:r>
      <w:r>
        <w:rPr>
          <w:rStyle w:val="mord"/>
        </w:rPr>
        <w:t>X</w:t>
      </w:r>
      <w:r>
        <w:t>, die vom physikalischen Medium, dem Signaltyp oder der technischen Verarbeitung abhängt.</w:t>
      </w:r>
    </w:p>
    <w:p w14:paraId="1CC8DDD7" w14:textId="77777777" w:rsidR="00DC6DEC" w:rsidRDefault="006F25FE" w:rsidP="00DC6DEC">
      <w:r>
        <w:pict w14:anchorId="6AE8DC04">
          <v:rect id="_x0000_i1030" style="width:0;height:1.5pt" o:hralign="center" o:hrstd="t" o:hr="t" fillcolor="#a0a0a0" stroked="f"/>
        </w:pict>
      </w:r>
    </w:p>
    <w:p w14:paraId="60F342F8" w14:textId="77777777" w:rsidR="00DC6DEC" w:rsidRDefault="00DC6DEC" w:rsidP="00DC6DEC">
      <w:pPr>
        <w:pStyle w:val="berschrift3"/>
      </w:pPr>
      <w:r>
        <w:t xml:space="preserve">5.2 Variable Signalgeschwindigkeit </w:t>
      </w:r>
      <w:r>
        <w:rPr>
          <w:rStyle w:val="katex-mathml"/>
        </w:rPr>
        <w:t>v(X)v(X)</w:t>
      </w:r>
      <w:r>
        <w:rPr>
          <w:rStyle w:val="mord"/>
        </w:rPr>
        <w:t>v</w:t>
      </w:r>
      <w:r>
        <w:rPr>
          <w:rStyle w:val="mopen"/>
        </w:rPr>
        <w:t>(</w:t>
      </w:r>
      <w:r>
        <w:rPr>
          <w:rStyle w:val="mord"/>
        </w:rPr>
        <w:t>X</w:t>
      </w:r>
      <w:r>
        <w:rPr>
          <w:rStyle w:val="mclose"/>
        </w:rPr>
        <w:t>)</w:t>
      </w:r>
    </w:p>
    <w:p w14:paraId="6F5CFC78" w14:textId="77777777" w:rsidR="00DC6DEC" w:rsidRDefault="00DC6DEC" w:rsidP="00DC6DEC">
      <w:pPr>
        <w:pStyle w:val="StandardWeb"/>
      </w:pPr>
      <w:r>
        <w:t xml:space="preserve">Im Gegensatz zu idealisierten Modellen mit konstanter Signalgeschwindigkeit </w:t>
      </w:r>
      <w:r>
        <w:rPr>
          <w:rStyle w:val="katex-mathml"/>
        </w:rPr>
        <w:t>cc</w:t>
      </w:r>
      <w:r>
        <w:rPr>
          <w:rStyle w:val="mord"/>
        </w:rPr>
        <w:t>c</w:t>
      </w:r>
      <w:r>
        <w:t xml:space="preserve">, z. B. Licht im Vakuum, treten in realen Situationen häufig </w:t>
      </w:r>
      <w:r>
        <w:rPr>
          <w:rStyle w:val="Fett"/>
        </w:rPr>
        <w:t>variierende Signalgeschwindigkeiten</w:t>
      </w:r>
      <w:r>
        <w:t xml:space="preserve">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4140"/>
        <w:gridCol w:w="2973"/>
      </w:tblGrid>
      <w:tr w:rsidR="00DC6DEC" w14:paraId="4FE43805" w14:textId="77777777" w:rsidTr="00DC6DEC">
        <w:trPr>
          <w:tblHeader/>
          <w:tblCellSpacing w:w="15" w:type="dxa"/>
        </w:trPr>
        <w:tc>
          <w:tcPr>
            <w:tcW w:w="0" w:type="auto"/>
            <w:vAlign w:val="center"/>
            <w:hideMark/>
          </w:tcPr>
          <w:p w14:paraId="5D4E7DFB" w14:textId="77777777" w:rsidR="00DC6DEC" w:rsidRDefault="00DC6DEC">
            <w:pPr>
              <w:jc w:val="center"/>
              <w:rPr>
                <w:b/>
                <w:bCs/>
              </w:rPr>
            </w:pPr>
            <w:r>
              <w:rPr>
                <w:b/>
                <w:bCs/>
              </w:rPr>
              <w:t>Signaltyp</w:t>
            </w:r>
          </w:p>
        </w:tc>
        <w:tc>
          <w:tcPr>
            <w:tcW w:w="0" w:type="auto"/>
            <w:vAlign w:val="center"/>
            <w:hideMark/>
          </w:tcPr>
          <w:p w14:paraId="2743DFBA" w14:textId="77777777" w:rsidR="00DC6DEC" w:rsidRDefault="00DC6DEC">
            <w:pPr>
              <w:jc w:val="center"/>
              <w:rPr>
                <w:b/>
                <w:bCs/>
              </w:rPr>
            </w:pPr>
            <w:r>
              <w:rPr>
                <w:b/>
                <w:bCs/>
              </w:rPr>
              <w:t>Typische Geschwindigkeit</w:t>
            </w:r>
          </w:p>
        </w:tc>
        <w:tc>
          <w:tcPr>
            <w:tcW w:w="0" w:type="auto"/>
            <w:vAlign w:val="center"/>
            <w:hideMark/>
          </w:tcPr>
          <w:p w14:paraId="71EA985E" w14:textId="77777777" w:rsidR="00DC6DEC" w:rsidRDefault="00DC6DEC">
            <w:pPr>
              <w:jc w:val="center"/>
              <w:rPr>
                <w:b/>
                <w:bCs/>
              </w:rPr>
            </w:pPr>
            <w:r>
              <w:rPr>
                <w:b/>
                <w:bCs/>
              </w:rPr>
              <w:t>Besonderheit</w:t>
            </w:r>
          </w:p>
        </w:tc>
      </w:tr>
      <w:tr w:rsidR="00DC6DEC" w14:paraId="69902407" w14:textId="77777777" w:rsidTr="00DC6DEC">
        <w:trPr>
          <w:tblCellSpacing w:w="15" w:type="dxa"/>
        </w:trPr>
        <w:tc>
          <w:tcPr>
            <w:tcW w:w="0" w:type="auto"/>
            <w:vAlign w:val="center"/>
            <w:hideMark/>
          </w:tcPr>
          <w:p w14:paraId="01460AFC" w14:textId="77777777" w:rsidR="00DC6DEC" w:rsidRDefault="00DC6DEC">
            <w:r>
              <w:t>Licht (Luft/Vakuum)</w:t>
            </w:r>
          </w:p>
        </w:tc>
        <w:tc>
          <w:tcPr>
            <w:tcW w:w="0" w:type="auto"/>
            <w:vAlign w:val="center"/>
            <w:hideMark/>
          </w:tcPr>
          <w:p w14:paraId="77201FFD" w14:textId="77777777" w:rsidR="00DC6DEC" w:rsidRDefault="00DC6DEC">
            <w:r>
              <w:rPr>
                <w:rStyle w:val="katex-mathml"/>
              </w:rPr>
              <w:t>c≈3</w:t>
            </w:r>
            <w:r>
              <w:rPr>
                <w:rStyle w:val="katex-mathml"/>
                <w:rFonts w:ascii="Cambria Math" w:hAnsi="Cambria Math" w:cs="Cambria Math"/>
              </w:rPr>
              <w:t>⋅</w:t>
            </w:r>
            <w:r>
              <w:rPr>
                <w:rStyle w:val="katex-mathml"/>
              </w:rPr>
              <w:t>108 m/sc \approx 3 \cdot 10^8 \,\text{m/s}</w:t>
            </w:r>
            <w:r>
              <w:rPr>
                <w:rStyle w:val="mord"/>
              </w:rPr>
              <w:t>c</w:t>
            </w:r>
            <w:r>
              <w:rPr>
                <w:rStyle w:val="mrel"/>
              </w:rPr>
              <w:t>≈</w:t>
            </w:r>
            <w:r>
              <w:rPr>
                <w:rStyle w:val="mord"/>
              </w:rPr>
              <w:t>3</w:t>
            </w:r>
            <w:r>
              <w:rPr>
                <w:rStyle w:val="mbin"/>
                <w:rFonts w:ascii="Cambria Math" w:hAnsi="Cambria Math" w:cs="Cambria Math"/>
              </w:rPr>
              <w:t>⋅</w:t>
            </w:r>
            <w:r>
              <w:rPr>
                <w:rStyle w:val="mord"/>
              </w:rPr>
              <w:t>108m/s</w:t>
            </w:r>
          </w:p>
        </w:tc>
        <w:tc>
          <w:tcPr>
            <w:tcW w:w="0" w:type="auto"/>
            <w:vAlign w:val="center"/>
            <w:hideMark/>
          </w:tcPr>
          <w:p w14:paraId="267820D4" w14:textId="77777777" w:rsidR="00DC6DEC" w:rsidRDefault="00DC6DEC">
            <w:r>
              <w:t>Konstante Ausbreitung, idealisiert</w:t>
            </w:r>
          </w:p>
        </w:tc>
      </w:tr>
      <w:tr w:rsidR="00DC6DEC" w14:paraId="64548E63" w14:textId="77777777" w:rsidTr="00DC6DEC">
        <w:trPr>
          <w:tblCellSpacing w:w="15" w:type="dxa"/>
        </w:trPr>
        <w:tc>
          <w:tcPr>
            <w:tcW w:w="0" w:type="auto"/>
            <w:vAlign w:val="center"/>
            <w:hideMark/>
          </w:tcPr>
          <w:p w14:paraId="59C31787" w14:textId="77777777" w:rsidR="00DC6DEC" w:rsidRDefault="00DC6DEC">
            <w:r>
              <w:t>Schall (Luft)</w:t>
            </w:r>
          </w:p>
        </w:tc>
        <w:tc>
          <w:tcPr>
            <w:tcW w:w="0" w:type="auto"/>
            <w:vAlign w:val="center"/>
            <w:hideMark/>
          </w:tcPr>
          <w:p w14:paraId="2C6A80F8" w14:textId="77777777" w:rsidR="00DC6DEC" w:rsidRDefault="00DC6DEC">
            <w:r>
              <w:rPr>
                <w:rStyle w:val="katex-mathml"/>
              </w:rPr>
              <w:t>≈343 m/s\approx 343 \,\text{m/s}</w:t>
            </w:r>
            <w:r>
              <w:rPr>
                <w:rStyle w:val="mrel"/>
              </w:rPr>
              <w:t>≈</w:t>
            </w:r>
            <w:r>
              <w:rPr>
                <w:rStyle w:val="mord"/>
              </w:rPr>
              <w:t>343m/s</w:t>
            </w:r>
          </w:p>
        </w:tc>
        <w:tc>
          <w:tcPr>
            <w:tcW w:w="0" w:type="auto"/>
            <w:vAlign w:val="center"/>
            <w:hideMark/>
          </w:tcPr>
          <w:p w14:paraId="0CE2654A" w14:textId="77777777" w:rsidR="00DC6DEC" w:rsidRDefault="00DC6DEC">
            <w:r>
              <w:t>Mediumabhängig, richtungsmodulierbar</w:t>
            </w:r>
          </w:p>
        </w:tc>
      </w:tr>
      <w:tr w:rsidR="00DC6DEC" w14:paraId="5404B888" w14:textId="77777777" w:rsidTr="00DC6DEC">
        <w:trPr>
          <w:tblCellSpacing w:w="15" w:type="dxa"/>
        </w:trPr>
        <w:tc>
          <w:tcPr>
            <w:tcW w:w="0" w:type="auto"/>
            <w:vAlign w:val="center"/>
            <w:hideMark/>
          </w:tcPr>
          <w:p w14:paraId="1AE7693F" w14:textId="77777777" w:rsidR="00DC6DEC" w:rsidRDefault="00DC6DEC">
            <w:r>
              <w:t>Ultraschall (Gewebe)</w:t>
            </w:r>
          </w:p>
        </w:tc>
        <w:tc>
          <w:tcPr>
            <w:tcW w:w="0" w:type="auto"/>
            <w:vAlign w:val="center"/>
            <w:hideMark/>
          </w:tcPr>
          <w:p w14:paraId="3ABD6456" w14:textId="77777777" w:rsidR="00DC6DEC" w:rsidRDefault="00DC6DEC">
            <w:r>
              <w:rPr>
                <w:rStyle w:val="katex-mathml"/>
              </w:rPr>
              <w:t>≈1.5</w:t>
            </w:r>
            <w:r>
              <w:rPr>
                <w:rStyle w:val="katex-mathml"/>
                <w:rFonts w:ascii="Cambria Math" w:hAnsi="Cambria Math" w:cs="Cambria Math"/>
              </w:rPr>
              <w:t>⋅</w:t>
            </w:r>
            <w:r>
              <w:rPr>
                <w:rStyle w:val="katex-mathml"/>
              </w:rPr>
              <w:t>103 m/s\approx 1.5 \cdot 10^3 \,\text{m/s}</w:t>
            </w:r>
            <w:r>
              <w:rPr>
                <w:rStyle w:val="mrel"/>
              </w:rPr>
              <w:t>≈</w:t>
            </w:r>
            <w:r>
              <w:rPr>
                <w:rStyle w:val="mord"/>
              </w:rPr>
              <w:t>1.5</w:t>
            </w:r>
            <w:r>
              <w:rPr>
                <w:rStyle w:val="mbin"/>
                <w:rFonts w:ascii="Cambria Math" w:hAnsi="Cambria Math" w:cs="Cambria Math"/>
              </w:rPr>
              <w:t>⋅</w:t>
            </w:r>
            <w:r>
              <w:rPr>
                <w:rStyle w:val="mord"/>
              </w:rPr>
              <w:t>103m/s</w:t>
            </w:r>
          </w:p>
        </w:tc>
        <w:tc>
          <w:tcPr>
            <w:tcW w:w="0" w:type="auto"/>
            <w:vAlign w:val="center"/>
            <w:hideMark/>
          </w:tcPr>
          <w:p w14:paraId="0EBF17E7" w14:textId="77777777" w:rsidR="00DC6DEC" w:rsidRDefault="00DC6DEC">
            <w:r>
              <w:t>Materialabhängig, ortsabhängig</w:t>
            </w:r>
          </w:p>
        </w:tc>
      </w:tr>
      <w:tr w:rsidR="00DC6DEC" w14:paraId="0269F9F0" w14:textId="77777777" w:rsidTr="00DC6DEC">
        <w:trPr>
          <w:tblCellSpacing w:w="15" w:type="dxa"/>
        </w:trPr>
        <w:tc>
          <w:tcPr>
            <w:tcW w:w="0" w:type="auto"/>
            <w:vAlign w:val="center"/>
            <w:hideMark/>
          </w:tcPr>
          <w:p w14:paraId="54281B69" w14:textId="77777777" w:rsidR="00DC6DEC" w:rsidRDefault="00DC6DEC">
            <w:r>
              <w:t>Elektrisches Signal (Kabel)</w:t>
            </w:r>
          </w:p>
        </w:tc>
        <w:tc>
          <w:tcPr>
            <w:tcW w:w="0" w:type="auto"/>
            <w:vAlign w:val="center"/>
            <w:hideMark/>
          </w:tcPr>
          <w:p w14:paraId="21B07B77" w14:textId="77777777" w:rsidR="00DC6DEC" w:rsidRDefault="00DC6DEC">
            <w:r>
              <w:rPr>
                <w:rStyle w:val="katex-mathml"/>
              </w:rPr>
              <w:t>0.6c−0.9c0.6c - 0.9c</w:t>
            </w:r>
            <w:r>
              <w:rPr>
                <w:rStyle w:val="mord"/>
              </w:rPr>
              <w:t>0.6c</w:t>
            </w:r>
            <w:r>
              <w:rPr>
                <w:rStyle w:val="mbin"/>
              </w:rPr>
              <w:t>−</w:t>
            </w:r>
            <w:r>
              <w:rPr>
                <w:rStyle w:val="mord"/>
              </w:rPr>
              <w:t>0.9c</w:t>
            </w:r>
          </w:p>
        </w:tc>
        <w:tc>
          <w:tcPr>
            <w:tcW w:w="0" w:type="auto"/>
            <w:vAlign w:val="center"/>
            <w:hideMark/>
          </w:tcPr>
          <w:p w14:paraId="0A7D426D" w14:textId="77777777" w:rsidR="00DC6DEC" w:rsidRDefault="00DC6DEC">
            <w:r>
              <w:t>Leitungsspezifisch</w:t>
            </w:r>
          </w:p>
        </w:tc>
      </w:tr>
      <w:tr w:rsidR="00DC6DEC" w14:paraId="4EC94B7D" w14:textId="77777777" w:rsidTr="00DC6DEC">
        <w:trPr>
          <w:tblCellSpacing w:w="15" w:type="dxa"/>
        </w:trPr>
        <w:tc>
          <w:tcPr>
            <w:tcW w:w="0" w:type="auto"/>
            <w:vAlign w:val="center"/>
            <w:hideMark/>
          </w:tcPr>
          <w:p w14:paraId="36A6115A" w14:textId="77777777" w:rsidR="00DC6DEC" w:rsidRDefault="00DC6DEC">
            <w:r>
              <w:t>Taktil (Nervensignal)</w:t>
            </w:r>
          </w:p>
        </w:tc>
        <w:tc>
          <w:tcPr>
            <w:tcW w:w="0" w:type="auto"/>
            <w:vAlign w:val="center"/>
            <w:hideMark/>
          </w:tcPr>
          <w:p w14:paraId="1BF48723" w14:textId="77777777" w:rsidR="00DC6DEC" w:rsidRDefault="00DC6DEC">
            <w:r>
              <w:rPr>
                <w:rStyle w:val="katex-mathml"/>
              </w:rPr>
              <w:t>≈100 m/s\approx 100 \,\text{m/s}</w:t>
            </w:r>
            <w:r>
              <w:rPr>
                <w:rStyle w:val="mrel"/>
              </w:rPr>
              <w:t>≈</w:t>
            </w:r>
            <w:r>
              <w:rPr>
                <w:rStyle w:val="mord"/>
              </w:rPr>
              <w:t>100m/s</w:t>
            </w:r>
          </w:p>
        </w:tc>
        <w:tc>
          <w:tcPr>
            <w:tcW w:w="0" w:type="auto"/>
            <w:vAlign w:val="center"/>
            <w:hideMark/>
          </w:tcPr>
          <w:p w14:paraId="0EF1013D" w14:textId="77777777" w:rsidR="00DC6DEC" w:rsidRDefault="00DC6DEC">
            <w:r>
              <w:t>Verzögerung durch biologische Prozesse</w:t>
            </w:r>
          </w:p>
        </w:tc>
      </w:tr>
    </w:tbl>
    <w:p w14:paraId="1B61DB72" w14:textId="77777777" w:rsidR="00DC6DEC" w:rsidRDefault="00DC6DEC" w:rsidP="00DC6DEC">
      <w:pPr>
        <w:pStyle w:val="StandardWeb"/>
      </w:pPr>
      <w:r>
        <w:t>Diese Differenzierung hat zwei wesentliche Konsequenzen für das Beobachtungsdreieck:</w:t>
      </w:r>
    </w:p>
    <w:p w14:paraId="142C6082" w14:textId="77777777" w:rsidR="00DC6DEC" w:rsidRDefault="00DC6DEC" w:rsidP="00DC6DEC">
      <w:pPr>
        <w:pStyle w:val="StandardWeb"/>
        <w:numPr>
          <w:ilvl w:val="0"/>
          <w:numId w:val="10"/>
        </w:numPr>
      </w:pPr>
      <w:r>
        <w:rPr>
          <w:rStyle w:val="Fett"/>
        </w:rPr>
        <w:t>Isotropie geht verloren:</w:t>
      </w:r>
      <w:r>
        <w:t xml:space="preserve"> Die Richtung beeinflusst die Laufzeit nicht nur durch die Distanz, sondern durch die Geschwindigkeitsvariation.</w:t>
      </w:r>
    </w:p>
    <w:p w14:paraId="057F28A2" w14:textId="77777777" w:rsidR="00DC6DEC" w:rsidRDefault="00DC6DEC" w:rsidP="00DC6DEC">
      <w:pPr>
        <w:pStyle w:val="StandardWeb"/>
        <w:numPr>
          <w:ilvl w:val="0"/>
          <w:numId w:val="10"/>
        </w:numPr>
      </w:pPr>
      <w:r>
        <w:rPr>
          <w:rStyle w:val="Fett"/>
        </w:rPr>
        <w:t>Abbildung wird adaptiv:</w:t>
      </w:r>
      <w:r>
        <w:t xml:space="preserve"> Die Laufzeiten müssen </w:t>
      </w:r>
      <w:r>
        <w:rPr>
          <w:rStyle w:val="Fett"/>
        </w:rPr>
        <w:t>relativ zum Signalmedium</w:t>
      </w:r>
      <w:r>
        <w:t xml:space="preserve"> interpretiert und auf ein genormtes System abgebildet werden.</w:t>
      </w:r>
    </w:p>
    <w:p w14:paraId="7A467450" w14:textId="77777777" w:rsidR="00DC6DEC" w:rsidRDefault="006F25FE" w:rsidP="00DC6DEC">
      <w:r>
        <w:pict w14:anchorId="024D6870">
          <v:rect id="_x0000_i1031" style="width:0;height:1.5pt" o:hralign="center" o:hrstd="t" o:hr="t" fillcolor="#a0a0a0" stroked="f"/>
        </w:pict>
      </w:r>
    </w:p>
    <w:p w14:paraId="7BE91A5E" w14:textId="77777777" w:rsidR="00DC6DEC" w:rsidRDefault="00DC6DEC" w:rsidP="00DC6DEC">
      <w:pPr>
        <w:pStyle w:val="berschrift3"/>
      </w:pPr>
      <w:r>
        <w:t>5.3 Die Normierung als Referenzrahmen</w:t>
      </w:r>
    </w:p>
    <w:p w14:paraId="38A58B59" w14:textId="77777777" w:rsidR="00DC6DEC" w:rsidRDefault="00DC6DEC" w:rsidP="00DC6DEC">
      <w:pPr>
        <w:pStyle w:val="StandardWeb"/>
      </w:pPr>
      <w:r>
        <w:lastRenderedPageBreak/>
        <w:t>In der genormten Fassung des Beobachtungsdreiecks gilt:</w:t>
      </w:r>
    </w:p>
    <w:p w14:paraId="41DFB145" w14:textId="77777777" w:rsidR="00DC6DEC" w:rsidRDefault="00DC6DEC" w:rsidP="00DC6DEC">
      <w:pPr>
        <w:pStyle w:val="StandardWeb"/>
        <w:numPr>
          <w:ilvl w:val="0"/>
          <w:numId w:val="11"/>
        </w:numPr>
      </w:pPr>
      <w:r>
        <w:t>Alle Seitenlängen sind normiert auf 1:</w:t>
      </w:r>
    </w:p>
    <w:p w14:paraId="3DA07909" w14:textId="77777777" w:rsidR="00DC6DEC" w:rsidRDefault="00DC6DEC" w:rsidP="00DC6DEC">
      <w:pPr>
        <w:spacing w:beforeAutospacing="1" w:afterAutospacing="1"/>
        <w:ind w:left="720"/>
      </w:pPr>
      <w:r>
        <w:rPr>
          <w:rStyle w:val="katex-mathml"/>
          <w:rFonts w:ascii="Cambria Math" w:hAnsi="Cambria Math" w:cs="Cambria Math"/>
        </w:rPr>
        <w:t>∣</w:t>
      </w:r>
      <w:r>
        <w:rPr>
          <w:rStyle w:val="katex-mathml"/>
        </w:rPr>
        <w:t>AB</w:t>
      </w:r>
      <w:r>
        <w:rPr>
          <w:rStyle w:val="katex-mathml"/>
          <w:rFonts w:ascii="Cambria Math" w:hAnsi="Cambria Math" w:cs="Cambria Math"/>
        </w:rPr>
        <w:t>∣</w:t>
      </w:r>
      <w:r>
        <w:rPr>
          <w:rStyle w:val="katex-mathml"/>
        </w:rPr>
        <w:t>=</w:t>
      </w:r>
      <w:r>
        <w:rPr>
          <w:rStyle w:val="katex-mathml"/>
          <w:rFonts w:ascii="Cambria Math" w:hAnsi="Cambria Math" w:cs="Cambria Math"/>
        </w:rPr>
        <w:t>∣</w:t>
      </w:r>
      <w:r>
        <w:rPr>
          <w:rStyle w:val="katex-mathml"/>
        </w:rPr>
        <w:t>BC</w:t>
      </w:r>
      <w:r>
        <w:rPr>
          <w:rStyle w:val="katex-mathml"/>
          <w:rFonts w:ascii="Cambria Math" w:hAnsi="Cambria Math" w:cs="Cambria Math"/>
        </w:rPr>
        <w:t>∣</w:t>
      </w:r>
      <w:r>
        <w:rPr>
          <w:rStyle w:val="katex-mathml"/>
        </w:rPr>
        <w:t>=</w:t>
      </w:r>
      <w:r>
        <w:rPr>
          <w:rStyle w:val="katex-mathml"/>
          <w:rFonts w:ascii="Cambria Math" w:hAnsi="Cambria Math" w:cs="Cambria Math"/>
        </w:rPr>
        <w:t>∣</w:t>
      </w:r>
      <w:r>
        <w:rPr>
          <w:rStyle w:val="katex-mathml"/>
        </w:rPr>
        <w:t>CA</w:t>
      </w:r>
      <w:r>
        <w:rPr>
          <w:rStyle w:val="katex-mathml"/>
          <w:rFonts w:ascii="Cambria Math" w:hAnsi="Cambria Math" w:cs="Cambria Math"/>
        </w:rPr>
        <w:t>∣</w:t>
      </w:r>
      <w:r>
        <w:rPr>
          <w:rStyle w:val="katex-mathml"/>
        </w:rPr>
        <w:t>=1|AB| = |BC| = |CA| = 1</w:t>
      </w:r>
      <w:r>
        <w:rPr>
          <w:rStyle w:val="mord"/>
          <w:rFonts w:ascii="Cambria Math" w:hAnsi="Cambria Math" w:cs="Cambria Math"/>
        </w:rPr>
        <w:t>∣</w:t>
      </w:r>
      <w:r>
        <w:rPr>
          <w:rStyle w:val="mord"/>
        </w:rPr>
        <w:t>AB</w:t>
      </w:r>
      <w:r>
        <w:rPr>
          <w:rStyle w:val="mord"/>
          <w:rFonts w:ascii="Cambria Math" w:hAnsi="Cambria Math" w:cs="Cambria Math"/>
        </w:rPr>
        <w:t>∣</w:t>
      </w:r>
      <w:r>
        <w:rPr>
          <w:rStyle w:val="mrel"/>
        </w:rPr>
        <w:t>=</w:t>
      </w:r>
      <w:r>
        <w:rPr>
          <w:rStyle w:val="mord"/>
          <w:rFonts w:ascii="Cambria Math" w:hAnsi="Cambria Math" w:cs="Cambria Math"/>
        </w:rPr>
        <w:t>∣</w:t>
      </w:r>
      <w:r>
        <w:rPr>
          <w:rStyle w:val="mord"/>
        </w:rPr>
        <w:t>BC</w:t>
      </w:r>
      <w:r>
        <w:rPr>
          <w:rStyle w:val="mord"/>
          <w:rFonts w:ascii="Cambria Math" w:hAnsi="Cambria Math" w:cs="Cambria Math"/>
        </w:rPr>
        <w:t>∣</w:t>
      </w:r>
      <w:r>
        <w:rPr>
          <w:rStyle w:val="mrel"/>
        </w:rPr>
        <w:t>=</w:t>
      </w:r>
      <w:r>
        <w:rPr>
          <w:rStyle w:val="mord"/>
          <w:rFonts w:ascii="Cambria Math" w:hAnsi="Cambria Math" w:cs="Cambria Math"/>
        </w:rPr>
        <w:t>∣</w:t>
      </w:r>
      <w:r>
        <w:rPr>
          <w:rStyle w:val="mord"/>
        </w:rPr>
        <w:t>CA</w:t>
      </w:r>
      <w:r>
        <w:rPr>
          <w:rStyle w:val="mord"/>
          <w:rFonts w:ascii="Cambria Math" w:hAnsi="Cambria Math" w:cs="Cambria Math"/>
        </w:rPr>
        <w:t>∣</w:t>
      </w:r>
      <w:r>
        <w:rPr>
          <w:rStyle w:val="mrel"/>
        </w:rPr>
        <w:t>=</w:t>
      </w:r>
      <w:r>
        <w:rPr>
          <w:rStyle w:val="mord"/>
        </w:rPr>
        <w:t>1</w:t>
      </w:r>
      <w:r>
        <w:t xml:space="preserve"> </w:t>
      </w:r>
    </w:p>
    <w:p w14:paraId="5050275C" w14:textId="77777777" w:rsidR="00DC6DEC" w:rsidRDefault="00DC6DEC" w:rsidP="00DC6DEC">
      <w:pPr>
        <w:pStyle w:val="StandardWeb"/>
        <w:numPr>
          <w:ilvl w:val="0"/>
          <w:numId w:val="11"/>
        </w:numPr>
      </w:pPr>
      <w:r>
        <w:t xml:space="preserve">Die daraus resultierende </w:t>
      </w:r>
      <w:r>
        <w:rPr>
          <w:rStyle w:val="Fett"/>
        </w:rPr>
        <w:t>Referenzlaufzeit</w:t>
      </w:r>
      <w:r>
        <w:t xml:space="preserve"> (Normlaufzeit) für eine Strecke bei Geschwindigkeit </w:t>
      </w:r>
      <w:r>
        <w:rPr>
          <w:rStyle w:val="katex-mathml"/>
        </w:rPr>
        <w:t>v0v_0</w:t>
      </w:r>
      <w:r>
        <w:rPr>
          <w:rStyle w:val="mord"/>
        </w:rPr>
        <w:t>v0</w:t>
      </w:r>
      <w:r>
        <w:rPr>
          <w:rStyle w:val="vlist-s"/>
        </w:rPr>
        <w:t>​</w:t>
      </w:r>
      <w:r>
        <w:t xml:space="preserve"> ist:</w:t>
      </w:r>
    </w:p>
    <w:p w14:paraId="2E02CD23" w14:textId="77777777" w:rsidR="00DC6DEC" w:rsidRDefault="00DC6DEC" w:rsidP="00DC6DEC">
      <w:pPr>
        <w:spacing w:beforeAutospacing="1" w:afterAutospacing="1"/>
        <w:ind w:left="720"/>
      </w:pPr>
      <w:r>
        <w:rPr>
          <w:rStyle w:val="katex-mathml"/>
        </w:rPr>
        <w:t>tnorm=1v0t_{\text{norm}} = \frac{1}{v_0}</w:t>
      </w:r>
      <w:r>
        <w:rPr>
          <w:rStyle w:val="mord"/>
        </w:rPr>
        <w:t>tnorm</w:t>
      </w:r>
      <w:r>
        <w:rPr>
          <w:rStyle w:val="vlist-s"/>
        </w:rPr>
        <w:t>​</w:t>
      </w:r>
      <w:r>
        <w:rPr>
          <w:rStyle w:val="mrel"/>
        </w:rPr>
        <w:t>=</w:t>
      </w:r>
      <w:r>
        <w:rPr>
          <w:rStyle w:val="mord"/>
        </w:rPr>
        <w:t>v0</w:t>
      </w:r>
      <w:r>
        <w:rPr>
          <w:rStyle w:val="vlist-s"/>
        </w:rPr>
        <w:t>​</w:t>
      </w:r>
      <w:r>
        <w:rPr>
          <w:rStyle w:val="mord"/>
        </w:rPr>
        <w:t>1</w:t>
      </w:r>
      <w:r>
        <w:rPr>
          <w:rStyle w:val="vlist-s"/>
        </w:rPr>
        <w:t>​</w:t>
      </w:r>
      <w:r>
        <w:t xml:space="preserve"> </w:t>
      </w:r>
    </w:p>
    <w:p w14:paraId="3C8493F4" w14:textId="77777777" w:rsidR="00DC6DEC" w:rsidRDefault="00DC6DEC" w:rsidP="00DC6DEC">
      <w:pPr>
        <w:pStyle w:val="StandardWeb"/>
      </w:pPr>
      <w:r>
        <w:t>Jede reale Laufzeit kann nun auf dieses System rückgeführt werden:</w:t>
      </w:r>
    </w:p>
    <w:p w14:paraId="452CC21F" w14:textId="77777777" w:rsidR="00DC6DEC" w:rsidRDefault="00DC6DEC" w:rsidP="00DC6DEC">
      <w:r>
        <w:rPr>
          <w:rStyle w:val="katex-mathml"/>
        </w:rPr>
        <w:t>tXrel=tXtnorm=</w:t>
      </w:r>
      <w:r>
        <w:rPr>
          <w:rStyle w:val="katex-mathml"/>
          <w:rFonts w:ascii="Cambria Math" w:hAnsi="Cambria Math" w:cs="Cambria Math"/>
        </w:rPr>
        <w:t>∣</w:t>
      </w:r>
      <w:r>
        <w:rPr>
          <w:rStyle w:val="katex-mathml"/>
        </w:rPr>
        <w:t>v</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v(X)</w:t>
      </w:r>
      <w:r>
        <w:rPr>
          <w:rStyle w:val="katex-mathml"/>
          <w:rFonts w:ascii="Cambria Math" w:hAnsi="Cambria Math" w:cs="Cambria Math"/>
        </w:rPr>
        <w:t>⋅</w:t>
      </w:r>
      <w:r>
        <w:rPr>
          <w:rStyle w:val="katex-mathml"/>
        </w:rPr>
        <w:t>v0</w:t>
      </w:r>
      <w:r>
        <w:rPr>
          <w:rStyle w:val="katex-mathml"/>
          <w:rFonts w:ascii="Cambria Math" w:hAnsi="Cambria Math" w:cs="Cambria Math"/>
        </w:rPr>
        <w:t>⇒∣</w:t>
      </w:r>
      <w:r>
        <w:rPr>
          <w:rStyle w:val="katex-mathml"/>
        </w:rPr>
        <w:t>v</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=v(X)v0</w:t>
      </w:r>
      <w:r>
        <w:rPr>
          <w:rStyle w:val="katex-mathml"/>
          <w:rFonts w:ascii="Cambria Math" w:hAnsi="Cambria Math" w:cs="Cambria Math"/>
        </w:rPr>
        <w:t>⋅</w:t>
      </w:r>
      <w:r>
        <w:rPr>
          <w:rStyle w:val="katex-mathml"/>
        </w:rPr>
        <w:t>tXrelt_X^{\text{rel}} = \frac{t_X}{t_{\text{norm}}} = \frac{|\vec{v}_X|}{v(X)} \cdot v_0 \Rightarrow |\vec{v}_X| = \frac{v(X)}{v_0} \cdot t_X^{\text{rel}}</w:t>
      </w:r>
      <w:r>
        <w:rPr>
          <w:rStyle w:val="mord"/>
        </w:rPr>
        <w:t>tXrel</w:t>
      </w:r>
      <w:r>
        <w:rPr>
          <w:rStyle w:val="vlist-s"/>
        </w:rPr>
        <w:t>​</w:t>
      </w:r>
      <w:r>
        <w:rPr>
          <w:rStyle w:val="mrel"/>
        </w:rPr>
        <w:t>=</w:t>
      </w:r>
      <w:r>
        <w:rPr>
          <w:rStyle w:val="mord"/>
        </w:rPr>
        <w:t>tnorm</w:t>
      </w:r>
      <w:r>
        <w:rPr>
          <w:rStyle w:val="vlist-s"/>
        </w:rPr>
        <w:t>​</w:t>
      </w:r>
      <w:r>
        <w:rPr>
          <w:rStyle w:val="mord"/>
        </w:rPr>
        <w:t>tX</w:t>
      </w:r>
      <w:r>
        <w:rPr>
          <w:rStyle w:val="vlist-s"/>
        </w:rPr>
        <w:t>​​</w:t>
      </w:r>
      <w:r>
        <w:rPr>
          <w:rStyle w:val="mrel"/>
        </w:rPr>
        <w:t>=</w:t>
      </w:r>
      <w:r>
        <w:rPr>
          <w:rStyle w:val="mord"/>
        </w:rPr>
        <w:t>v</w:t>
      </w:r>
      <w:r>
        <w:rPr>
          <w:rStyle w:val="mopen"/>
        </w:rPr>
        <w:t>(</w:t>
      </w:r>
      <w:r>
        <w:rPr>
          <w:rStyle w:val="mord"/>
        </w:rPr>
        <w:t>X</w:t>
      </w:r>
      <w:r>
        <w:rPr>
          <w:rStyle w:val="mclose"/>
        </w:rPr>
        <w:t>)</w:t>
      </w:r>
      <w:r>
        <w:rPr>
          <w:rStyle w:val="mord"/>
          <w:rFonts w:ascii="Cambria Math" w:hAnsi="Cambria Math" w:cs="Cambria Math"/>
        </w:rPr>
        <w:t>∣</w:t>
      </w:r>
      <w:r>
        <w:rPr>
          <w:rStyle w:val="mord"/>
        </w:rPr>
        <w:t>vX</w:t>
      </w:r>
      <w:r>
        <w:rPr>
          <w:rStyle w:val="vlist-s"/>
        </w:rPr>
        <w:t>​</w:t>
      </w:r>
      <w:r>
        <w:rPr>
          <w:rStyle w:val="mord"/>
          <w:rFonts w:ascii="Cambria Math" w:hAnsi="Cambria Math" w:cs="Cambria Math"/>
        </w:rPr>
        <w:t>∣</w:t>
      </w:r>
      <w:r>
        <w:rPr>
          <w:rStyle w:val="vlist-s"/>
        </w:rPr>
        <w:t>​</w:t>
      </w:r>
      <w:r>
        <w:rPr>
          <w:rStyle w:val="mbin"/>
          <w:rFonts w:ascii="Cambria Math" w:hAnsi="Cambria Math" w:cs="Cambria Math"/>
        </w:rPr>
        <w:t>⋅</w:t>
      </w:r>
      <w:r>
        <w:rPr>
          <w:rStyle w:val="mord"/>
        </w:rPr>
        <w:t>v0</w:t>
      </w:r>
      <w:r>
        <w:rPr>
          <w:rStyle w:val="vlist-s"/>
        </w:rPr>
        <w:t>​</w:t>
      </w:r>
      <w:r>
        <w:rPr>
          <w:rStyle w:val="mrel"/>
          <w:rFonts w:ascii="Cambria Math" w:hAnsi="Cambria Math" w:cs="Cambria Math"/>
        </w:rPr>
        <w:t>⇒</w:t>
      </w:r>
      <w:r>
        <w:rPr>
          <w:rStyle w:val="mord"/>
          <w:rFonts w:ascii="Cambria Math" w:hAnsi="Cambria Math" w:cs="Cambria Math"/>
        </w:rPr>
        <w:t>∣</w:t>
      </w:r>
      <w:r>
        <w:rPr>
          <w:rStyle w:val="mord"/>
        </w:rPr>
        <w:t>vX</w:t>
      </w:r>
      <w:r>
        <w:rPr>
          <w:rStyle w:val="vlist-s"/>
        </w:rPr>
        <w:t>​</w:t>
      </w:r>
      <w:r>
        <w:rPr>
          <w:rStyle w:val="mord"/>
          <w:rFonts w:ascii="Cambria Math" w:hAnsi="Cambria Math" w:cs="Cambria Math"/>
        </w:rPr>
        <w:t>∣</w:t>
      </w:r>
      <w:r>
        <w:rPr>
          <w:rStyle w:val="mrel"/>
        </w:rPr>
        <w:t>=</w:t>
      </w:r>
      <w:r>
        <w:rPr>
          <w:rStyle w:val="mord"/>
        </w:rPr>
        <w:t>v0</w:t>
      </w:r>
      <w:r>
        <w:rPr>
          <w:rStyle w:val="vlist-s"/>
        </w:rPr>
        <w:t>​</w:t>
      </w:r>
      <w:r>
        <w:rPr>
          <w:rStyle w:val="mord"/>
        </w:rPr>
        <w:t>v</w:t>
      </w:r>
      <w:r>
        <w:rPr>
          <w:rStyle w:val="mopen"/>
        </w:rPr>
        <w:t>(</w:t>
      </w:r>
      <w:r>
        <w:rPr>
          <w:rStyle w:val="mord"/>
        </w:rPr>
        <w:t>X</w:t>
      </w:r>
      <w:r>
        <w:rPr>
          <w:rStyle w:val="mclose"/>
        </w:rPr>
        <w:t>)</w:t>
      </w:r>
      <w:r>
        <w:rPr>
          <w:rStyle w:val="vlist-s"/>
        </w:rPr>
        <w:t>​</w:t>
      </w:r>
      <w:r>
        <w:rPr>
          <w:rStyle w:val="mbin"/>
          <w:rFonts w:ascii="Cambria Math" w:hAnsi="Cambria Math" w:cs="Cambria Math"/>
        </w:rPr>
        <w:t>⋅</w:t>
      </w:r>
      <w:r>
        <w:rPr>
          <w:rStyle w:val="mord"/>
        </w:rPr>
        <w:t>tXrel</w:t>
      </w:r>
      <w:r>
        <w:rPr>
          <w:rStyle w:val="vlist-s"/>
        </w:rPr>
        <w:t>​</w:t>
      </w:r>
      <w:r>
        <w:t xml:space="preserve"> </w:t>
      </w:r>
    </w:p>
    <w:p w14:paraId="611FE7DE" w14:textId="77777777" w:rsidR="00DC6DEC" w:rsidRDefault="00DC6DEC" w:rsidP="00DC6DEC">
      <w:pPr>
        <w:pStyle w:val="StandardWeb"/>
      </w:pPr>
      <w:r>
        <w:t xml:space="preserve">Damit entsteht eine </w:t>
      </w:r>
      <w:r>
        <w:rPr>
          <w:rStyle w:val="Fett"/>
        </w:rPr>
        <w:t>dimensionale Anpassung</w:t>
      </w:r>
      <w:r>
        <w:t xml:space="preserve"> an das Normdreieck, bei der reale Geschwindigkeiten als Skalierungsfaktoren wirken.</w:t>
      </w:r>
    </w:p>
    <w:p w14:paraId="200F09DD" w14:textId="77777777" w:rsidR="00DC6DEC" w:rsidRDefault="006F25FE" w:rsidP="00DC6DEC">
      <w:r>
        <w:pict w14:anchorId="6EAC4236">
          <v:rect id="_x0000_i1032" style="width:0;height:1.5pt" o:hralign="center" o:hrstd="t" o:hr="t" fillcolor="#a0a0a0" stroked="f"/>
        </w:pict>
      </w:r>
    </w:p>
    <w:p w14:paraId="7BFA316F" w14:textId="77777777" w:rsidR="00DC6DEC" w:rsidRDefault="00DC6DEC" w:rsidP="00DC6DEC">
      <w:pPr>
        <w:pStyle w:val="berschrift3"/>
      </w:pPr>
      <w:r>
        <w:t>5.4 Adaptive Gleichung für die Raumrekonstruktion</w:t>
      </w:r>
    </w:p>
    <w:p w14:paraId="48475A79" w14:textId="77777777" w:rsidR="00DC6DEC" w:rsidRDefault="00DC6DEC" w:rsidP="00DC6DEC">
      <w:pPr>
        <w:pStyle w:val="StandardWeb"/>
      </w:pPr>
      <w:r>
        <w:t xml:space="preserve">Will man aus den gemessenen Laufzeiten </w:t>
      </w:r>
      <w:r>
        <w:rPr>
          <w:rStyle w:val="katex-mathml"/>
        </w:rPr>
        <w:t>tA,tB,tCt_A, t_B, t_C</w:t>
      </w:r>
      <w:r>
        <w:rPr>
          <w:rStyle w:val="mord"/>
        </w:rPr>
        <w:t>tA</w:t>
      </w:r>
      <w:r>
        <w:rPr>
          <w:rStyle w:val="vlist-s"/>
        </w:rPr>
        <w:t>​</w:t>
      </w:r>
      <w:r>
        <w:rPr>
          <w:rStyle w:val="mpunct"/>
        </w:rPr>
        <w:t>,</w:t>
      </w:r>
      <w:r>
        <w:rPr>
          <w:rStyle w:val="mord"/>
        </w:rPr>
        <w:t>tB</w:t>
      </w:r>
      <w:r>
        <w:rPr>
          <w:rStyle w:val="vlist-s"/>
        </w:rPr>
        <w:t>​</w:t>
      </w:r>
      <w:r>
        <w:rPr>
          <w:rStyle w:val="mpunct"/>
        </w:rPr>
        <w:t>,</w:t>
      </w:r>
      <w:r>
        <w:rPr>
          <w:rStyle w:val="mord"/>
        </w:rPr>
        <w:t>tC</w:t>
      </w:r>
      <w:r>
        <w:rPr>
          <w:rStyle w:val="vlist-s"/>
        </w:rPr>
        <w:t>​</w:t>
      </w:r>
      <w:r>
        <w:t xml:space="preserve"> auf die Positionen im Beobachtungsdreieck schließen, ergibt sich folgende </w:t>
      </w:r>
      <w:r>
        <w:rPr>
          <w:rStyle w:val="Fett"/>
        </w:rPr>
        <w:t>adaptive Gleichung</w:t>
      </w:r>
      <w:r>
        <w:t xml:space="preserve"> für die normierte Raumstruktur:</w:t>
      </w:r>
    </w:p>
    <w:p w14:paraId="7466A434" w14:textId="77777777" w:rsidR="00DC6DEC" w:rsidRDefault="00DC6DEC" w:rsidP="00DC6DEC">
      <w:r>
        <w:rPr>
          <w:rStyle w:val="katex-mathml"/>
        </w:rPr>
        <w:t>v</w:t>
      </w:r>
      <w:r>
        <w:rPr>
          <w:rStyle w:val="katex-mathml"/>
          <w:rFonts w:ascii="Cambria Math" w:hAnsi="Cambria Math" w:cs="Cambria Math"/>
        </w:rPr>
        <w:t>⃗</w:t>
      </w:r>
      <w:r>
        <w:rPr>
          <w:rStyle w:val="katex-mathml"/>
        </w:rPr>
        <w:t>X=tXrel</w:t>
      </w:r>
      <w:r>
        <w:rPr>
          <w:rStyle w:val="katex-mathml"/>
          <w:rFonts w:ascii="Cambria Math" w:hAnsi="Cambria Math" w:cs="Cambria Math"/>
        </w:rPr>
        <w:t>⋅</w:t>
      </w:r>
      <w:r>
        <w:rPr>
          <w:rStyle w:val="katex-mathml"/>
        </w:rPr>
        <w:t>e</w:t>
      </w:r>
      <w:r>
        <w:rPr>
          <w:rStyle w:val="katex-mathml"/>
          <w:rFonts w:ascii="Cambria Math" w:hAnsi="Cambria Math" w:cs="Cambria Math"/>
        </w:rPr>
        <w:t>⃗</w:t>
      </w:r>
      <w:r>
        <w:rPr>
          <w:rStyle w:val="katex-mathml"/>
        </w:rPr>
        <w:t>X=(v(X)v0</w:t>
      </w:r>
      <w:r>
        <w:rPr>
          <w:rStyle w:val="katex-mathml"/>
          <w:rFonts w:ascii="Cambria Math" w:hAnsi="Cambria Math" w:cs="Cambria Math"/>
        </w:rPr>
        <w:t>⋅</w:t>
      </w:r>
      <w:r>
        <w:rPr>
          <w:rStyle w:val="katex-mathml"/>
        </w:rPr>
        <w:t>tX)</w:t>
      </w:r>
      <w:r>
        <w:rPr>
          <w:rStyle w:val="katex-mathml"/>
          <w:rFonts w:ascii="Cambria Math" w:hAnsi="Cambria Math" w:cs="Cambria Math"/>
        </w:rPr>
        <w:t>⋅</w:t>
      </w:r>
      <w:r>
        <w:rPr>
          <w:rStyle w:val="katex-mathml"/>
        </w:rPr>
        <w:t>e</w:t>
      </w:r>
      <w:r>
        <w:rPr>
          <w:rStyle w:val="katex-mathml"/>
          <w:rFonts w:ascii="Cambria Math" w:hAnsi="Cambria Math" w:cs="Cambria Math"/>
        </w:rPr>
        <w:t>⃗</w:t>
      </w:r>
      <w:r>
        <w:rPr>
          <w:rStyle w:val="katex-mathml"/>
        </w:rPr>
        <w:t>X\vec{v}_X = t_X^{\text{rel}} \cdot \vec{e}_X = \left( \frac{v(X)}{v_0} \cdot t_X \right) \cdot \vec{e}_X</w:t>
      </w:r>
      <w:r>
        <w:rPr>
          <w:rStyle w:val="mord"/>
        </w:rPr>
        <w:t>vX</w:t>
      </w:r>
      <w:r>
        <w:rPr>
          <w:rStyle w:val="vlist-s"/>
        </w:rPr>
        <w:t>​</w:t>
      </w:r>
      <w:r>
        <w:rPr>
          <w:rStyle w:val="mrel"/>
        </w:rPr>
        <w:t>=</w:t>
      </w:r>
      <w:r>
        <w:rPr>
          <w:rStyle w:val="mord"/>
        </w:rPr>
        <w:t>tXrel</w:t>
      </w:r>
      <w:r>
        <w:rPr>
          <w:rStyle w:val="vlist-s"/>
        </w:rPr>
        <w:t>​</w:t>
      </w:r>
      <w:r>
        <w:rPr>
          <w:rStyle w:val="mbin"/>
          <w:rFonts w:ascii="Cambria Math" w:hAnsi="Cambria Math" w:cs="Cambria Math"/>
        </w:rPr>
        <w:t>⋅</w:t>
      </w:r>
      <w:r>
        <w:rPr>
          <w:rStyle w:val="mord"/>
        </w:rPr>
        <w:t>eX</w:t>
      </w:r>
      <w:r>
        <w:rPr>
          <w:rStyle w:val="vlist-s"/>
        </w:rPr>
        <w:t>​</w:t>
      </w:r>
      <w:r>
        <w:rPr>
          <w:rStyle w:val="mrel"/>
        </w:rPr>
        <w:t>=</w:t>
      </w:r>
      <w:r>
        <w:rPr>
          <w:rStyle w:val="delimsizing"/>
        </w:rPr>
        <w:t>(</w:t>
      </w:r>
      <w:r>
        <w:rPr>
          <w:rStyle w:val="mord"/>
        </w:rPr>
        <w:t>v0</w:t>
      </w:r>
      <w:r>
        <w:rPr>
          <w:rStyle w:val="vlist-s"/>
        </w:rPr>
        <w:t>​</w:t>
      </w:r>
      <w:r>
        <w:rPr>
          <w:rStyle w:val="mord"/>
        </w:rPr>
        <w:t>v</w:t>
      </w:r>
      <w:r>
        <w:rPr>
          <w:rStyle w:val="mopen"/>
        </w:rPr>
        <w:t>(</w:t>
      </w:r>
      <w:r>
        <w:rPr>
          <w:rStyle w:val="mord"/>
        </w:rPr>
        <w:t>X</w:t>
      </w:r>
      <w:r>
        <w:rPr>
          <w:rStyle w:val="mclose"/>
        </w:rPr>
        <w:t>)</w:t>
      </w:r>
      <w:r>
        <w:rPr>
          <w:rStyle w:val="vlist-s"/>
        </w:rPr>
        <w:t>​</w:t>
      </w:r>
      <w:r>
        <w:rPr>
          <w:rStyle w:val="mbin"/>
          <w:rFonts w:ascii="Cambria Math" w:hAnsi="Cambria Math" w:cs="Cambria Math"/>
        </w:rPr>
        <w:t>⋅</w:t>
      </w:r>
      <w:r>
        <w:rPr>
          <w:rStyle w:val="mord"/>
        </w:rPr>
        <w:t>tX</w:t>
      </w:r>
      <w:r>
        <w:rPr>
          <w:rStyle w:val="vlist-s"/>
        </w:rPr>
        <w:t>​</w:t>
      </w:r>
      <w:r>
        <w:rPr>
          <w:rStyle w:val="delimsizing"/>
        </w:rPr>
        <w:t>)</w:t>
      </w:r>
      <w:r>
        <w:rPr>
          <w:rStyle w:val="mbin"/>
          <w:rFonts w:ascii="Cambria Math" w:hAnsi="Cambria Math" w:cs="Cambria Math"/>
        </w:rPr>
        <w:t>⋅</w:t>
      </w:r>
      <w:r>
        <w:rPr>
          <w:rStyle w:val="mord"/>
        </w:rPr>
        <w:t>eX</w:t>
      </w:r>
      <w:r>
        <w:rPr>
          <w:rStyle w:val="vlist-s"/>
        </w:rPr>
        <w:t>​</w:t>
      </w:r>
      <w:r>
        <w:t xml:space="preserve"> </w:t>
      </w:r>
    </w:p>
    <w:p w14:paraId="20B64D56" w14:textId="77777777" w:rsidR="00DC6DEC" w:rsidRDefault="00DC6DEC" w:rsidP="00DC6DEC">
      <w:pPr>
        <w:pStyle w:val="StandardWeb"/>
      </w:pPr>
      <w:r>
        <w:t>Dabei ist:</w:t>
      </w:r>
    </w:p>
    <w:p w14:paraId="0CC1AC32" w14:textId="77777777" w:rsidR="00DC6DEC" w:rsidRDefault="00DC6DEC" w:rsidP="00DC6DEC">
      <w:pPr>
        <w:pStyle w:val="StandardWeb"/>
        <w:numPr>
          <w:ilvl w:val="0"/>
          <w:numId w:val="12"/>
        </w:numPr>
      </w:pPr>
      <w:r>
        <w:rPr>
          <w:rStyle w:val="katex-mathml"/>
        </w:rPr>
        <w:t>e</w:t>
      </w:r>
      <w:r>
        <w:rPr>
          <w:rStyle w:val="katex-mathml"/>
          <w:rFonts w:ascii="Cambria Math" w:hAnsi="Cambria Math" w:cs="Cambria Math"/>
        </w:rPr>
        <w:t>⃗</w:t>
      </w:r>
      <w:r>
        <w:rPr>
          <w:rStyle w:val="katex-mathml"/>
        </w:rPr>
        <w:t>X\vec{e}_X</w:t>
      </w:r>
      <w:r>
        <w:rPr>
          <w:rStyle w:val="mord"/>
        </w:rPr>
        <w:t>eX</w:t>
      </w:r>
      <w:r>
        <w:rPr>
          <w:rStyle w:val="vlist-s"/>
        </w:rPr>
        <w:t>​</w:t>
      </w:r>
      <w:r>
        <w:t xml:space="preserve">: Einheitsvektor in Richtung des Punktes </w:t>
      </w:r>
      <w:r>
        <w:rPr>
          <w:rStyle w:val="katex-mathml"/>
        </w:rPr>
        <w:t>XX</w:t>
      </w:r>
      <w:r>
        <w:rPr>
          <w:rStyle w:val="mord"/>
        </w:rPr>
        <w:t>X</w:t>
      </w:r>
      <w:r>
        <w:t>,</w:t>
      </w:r>
    </w:p>
    <w:p w14:paraId="7CF7A65E" w14:textId="77777777" w:rsidR="00DC6DEC" w:rsidRDefault="00DC6DEC" w:rsidP="00DC6DEC">
      <w:pPr>
        <w:pStyle w:val="StandardWeb"/>
        <w:numPr>
          <w:ilvl w:val="0"/>
          <w:numId w:val="12"/>
        </w:numPr>
      </w:pPr>
      <w:r>
        <w:rPr>
          <w:rStyle w:val="katex-mathml"/>
        </w:rPr>
        <w:t>v0v_0</w:t>
      </w:r>
      <w:r>
        <w:rPr>
          <w:rStyle w:val="mord"/>
        </w:rPr>
        <w:t>v0</w:t>
      </w:r>
      <w:r>
        <w:rPr>
          <w:rStyle w:val="vlist-s"/>
        </w:rPr>
        <w:t>​</w:t>
      </w:r>
      <w:r>
        <w:t xml:space="preserve">: gewählte Normgeschwindigkeit (z. B. </w:t>
      </w:r>
      <w:r>
        <w:rPr>
          <w:rStyle w:val="katex-mathml"/>
        </w:rPr>
        <w:t>cc</w:t>
      </w:r>
      <w:r>
        <w:rPr>
          <w:rStyle w:val="mord"/>
        </w:rPr>
        <w:t>c</w:t>
      </w:r>
      <w:r>
        <w:t xml:space="preserve"> oder mittlerer Wert),</w:t>
      </w:r>
    </w:p>
    <w:p w14:paraId="43B66ACB" w14:textId="77777777" w:rsidR="00DC6DEC" w:rsidRDefault="00DC6DEC" w:rsidP="00DC6DEC">
      <w:pPr>
        <w:pStyle w:val="StandardWeb"/>
        <w:numPr>
          <w:ilvl w:val="0"/>
          <w:numId w:val="12"/>
        </w:numPr>
      </w:pPr>
      <w:r>
        <w:rPr>
          <w:rStyle w:val="katex-mathml"/>
        </w:rPr>
        <w:t>v</w:t>
      </w:r>
      <w:r>
        <w:rPr>
          <w:rStyle w:val="katex-mathml"/>
          <w:rFonts w:ascii="Cambria Math" w:hAnsi="Cambria Math" w:cs="Cambria Math"/>
        </w:rPr>
        <w:t>⃗</w:t>
      </w:r>
      <w:r>
        <w:rPr>
          <w:rStyle w:val="katex-mathml"/>
        </w:rPr>
        <w:t>X\vec{v}_X</w:t>
      </w:r>
      <w:r>
        <w:rPr>
          <w:rStyle w:val="mord"/>
        </w:rPr>
        <w:t>vX</w:t>
      </w:r>
      <w:r>
        <w:rPr>
          <w:rStyle w:val="vlist-s"/>
        </w:rPr>
        <w:t>​</w:t>
      </w:r>
      <w:r>
        <w:t>: rekonstruierter normierter Vektor im Beobachtungsdreieck.</w:t>
      </w:r>
    </w:p>
    <w:p w14:paraId="482BD752" w14:textId="77777777" w:rsidR="00DC6DEC" w:rsidRDefault="00DC6DEC" w:rsidP="00DC6DEC">
      <w:pPr>
        <w:pStyle w:val="StandardWeb"/>
      </w:pPr>
      <w:r>
        <w:t xml:space="preserve">So wird das Beobachtungsdreieck zu einem </w:t>
      </w:r>
      <w:r>
        <w:rPr>
          <w:rStyle w:val="Fett"/>
        </w:rPr>
        <w:t>dynamischen Referenzsystem</w:t>
      </w:r>
      <w:r>
        <w:t xml:space="preserve">, das reale physikalische Signalverläufe durch adaptive Rückprojektion </w:t>
      </w:r>
      <w:r>
        <w:rPr>
          <w:rStyle w:val="Fett"/>
        </w:rPr>
        <w:t>vergleichbar und geometrisch interpretierbar</w:t>
      </w:r>
      <w:r>
        <w:t xml:space="preserve"> macht.</w:t>
      </w:r>
    </w:p>
    <w:p w14:paraId="54F03C01" w14:textId="77777777" w:rsidR="00DC6DEC" w:rsidRDefault="006F25FE" w:rsidP="00DC6DEC">
      <w:r>
        <w:pict w14:anchorId="6175144B">
          <v:rect id="_x0000_i1033" style="width:0;height:1.5pt" o:hralign="center" o:hrstd="t" o:hr="t" fillcolor="#a0a0a0" stroked="f"/>
        </w:pict>
      </w:r>
    </w:p>
    <w:p w14:paraId="1F3ADCB0" w14:textId="77777777" w:rsidR="00DC6DEC" w:rsidRDefault="00DC6DEC" w:rsidP="00DC6DEC">
      <w:pPr>
        <w:pStyle w:val="berschrift3"/>
      </w:pPr>
      <w:r>
        <w:t>5.5 Signalverzögerung und technische Anwendungen</w:t>
      </w:r>
    </w:p>
    <w:p w14:paraId="30311C1D" w14:textId="77777777" w:rsidR="00DC6DEC" w:rsidRDefault="00DC6DEC" w:rsidP="00DC6DEC">
      <w:pPr>
        <w:pStyle w:val="StandardWeb"/>
      </w:pPr>
      <w:r>
        <w:t>In vielen technischen Systemen (Radar, LIDAR, medizinische Sensorik, HRTF-Modellierung etc.) entstehen Laufzeitverzögerungen, die durch Umgebungsfaktoren, Materialeigenschaften oder Prozessverzögerung bedingt sind. Die Normierung des Beobachtungsdreiecks erlaubt hier:</w:t>
      </w:r>
    </w:p>
    <w:p w14:paraId="671045A5" w14:textId="77777777" w:rsidR="00DC6DEC" w:rsidRDefault="00DC6DEC" w:rsidP="00DC6DEC">
      <w:pPr>
        <w:pStyle w:val="StandardWeb"/>
        <w:numPr>
          <w:ilvl w:val="0"/>
          <w:numId w:val="13"/>
        </w:numPr>
      </w:pPr>
      <w:r>
        <w:rPr>
          <w:rStyle w:val="Fett"/>
        </w:rPr>
        <w:lastRenderedPageBreak/>
        <w:t>Kompensation durch Umrechnung</w:t>
      </w:r>
      <w:r>
        <w:t xml:space="preserve"> in Normlaufzeiten,</w:t>
      </w:r>
    </w:p>
    <w:p w14:paraId="764CC539" w14:textId="77777777" w:rsidR="00DC6DEC" w:rsidRDefault="00DC6DEC" w:rsidP="00DC6DEC">
      <w:pPr>
        <w:pStyle w:val="StandardWeb"/>
        <w:numPr>
          <w:ilvl w:val="0"/>
          <w:numId w:val="13"/>
        </w:numPr>
      </w:pPr>
      <w:r>
        <w:rPr>
          <w:rStyle w:val="Fett"/>
        </w:rPr>
        <w:t>Vergleichbarkeit unterschiedlicher Sensorsysteme</w:t>
      </w:r>
      <w:r>
        <w:t>,</w:t>
      </w:r>
    </w:p>
    <w:p w14:paraId="7A370654" w14:textId="77777777" w:rsidR="00DC6DEC" w:rsidRDefault="00DC6DEC" w:rsidP="00DC6DEC">
      <w:pPr>
        <w:pStyle w:val="StandardWeb"/>
        <w:numPr>
          <w:ilvl w:val="0"/>
          <w:numId w:val="13"/>
        </w:numPr>
      </w:pPr>
      <w:r>
        <w:rPr>
          <w:rStyle w:val="Fett"/>
        </w:rPr>
        <w:t>Modellierung von Verzögerung</w:t>
      </w:r>
      <w:r>
        <w:t xml:space="preserve"> als projektive Geometrie,</w:t>
      </w:r>
    </w:p>
    <w:p w14:paraId="2BFAB0A4" w14:textId="77777777" w:rsidR="00DC6DEC" w:rsidRDefault="00DC6DEC" w:rsidP="00DC6DEC">
      <w:pPr>
        <w:pStyle w:val="StandardWeb"/>
        <w:numPr>
          <w:ilvl w:val="0"/>
          <w:numId w:val="13"/>
        </w:numPr>
      </w:pPr>
      <w:r>
        <w:rPr>
          <w:rStyle w:val="Fett"/>
        </w:rPr>
        <w:t>Rekonstruktion realer Raumverhältnisse</w:t>
      </w:r>
      <w:r>
        <w:t xml:space="preserve"> trotz variabler Bedingungen.</w:t>
      </w:r>
    </w:p>
    <w:p w14:paraId="4B573B40" w14:textId="77777777" w:rsidR="00DC6DEC" w:rsidRDefault="006F25FE" w:rsidP="00DC6DEC">
      <w:r>
        <w:pict w14:anchorId="639869C5">
          <v:rect id="_x0000_i1034" style="width:0;height:1.5pt" o:hralign="center" o:hrstd="t" o:hr="t" fillcolor="#a0a0a0" stroked="f"/>
        </w:pict>
      </w:r>
    </w:p>
    <w:p w14:paraId="6C88DE83" w14:textId="77777777" w:rsidR="00DC6DEC" w:rsidRDefault="00DC6DEC" w:rsidP="00DC6DEC">
      <w:pPr>
        <w:pStyle w:val="berschrift3"/>
      </w:pPr>
      <w:r>
        <w:t>5.6 Fazit: Das Dreieck als temporaler Projektor</w:t>
      </w:r>
    </w:p>
    <w:p w14:paraId="59CD46BE" w14:textId="77777777" w:rsidR="00DC6DEC" w:rsidRDefault="00DC6DEC" w:rsidP="00DC6DEC">
      <w:pPr>
        <w:pStyle w:val="StandardWeb"/>
      </w:pPr>
      <w:r>
        <w:t xml:space="preserve">Das Beobachtungsdreieck ist nicht nur eine </w:t>
      </w:r>
      <w:r>
        <w:rPr>
          <w:rStyle w:val="Fett"/>
        </w:rPr>
        <w:t>räumlich differenzierende Fläche</w:t>
      </w:r>
      <w:r>
        <w:t xml:space="preserve">, sondern auch ein </w:t>
      </w:r>
      <w:r>
        <w:rPr>
          <w:rStyle w:val="Fett"/>
        </w:rPr>
        <w:t>temporaler Projektor</w:t>
      </w:r>
      <w:r>
        <w:t xml:space="preserve">, der Signallaufzeiten als Richtungsinformation abbildet. Durch seine Normierung können physikalisch heterogene Signale in ein </w:t>
      </w:r>
      <w:r>
        <w:rPr>
          <w:rStyle w:val="Fett"/>
        </w:rPr>
        <w:t>einheitlich interpretierbares Bezugssystem</w:t>
      </w:r>
      <w:r>
        <w:t xml:space="preserve"> überführt werden – adaptiv, metrisch eindeutig und erkenntnistheoretisch tragfähig.</w:t>
      </w:r>
    </w:p>
    <w:p w14:paraId="1BDB7FD9" w14:textId="77777777" w:rsidR="00F134FD" w:rsidRDefault="006F25FE" w:rsidP="00F134FD">
      <w:r>
        <w:pict w14:anchorId="24B25075">
          <v:rect id="_x0000_i1035" style="width:0;height:1.5pt" o:hralign="center" o:hrstd="t" o:hr="t" fillcolor="#a0a0a0" stroked="f"/>
        </w:pict>
      </w:r>
    </w:p>
    <w:p w14:paraId="4EC472C2" w14:textId="77777777" w:rsidR="00F134FD" w:rsidRDefault="00F134FD" w:rsidP="00F134FD">
      <w:pPr>
        <w:pStyle w:val="berschrift2"/>
      </w:pPr>
      <w:r>
        <w:t>6. Fazit</w:t>
      </w:r>
    </w:p>
    <w:p w14:paraId="61736EE4" w14:textId="77777777" w:rsidR="00F134FD" w:rsidRDefault="00F134FD" w:rsidP="00F134FD">
      <w:pPr>
        <w:pStyle w:val="StandardWeb"/>
      </w:pPr>
      <w:r>
        <w:t xml:space="preserve">Der Beobachtungstetraeder ist nicht bloß die Erweiterung des Dreiecks, sondern dessen </w:t>
      </w:r>
      <w:r>
        <w:rPr>
          <w:rStyle w:val="Fett"/>
        </w:rPr>
        <w:t>Raumwerdung</w:t>
      </w:r>
      <w:r>
        <w:t>. Er fasst gerichtete Signale, projektive Flächen und Kontext in eine minimalstrukturierte Raumform zusammen.</w:t>
      </w:r>
    </w:p>
    <w:p w14:paraId="247208AE" w14:textId="77777777" w:rsidR="00F134FD" w:rsidRDefault="00F134FD" w:rsidP="00F134FD">
      <w:pPr>
        <w:pStyle w:val="StandardWeb"/>
      </w:pPr>
      <w:r>
        <w:t xml:space="preserve">Doch entscheidend ist: Die </w:t>
      </w:r>
      <w:r>
        <w:rPr>
          <w:rStyle w:val="Fett"/>
        </w:rPr>
        <w:t>ontologisch zentrale Entität</w:t>
      </w:r>
      <w:r>
        <w:t xml:space="preserve"> bleibt das Beobachtungsdreieck. Als erste Fläche erzeugt aus Signal, Richtung und Unterscheidung, bildet es den </w:t>
      </w:r>
      <w:r>
        <w:rPr>
          <w:rStyle w:val="Fett"/>
        </w:rPr>
        <w:t>Ankerpunkt aller technischen Anwendungen</w:t>
      </w:r>
      <w:r>
        <w:t xml:space="preserve"> dieser Dissertation.</w:t>
      </w:r>
    </w:p>
    <w:p w14:paraId="45C3CB9C" w14:textId="77777777" w:rsidR="00F134FD" w:rsidRDefault="00F134FD" w:rsidP="00F134FD">
      <w:pPr>
        <w:pStyle w:val="StandardWeb"/>
      </w:pPr>
      <w:r>
        <w:t xml:space="preserve">Die </w:t>
      </w:r>
      <w:r>
        <w:rPr>
          <w:rStyle w:val="Fett"/>
        </w:rPr>
        <w:t>Einführung des genormten Dreiecks</w:t>
      </w:r>
      <w:r>
        <w:t xml:space="preserve"> mit Seitenlänge 1 schafft die Voraussetzung für eine verbindliche, skalierbare und operationale Strukturierung des Beobachtungsraumes – im Modell, in der Simulation und in der Praxis.</w:t>
      </w:r>
    </w:p>
    <w:p w14:paraId="0366F5B2" w14:textId="77777777" w:rsidR="00F134FD" w:rsidRDefault="00F134FD" w:rsidP="00F134FD">
      <w:pPr>
        <w:pStyle w:val="StandardWeb"/>
      </w:pPr>
      <w:r>
        <w:t xml:space="preserve">Damit ist das Dreieck die funktionale, erkenntnistheoretische und konstruktive </w:t>
      </w:r>
      <w:r>
        <w:rPr>
          <w:rStyle w:val="Fett"/>
        </w:rPr>
        <w:t>Kerneinheit des Beobachtungsraumes</w:t>
      </w:r>
      <w:r>
        <w:t>.</w:t>
      </w:r>
    </w:p>
    <w:p w14:paraId="1FEC4EDC" w14:textId="77777777" w:rsidR="00F134FD" w:rsidRDefault="006F25FE" w:rsidP="00F134FD">
      <w:r>
        <w:pict w14:anchorId="67C56A06">
          <v:rect id="_x0000_i1036" style="width:0;height:1.5pt" o:hralign="center" o:hrstd="t" o:hr="t" fillcolor="#a0a0a0" stroked="f"/>
        </w:pict>
      </w:r>
    </w:p>
    <w:p w14:paraId="479A134E" w14:textId="77777777" w:rsidR="00F134FD" w:rsidRDefault="00F134FD" w:rsidP="00F134FD">
      <w:pPr>
        <w:pStyle w:val="StandardWeb"/>
      </w:pPr>
      <w:r>
        <w:rPr>
          <w:rStyle w:val="Fett"/>
        </w:rPr>
        <w:t>Ausblick:</w:t>
      </w:r>
      <w:r>
        <w:t xml:space="preserve"> Auf Grundlage des Dreiecks werden nun technische Modelle zur Realisierung projektiver Signalverarbeitung, sensorischer Rückprojektion und algorithmischer Auswertung vorgestellt.</w:t>
      </w:r>
    </w:p>
    <w:p w14:paraId="15AE00CF" w14:textId="16352FAE" w:rsidR="00DC6DEC" w:rsidRDefault="00DC6DEC">
      <w:r>
        <w:br w:type="page"/>
      </w:r>
    </w:p>
    <w:p w14:paraId="1172E767" w14:textId="5CB88097" w:rsidR="00874BAF" w:rsidRDefault="00DC6DEC" w:rsidP="00F134FD">
      <w:pPr>
        <w:rPr>
          <w:noProof/>
        </w:rPr>
      </w:pPr>
      <w:r w:rsidRPr="00DC6DEC">
        <w:rPr>
          <w:noProof/>
        </w:rPr>
        <w:lastRenderedPageBreak/>
        <w:drawing>
          <wp:inline distT="0" distB="0" distL="0" distR="0" wp14:anchorId="6A09F09C" wp14:editId="52848B09">
            <wp:extent cx="5760720" cy="5654675"/>
            <wp:effectExtent l="0" t="0" r="0" b="317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5654675"/>
                    </a:xfrm>
                    <a:prstGeom prst="rect">
                      <a:avLst/>
                    </a:prstGeom>
                  </pic:spPr>
                </pic:pic>
              </a:graphicData>
            </a:graphic>
          </wp:inline>
        </w:drawing>
      </w:r>
      <w:r w:rsidRPr="00DC6DEC">
        <w:rPr>
          <w:noProof/>
        </w:rPr>
        <w:t xml:space="preserve"> </w:t>
      </w:r>
      <w:r w:rsidR="006F25FE" w:rsidRPr="00F134FD">
        <w:rPr>
          <w:noProof/>
        </w:rPr>
        <w:lastRenderedPageBreak/>
        <w:drawing>
          <wp:inline distT="0" distB="0" distL="0" distR="0" wp14:anchorId="2D2A1A17" wp14:editId="1BF817A1">
            <wp:extent cx="5760720" cy="46545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654550"/>
                    </a:xfrm>
                    <a:prstGeom prst="rect">
                      <a:avLst/>
                    </a:prstGeom>
                  </pic:spPr>
                </pic:pic>
              </a:graphicData>
            </a:graphic>
          </wp:inline>
        </w:drawing>
      </w:r>
      <w:r w:rsidRPr="00DC6DEC">
        <w:rPr>
          <w:noProof/>
        </w:rPr>
        <w:lastRenderedPageBreak/>
        <w:drawing>
          <wp:inline distT="0" distB="0" distL="0" distR="0" wp14:anchorId="11CE3C45" wp14:editId="1A77C8E2">
            <wp:extent cx="5760720" cy="5801995"/>
            <wp:effectExtent l="0" t="0" r="0" b="825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5801995"/>
                    </a:xfrm>
                    <a:prstGeom prst="rect">
                      <a:avLst/>
                    </a:prstGeom>
                  </pic:spPr>
                </pic:pic>
              </a:graphicData>
            </a:graphic>
          </wp:inline>
        </w:drawing>
      </w:r>
      <w:r w:rsidRPr="00DC6DEC">
        <w:rPr>
          <w:noProof/>
        </w:rPr>
        <w:t xml:space="preserve"> </w:t>
      </w:r>
      <w:r w:rsidRPr="00DC6DEC">
        <w:rPr>
          <w:noProof/>
        </w:rPr>
        <w:lastRenderedPageBreak/>
        <w:drawing>
          <wp:inline distT="0" distB="0" distL="0" distR="0" wp14:anchorId="6FA135F8" wp14:editId="2DD1A81F">
            <wp:extent cx="5760720" cy="7206615"/>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7206615"/>
                    </a:xfrm>
                    <a:prstGeom prst="rect">
                      <a:avLst/>
                    </a:prstGeom>
                  </pic:spPr>
                </pic:pic>
              </a:graphicData>
            </a:graphic>
          </wp:inline>
        </w:drawing>
      </w:r>
      <w:r w:rsidRPr="00DC6DEC">
        <w:rPr>
          <w:noProof/>
        </w:rPr>
        <w:t xml:space="preserve"> </w:t>
      </w:r>
      <w:r w:rsidRPr="00DC6DEC">
        <w:rPr>
          <w:noProof/>
        </w:rPr>
        <w:lastRenderedPageBreak/>
        <w:drawing>
          <wp:inline distT="0" distB="0" distL="0" distR="0" wp14:anchorId="0F4B9CA6" wp14:editId="31D52E4E">
            <wp:extent cx="5760720" cy="291465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914650"/>
                    </a:xfrm>
                    <a:prstGeom prst="rect">
                      <a:avLst/>
                    </a:prstGeom>
                  </pic:spPr>
                </pic:pic>
              </a:graphicData>
            </a:graphic>
          </wp:inline>
        </w:drawing>
      </w:r>
    </w:p>
    <w:p w14:paraId="6D63696C" w14:textId="19D041A2" w:rsidR="00DC6DEC" w:rsidRDefault="00DC6DEC" w:rsidP="00F134FD">
      <w:pPr>
        <w:rPr>
          <w:noProof/>
        </w:rPr>
      </w:pPr>
    </w:p>
    <w:p w14:paraId="65729ED1" w14:textId="64082E3C" w:rsidR="00DC6DEC" w:rsidRDefault="00DC6DEC" w:rsidP="00F134FD">
      <w:pPr>
        <w:rPr>
          <w:noProof/>
        </w:rPr>
      </w:pPr>
      <w:r>
        <w:rPr>
          <w:noProof/>
        </w:rPr>
        <w:t>Neues kapitel 5.</w:t>
      </w:r>
    </w:p>
    <w:p w14:paraId="28E2A8D6" w14:textId="1A73E8F2" w:rsidR="00DC6DEC" w:rsidRDefault="00DC6DEC" w:rsidP="00F134FD">
      <w:pPr>
        <w:rPr>
          <w:noProof/>
        </w:rPr>
      </w:pPr>
    </w:p>
    <w:p w14:paraId="6BBC3F2A" w14:textId="3382225A" w:rsidR="00DC6DEC" w:rsidRDefault="00DC6DEC" w:rsidP="00F134FD">
      <w:pPr>
        <w:rPr>
          <w:noProof/>
        </w:rPr>
      </w:pPr>
      <w:r w:rsidRPr="00DC6DEC">
        <w:rPr>
          <w:noProof/>
        </w:rPr>
        <w:lastRenderedPageBreak/>
        <w:drawing>
          <wp:inline distT="0" distB="0" distL="0" distR="0" wp14:anchorId="5CAFF0F2" wp14:editId="5AF24938">
            <wp:extent cx="5760720" cy="6763385"/>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6763385"/>
                    </a:xfrm>
                    <a:prstGeom prst="rect">
                      <a:avLst/>
                    </a:prstGeom>
                  </pic:spPr>
                </pic:pic>
              </a:graphicData>
            </a:graphic>
          </wp:inline>
        </w:drawing>
      </w:r>
      <w:r w:rsidRPr="00DC6DEC">
        <w:rPr>
          <w:noProof/>
        </w:rPr>
        <w:t xml:space="preserve"> </w:t>
      </w:r>
      <w:r w:rsidRPr="00DC6DEC">
        <w:rPr>
          <w:noProof/>
        </w:rPr>
        <w:lastRenderedPageBreak/>
        <w:drawing>
          <wp:inline distT="0" distB="0" distL="0" distR="0" wp14:anchorId="73FD3D95" wp14:editId="513A4BB1">
            <wp:extent cx="5760720" cy="666877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6668770"/>
                    </a:xfrm>
                    <a:prstGeom prst="rect">
                      <a:avLst/>
                    </a:prstGeom>
                  </pic:spPr>
                </pic:pic>
              </a:graphicData>
            </a:graphic>
          </wp:inline>
        </w:drawing>
      </w:r>
      <w:r w:rsidR="00E229EE" w:rsidRPr="00E229EE">
        <w:rPr>
          <w:noProof/>
        </w:rPr>
        <w:t xml:space="preserve"> </w:t>
      </w:r>
      <w:r w:rsidR="00E229EE" w:rsidRPr="00E229EE">
        <w:rPr>
          <w:noProof/>
        </w:rPr>
        <w:lastRenderedPageBreak/>
        <w:drawing>
          <wp:inline distT="0" distB="0" distL="0" distR="0" wp14:anchorId="643BDA3B" wp14:editId="7ED66A8B">
            <wp:extent cx="5760720" cy="36830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683000"/>
                    </a:xfrm>
                    <a:prstGeom prst="rect">
                      <a:avLst/>
                    </a:prstGeom>
                  </pic:spPr>
                </pic:pic>
              </a:graphicData>
            </a:graphic>
          </wp:inline>
        </w:drawing>
      </w:r>
    </w:p>
    <w:p w14:paraId="13FEC8F1" w14:textId="306F72E2" w:rsidR="00DC6DEC" w:rsidRDefault="00DC6DEC" w:rsidP="00F134FD">
      <w:pPr>
        <w:rPr>
          <w:noProof/>
        </w:rPr>
      </w:pPr>
    </w:p>
    <w:p w14:paraId="3E971DD2" w14:textId="77777777" w:rsidR="00DC6DEC" w:rsidRPr="00F134FD" w:rsidRDefault="00DC6DEC" w:rsidP="00F134FD"/>
    <w:sectPr w:rsidR="00DC6DEC" w:rsidRPr="00F134F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A1AE1"/>
    <w:multiLevelType w:val="multilevel"/>
    <w:tmpl w:val="ADA8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257EB"/>
    <w:multiLevelType w:val="multilevel"/>
    <w:tmpl w:val="34D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575C5"/>
    <w:multiLevelType w:val="multilevel"/>
    <w:tmpl w:val="9EA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30627"/>
    <w:multiLevelType w:val="multilevel"/>
    <w:tmpl w:val="546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A634D"/>
    <w:multiLevelType w:val="multilevel"/>
    <w:tmpl w:val="B79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4221A"/>
    <w:multiLevelType w:val="multilevel"/>
    <w:tmpl w:val="FD86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22663"/>
    <w:multiLevelType w:val="multilevel"/>
    <w:tmpl w:val="C83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47882"/>
    <w:multiLevelType w:val="multilevel"/>
    <w:tmpl w:val="BB58B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51466D"/>
    <w:multiLevelType w:val="multilevel"/>
    <w:tmpl w:val="2F62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71CE6"/>
    <w:multiLevelType w:val="multilevel"/>
    <w:tmpl w:val="A750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07F03"/>
    <w:multiLevelType w:val="multilevel"/>
    <w:tmpl w:val="E442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063B8"/>
    <w:multiLevelType w:val="multilevel"/>
    <w:tmpl w:val="AA4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207CC"/>
    <w:multiLevelType w:val="multilevel"/>
    <w:tmpl w:val="AD5E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6"/>
  </w:num>
  <w:num w:numId="4">
    <w:abstractNumId w:val="10"/>
  </w:num>
  <w:num w:numId="5">
    <w:abstractNumId w:val="11"/>
  </w:num>
  <w:num w:numId="6">
    <w:abstractNumId w:val="1"/>
  </w:num>
  <w:num w:numId="7">
    <w:abstractNumId w:val="5"/>
  </w:num>
  <w:num w:numId="8">
    <w:abstractNumId w:val="12"/>
  </w:num>
  <w:num w:numId="9">
    <w:abstractNumId w:val="3"/>
  </w:num>
  <w:num w:numId="10">
    <w:abstractNumId w:val="7"/>
  </w:num>
  <w:num w:numId="11">
    <w:abstractNumId w:val="9"/>
  </w:num>
  <w:num w:numId="12">
    <w:abstractNumId w:val="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41D"/>
    <w:rsid w:val="000A4F31"/>
    <w:rsid w:val="00344195"/>
    <w:rsid w:val="006F25FE"/>
    <w:rsid w:val="00874BAF"/>
    <w:rsid w:val="008871CF"/>
    <w:rsid w:val="00A4741D"/>
    <w:rsid w:val="00DC6DEC"/>
    <w:rsid w:val="00E229EE"/>
    <w:rsid w:val="00E6450A"/>
    <w:rsid w:val="00F134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86FF"/>
  <w15:chartTrackingRefBased/>
  <w15:docId w15:val="{59A4CC3A-CDFF-4A95-8BE7-70C93EFC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134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A4741D"/>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A4741D"/>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A4741D"/>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A4741D"/>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A4741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A4741D"/>
    <w:rPr>
      <w:b/>
      <w:bCs/>
    </w:rPr>
  </w:style>
  <w:style w:type="character" w:customStyle="1" w:styleId="katex">
    <w:name w:val="katex"/>
    <w:basedOn w:val="Absatz-Standardschriftart"/>
    <w:rsid w:val="00A4741D"/>
  </w:style>
  <w:style w:type="character" w:customStyle="1" w:styleId="berschrift1Zchn">
    <w:name w:val="Überschrift 1 Zchn"/>
    <w:basedOn w:val="Absatz-Standardschriftart"/>
    <w:link w:val="berschrift1"/>
    <w:uiPriority w:val="9"/>
    <w:rsid w:val="00F134FD"/>
    <w:rPr>
      <w:rFonts w:asciiTheme="majorHAnsi" w:eastAsiaTheme="majorEastAsia" w:hAnsiTheme="majorHAnsi" w:cstheme="majorBidi"/>
      <w:color w:val="2F5496" w:themeColor="accent1" w:themeShade="BF"/>
      <w:sz w:val="32"/>
      <w:szCs w:val="32"/>
    </w:rPr>
  </w:style>
  <w:style w:type="character" w:styleId="Hervorhebung">
    <w:name w:val="Emphasis"/>
    <w:basedOn w:val="Absatz-Standardschriftart"/>
    <w:uiPriority w:val="20"/>
    <w:qFormat/>
    <w:rsid w:val="00F134FD"/>
    <w:rPr>
      <w:i/>
      <w:iCs/>
    </w:rPr>
  </w:style>
  <w:style w:type="character" w:customStyle="1" w:styleId="katex-mathml">
    <w:name w:val="katex-mathml"/>
    <w:basedOn w:val="Absatz-Standardschriftart"/>
    <w:rsid w:val="00F134FD"/>
  </w:style>
  <w:style w:type="character" w:customStyle="1" w:styleId="mord">
    <w:name w:val="mord"/>
    <w:basedOn w:val="Absatz-Standardschriftart"/>
    <w:rsid w:val="00F134FD"/>
  </w:style>
  <w:style w:type="character" w:customStyle="1" w:styleId="mspace">
    <w:name w:val="mspace"/>
    <w:basedOn w:val="Absatz-Standardschriftart"/>
    <w:rsid w:val="00F134FD"/>
  </w:style>
  <w:style w:type="character" w:customStyle="1" w:styleId="mrel">
    <w:name w:val="mrel"/>
    <w:basedOn w:val="Absatz-Standardschriftart"/>
    <w:rsid w:val="00F134FD"/>
  </w:style>
  <w:style w:type="character" w:customStyle="1" w:styleId="vlist-s">
    <w:name w:val="vlist-s"/>
    <w:basedOn w:val="Absatz-Standardschriftart"/>
    <w:rsid w:val="00F134FD"/>
  </w:style>
  <w:style w:type="character" w:customStyle="1" w:styleId="mopen">
    <w:name w:val="mopen"/>
    <w:basedOn w:val="Absatz-Standardschriftart"/>
    <w:rsid w:val="00F134FD"/>
  </w:style>
  <w:style w:type="character" w:customStyle="1" w:styleId="mpunct">
    <w:name w:val="mpunct"/>
    <w:basedOn w:val="Absatz-Standardschriftart"/>
    <w:rsid w:val="00F134FD"/>
  </w:style>
  <w:style w:type="character" w:customStyle="1" w:styleId="mclose">
    <w:name w:val="mclose"/>
    <w:basedOn w:val="Absatz-Standardschriftart"/>
    <w:rsid w:val="00F134FD"/>
  </w:style>
  <w:style w:type="character" w:customStyle="1" w:styleId="mbin">
    <w:name w:val="mbin"/>
    <w:basedOn w:val="Absatz-Standardschriftart"/>
    <w:rsid w:val="00F134FD"/>
  </w:style>
  <w:style w:type="character" w:customStyle="1" w:styleId="delimsizing">
    <w:name w:val="delimsizing"/>
    <w:basedOn w:val="Absatz-Standardschriftart"/>
    <w:rsid w:val="00DC6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805124">
      <w:bodyDiv w:val="1"/>
      <w:marLeft w:val="0"/>
      <w:marRight w:val="0"/>
      <w:marTop w:val="0"/>
      <w:marBottom w:val="0"/>
      <w:divBdr>
        <w:top w:val="none" w:sz="0" w:space="0" w:color="auto"/>
        <w:left w:val="none" w:sz="0" w:space="0" w:color="auto"/>
        <w:bottom w:val="none" w:sz="0" w:space="0" w:color="auto"/>
        <w:right w:val="none" w:sz="0" w:space="0" w:color="auto"/>
      </w:divBdr>
    </w:div>
    <w:div w:id="1207373122">
      <w:bodyDiv w:val="1"/>
      <w:marLeft w:val="0"/>
      <w:marRight w:val="0"/>
      <w:marTop w:val="0"/>
      <w:marBottom w:val="0"/>
      <w:divBdr>
        <w:top w:val="none" w:sz="0" w:space="0" w:color="auto"/>
        <w:left w:val="none" w:sz="0" w:space="0" w:color="auto"/>
        <w:bottom w:val="none" w:sz="0" w:space="0" w:color="auto"/>
        <w:right w:val="none" w:sz="0" w:space="0" w:color="auto"/>
      </w:divBdr>
    </w:div>
    <w:div w:id="1417047791">
      <w:bodyDiv w:val="1"/>
      <w:marLeft w:val="0"/>
      <w:marRight w:val="0"/>
      <w:marTop w:val="0"/>
      <w:marBottom w:val="0"/>
      <w:divBdr>
        <w:top w:val="none" w:sz="0" w:space="0" w:color="auto"/>
        <w:left w:val="none" w:sz="0" w:space="0" w:color="auto"/>
        <w:bottom w:val="none" w:sz="0" w:space="0" w:color="auto"/>
        <w:right w:val="none" w:sz="0" w:space="0" w:color="auto"/>
      </w:divBdr>
    </w:div>
    <w:div w:id="1737777275">
      <w:bodyDiv w:val="1"/>
      <w:marLeft w:val="0"/>
      <w:marRight w:val="0"/>
      <w:marTop w:val="0"/>
      <w:marBottom w:val="0"/>
      <w:divBdr>
        <w:top w:val="none" w:sz="0" w:space="0" w:color="auto"/>
        <w:left w:val="none" w:sz="0" w:space="0" w:color="auto"/>
        <w:bottom w:val="none" w:sz="0" w:space="0" w:color="auto"/>
        <w:right w:val="none" w:sz="0" w:space="0" w:color="auto"/>
      </w:divBdr>
      <w:divsChild>
        <w:div w:id="1967852023">
          <w:marLeft w:val="0"/>
          <w:marRight w:val="0"/>
          <w:marTop w:val="0"/>
          <w:marBottom w:val="0"/>
          <w:divBdr>
            <w:top w:val="none" w:sz="0" w:space="0" w:color="auto"/>
            <w:left w:val="none" w:sz="0" w:space="0" w:color="auto"/>
            <w:bottom w:val="none" w:sz="0" w:space="0" w:color="auto"/>
            <w:right w:val="none" w:sz="0" w:space="0" w:color="auto"/>
          </w:divBdr>
          <w:divsChild>
            <w:div w:id="15211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1581</Words>
  <Characters>9967</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2025-05-25T09:37:00Z</dcterms:created>
  <dcterms:modified xsi:type="dcterms:W3CDTF">2025-05-25T09:42:00Z</dcterms:modified>
</cp:coreProperties>
</file>