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3CA5" w14:textId="496D4CF9" w:rsidR="009D39AC" w:rsidRDefault="009D39AC" w:rsidP="009D39AC">
      <w:pPr>
        <w:pStyle w:val="StandardWeb"/>
      </w:pPr>
      <w:r>
        <w:rPr>
          <w:rFonts w:ascii="Segoe UI Emoji" w:hAnsi="Segoe UI Emoji" w:cs="Segoe UI Emoji"/>
        </w:rPr>
        <w:t>📘</w:t>
      </w:r>
      <w:r>
        <w:t xml:space="preserve"> Kapitel </w:t>
      </w:r>
      <w:r w:rsidR="00960A5B">
        <w:t>8</w:t>
      </w:r>
      <w:r>
        <w:t>: Innovationsnachweis – Das normierte Beobachtungsdreieck als epistemische Struktur</w:t>
      </w:r>
    </w:p>
    <w:p w14:paraId="530308DC" w14:textId="77777777" w:rsidR="00D91EA0" w:rsidRDefault="00960A5B" w:rsidP="00D91EA0">
      <w:r>
        <w:pict w14:anchorId="38539DDD">
          <v:rect id="_x0000_i1025" style="width:0;height:1.5pt" o:hralign="center" o:hrstd="t" o:hr="t" fillcolor="#a0a0a0" stroked="f"/>
        </w:pict>
      </w:r>
    </w:p>
    <w:p w14:paraId="3677B1BF" w14:textId="2512109D" w:rsidR="00D91EA0" w:rsidRDefault="00960A5B" w:rsidP="00D91EA0">
      <w:pPr>
        <w:pStyle w:val="berschrift2"/>
      </w:pPr>
      <w:r>
        <w:t>8.</w:t>
      </w:r>
      <w:r w:rsidR="00D91EA0">
        <w:t>1 Einleitung: Warum ein Innovationsnachweis?</w:t>
      </w:r>
    </w:p>
    <w:p w14:paraId="28EAAD5A" w14:textId="77777777" w:rsidR="00D91EA0" w:rsidRDefault="00D91EA0" w:rsidP="00D91EA0">
      <w:pPr>
        <w:pStyle w:val="StandardWeb"/>
      </w:pPr>
      <w:r>
        <w:t xml:space="preserve">Im Rahmen dieser Dissertation wird das Konzept des </w:t>
      </w:r>
      <w:r>
        <w:rPr>
          <w:rStyle w:val="Hervorhebung"/>
        </w:rPr>
        <w:t>normierten Beobachtungsdreiecks</w:t>
      </w:r>
      <w:r>
        <w:t xml:space="preserve"> als Grundlage einer projektiven Raumstruktur eingeführt. Ziel dieses Kapitels ist es, die </w:t>
      </w:r>
      <w:r>
        <w:rPr>
          <w:rStyle w:val="Fett"/>
        </w:rPr>
        <w:t>Innovativität</w:t>
      </w:r>
      <w:r>
        <w:t xml:space="preserve"> dieses Ansatzes nachvollziehbar zu belegen und gegenüber bestehenden Konzepten </w:t>
      </w:r>
      <w:r>
        <w:rPr>
          <w:rStyle w:val="Fett"/>
        </w:rPr>
        <w:t>theoretisch, erkenntnistheoretisch und technisch abzugrenzen</w:t>
      </w:r>
      <w:r>
        <w:t>.</w:t>
      </w:r>
    </w:p>
    <w:p w14:paraId="4E091BAE" w14:textId="77777777" w:rsidR="00D91EA0" w:rsidRDefault="00960A5B" w:rsidP="00D91EA0">
      <w:r>
        <w:pict w14:anchorId="7ADC0086">
          <v:rect id="_x0000_i1026" style="width:0;height:1.5pt" o:hralign="center" o:hrstd="t" o:hr="t" fillcolor="#a0a0a0" stroked="f"/>
        </w:pict>
      </w:r>
    </w:p>
    <w:p w14:paraId="4E77AEB6" w14:textId="411426C2" w:rsidR="00D91EA0" w:rsidRDefault="00960A5B" w:rsidP="00D91EA0">
      <w:pPr>
        <w:pStyle w:val="berschrift2"/>
      </w:pPr>
      <w:r>
        <w:t>8.</w:t>
      </w:r>
      <w:r w:rsidR="00D91EA0">
        <w:t>2 Ausgangslage: Der Stand des Wissens</w:t>
      </w:r>
    </w:p>
    <w:p w14:paraId="6076676A" w14:textId="77777777" w:rsidR="00D91EA0" w:rsidRDefault="00D91EA0" w:rsidP="00D91EA0">
      <w:pPr>
        <w:pStyle w:val="StandardWeb"/>
      </w:pPr>
      <w:r>
        <w:t>In verschiedenen Disziplinen existieren Vorläufer oder Teilaspekte des hier verfolgten Modells:</w:t>
      </w:r>
    </w:p>
    <w:p w14:paraId="396A2B8B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Informatik / Computer Vision:</w:t>
      </w:r>
      <w:r>
        <w:t xml:space="preserve"> Triangulationsverfahren dienen der Tiefenbestimmung (Stereo Vision,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Motion). Der Fokus liegt jedoch auf algorithmischer Rekonstruktion – </w:t>
      </w:r>
      <w:r>
        <w:rPr>
          <w:rStyle w:val="Fett"/>
        </w:rPr>
        <w:t>nicht auf epistemologischer Modellierung</w:t>
      </w:r>
      <w:r>
        <w:t>.</w:t>
      </w:r>
    </w:p>
    <w:p w14:paraId="39154BC3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Mathematik:</w:t>
      </w:r>
      <w:r>
        <w:t xml:space="preserve"> Der Tetraeder als einfachster 3D-Simplex ist grundlegend für Geometrie und Kombinatorik, jedoch </w:t>
      </w:r>
      <w:r>
        <w:rPr>
          <w:rStyle w:val="Fett"/>
        </w:rPr>
        <w:t>nicht als Beobachtungsstruktur</w:t>
      </w:r>
      <w:r>
        <w:t xml:space="preserve"> konzipiert.</w:t>
      </w:r>
    </w:p>
    <w:p w14:paraId="010850A2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Physik:</w:t>
      </w:r>
      <w:r>
        <w:t xml:space="preserve"> Raumzeitmodelle nutzen Signallaufzeiten (z. B. Radar, GPS), aber behandeln den Raum als gegeben. </w:t>
      </w:r>
      <w:r>
        <w:rPr>
          <w:rStyle w:val="Fett"/>
        </w:rPr>
        <w:t>Ein projektiv-normativer Beobachterstandpunkt fehlt.</w:t>
      </w:r>
    </w:p>
    <w:p w14:paraId="370A13B2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Philosophie:</w:t>
      </w:r>
      <w:r>
        <w:t xml:space="preserve"> Raumtheorien (Platon, Kant, </w:t>
      </w:r>
      <w:proofErr w:type="spellStart"/>
      <w:r>
        <w:t>Merleau-Ponty</w:t>
      </w:r>
      <w:proofErr w:type="spellEnd"/>
      <w:r>
        <w:t xml:space="preserve">, Luhmann) problematisieren Wahrnehmung und Konstruktion, liefern aber </w:t>
      </w:r>
      <w:r>
        <w:rPr>
          <w:rStyle w:val="Fett"/>
        </w:rPr>
        <w:t>keine geometrisch-normativen Modelle</w:t>
      </w:r>
      <w:r>
        <w:t>.</w:t>
      </w:r>
    </w:p>
    <w:p w14:paraId="18A25A07" w14:textId="77777777" w:rsidR="00D91EA0" w:rsidRDefault="00D91EA0" w:rsidP="00D91EA0">
      <w:pPr>
        <w:pStyle w:val="StandardWeb"/>
      </w:pPr>
      <w:r>
        <w:t xml:space="preserve">Es existiert </w:t>
      </w:r>
      <w:r>
        <w:rPr>
          <w:rStyle w:val="Fett"/>
        </w:rPr>
        <w:t>keine disziplinübergreifende Theorie</w:t>
      </w:r>
      <w:r>
        <w:t xml:space="preserve">, die Beobachtung, Signal, Projektionsgeometrie und Raumstruktur </w:t>
      </w:r>
      <w:r>
        <w:rPr>
          <w:rStyle w:val="Fett"/>
        </w:rPr>
        <w:t>methodisch zusammenführt</w:t>
      </w:r>
      <w:r>
        <w:t xml:space="preserve"> und zugleich </w:t>
      </w:r>
      <w:r>
        <w:rPr>
          <w:rStyle w:val="Fett"/>
        </w:rPr>
        <w:t>operationalisiert</w:t>
      </w:r>
      <w:r>
        <w:t>.</w:t>
      </w:r>
    </w:p>
    <w:p w14:paraId="27646CA0" w14:textId="77777777" w:rsidR="00D91EA0" w:rsidRDefault="00960A5B" w:rsidP="00D91EA0">
      <w:r>
        <w:pict w14:anchorId="650CFB54">
          <v:rect id="_x0000_i1027" style="width:0;height:1.5pt" o:hralign="center" o:hrstd="t" o:hr="t" fillcolor="#a0a0a0" stroked="f"/>
        </w:pict>
      </w:r>
    </w:p>
    <w:p w14:paraId="52A804CD" w14:textId="7E6B0935" w:rsidR="00D91EA0" w:rsidRDefault="00960A5B" w:rsidP="00D91EA0">
      <w:pPr>
        <w:pStyle w:val="berschrift2"/>
      </w:pPr>
      <w:r>
        <w:t>8.</w:t>
      </w:r>
      <w:r w:rsidR="00D91EA0">
        <w:t>3. Der innovative Beitrag dieser Arbeit</w:t>
      </w:r>
    </w:p>
    <w:p w14:paraId="12CCFBAD" w14:textId="0D1AADA6" w:rsidR="00D91EA0" w:rsidRDefault="00960A5B" w:rsidP="00D91EA0">
      <w:pPr>
        <w:pStyle w:val="berschrift3"/>
      </w:pPr>
      <w:r>
        <w:t>8.</w:t>
      </w:r>
      <w:r w:rsidR="00D91EA0">
        <w:t>3.1 Der epistemologische Schritt</w:t>
      </w:r>
    </w:p>
    <w:p w14:paraId="5CDFCF19" w14:textId="77777777" w:rsidR="00D91EA0" w:rsidRDefault="00D91EA0" w:rsidP="00D91EA0">
      <w:pPr>
        <w:pStyle w:val="StandardWeb"/>
      </w:pPr>
      <w:r>
        <w:t xml:space="preserve">Diese Arbeit geht davon aus, dass </w:t>
      </w:r>
      <w:r>
        <w:rPr>
          <w:rStyle w:val="Fett"/>
        </w:rPr>
        <w:t>Raum nicht gegeben</w:t>
      </w:r>
      <w:r>
        <w:t xml:space="preserve">, sondern </w:t>
      </w:r>
      <w:r>
        <w:rPr>
          <w:rStyle w:val="Fett"/>
        </w:rPr>
        <w:t>konstruiert</w:t>
      </w:r>
      <w:r>
        <w:t xml:space="preserve"> ist – durch </w:t>
      </w:r>
      <w:r>
        <w:rPr>
          <w:rStyle w:val="Fett"/>
        </w:rPr>
        <w:t>gerichtete Signale</w:t>
      </w:r>
      <w:r>
        <w:t xml:space="preserve">, ihre </w:t>
      </w:r>
      <w:r>
        <w:rPr>
          <w:rStyle w:val="Fett"/>
        </w:rPr>
        <w:t>Reflexion</w:t>
      </w:r>
      <w:r>
        <w:t xml:space="preserve">, sowie die </w:t>
      </w:r>
      <w:r>
        <w:rPr>
          <w:rStyle w:val="Fett"/>
        </w:rPr>
        <w:t>strukturierende Projektion</w:t>
      </w:r>
      <w:r>
        <w:t xml:space="preserve"> durch einen Beobachterpunkt $P_B$.</w:t>
      </w:r>
    </w:p>
    <w:p w14:paraId="1118D537" w14:textId="77777777" w:rsidR="00D91EA0" w:rsidRDefault="00D91EA0" w:rsidP="00D91EA0">
      <w:pPr>
        <w:pStyle w:val="StandardWeb"/>
      </w:pPr>
      <w:r>
        <w:t>Das normierte Beobachtungsdreieck ist:</w:t>
      </w:r>
    </w:p>
    <w:p w14:paraId="00B85E60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t xml:space="preserve">die </w:t>
      </w:r>
      <w:r>
        <w:rPr>
          <w:rStyle w:val="Fett"/>
        </w:rPr>
        <w:t>erste Fläche</w:t>
      </w:r>
      <w:r>
        <w:t>, die aus gerichteter Differenzbildung entsteht,</w:t>
      </w:r>
    </w:p>
    <w:p w14:paraId="3C092F9D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t xml:space="preserve">die </w:t>
      </w:r>
      <w:r>
        <w:rPr>
          <w:rStyle w:val="Fett"/>
        </w:rPr>
        <w:t>erste Einheit strukturierter Sichtbarkeit</w:t>
      </w:r>
      <w:r>
        <w:t>,</w:t>
      </w:r>
    </w:p>
    <w:p w14:paraId="4774705B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lastRenderedPageBreak/>
        <w:t xml:space="preserve">eine </w:t>
      </w:r>
      <w:r>
        <w:rPr>
          <w:rStyle w:val="Fett"/>
        </w:rPr>
        <w:t>messbare, rekonstruierbare und vergleichbare Form</w:t>
      </w:r>
      <w:r>
        <w:t xml:space="preserve"> epistemischer Konstitution.</w:t>
      </w:r>
    </w:p>
    <w:p w14:paraId="59071B97" w14:textId="1C64AE47" w:rsidR="00D91EA0" w:rsidRDefault="00960A5B" w:rsidP="00D91EA0">
      <w:pPr>
        <w:pStyle w:val="berschrift3"/>
      </w:pPr>
      <w:r>
        <w:t>8.</w:t>
      </w:r>
      <w:r w:rsidR="00D91EA0">
        <w:t>3.2 Die technische Form</w:t>
      </w:r>
    </w:p>
    <w:p w14:paraId="00BA431B" w14:textId="77777777" w:rsidR="00D91EA0" w:rsidRDefault="00D91EA0" w:rsidP="00D91EA0">
      <w:pPr>
        <w:pStyle w:val="StandardWeb"/>
      </w:pPr>
      <w:r>
        <w:t xml:space="preserve">Das Beobachtungsdreieck ist </w:t>
      </w:r>
      <w:r>
        <w:rPr>
          <w:rStyle w:val="Fett"/>
        </w:rPr>
        <w:t>genormt</w:t>
      </w:r>
      <w:r>
        <w:t>:</w:t>
      </w:r>
    </w:p>
    <w:p w14:paraId="04AD0EB8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 xml:space="preserve">Es hat </w:t>
      </w:r>
      <w:r>
        <w:rPr>
          <w:rStyle w:val="Fett"/>
        </w:rPr>
        <w:t>Seitenlänge 1</w:t>
      </w:r>
      <w:r>
        <w:t xml:space="preserve"> (Einheitsdreieck)</w:t>
      </w:r>
    </w:p>
    <w:p w14:paraId="7E1A6D40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>Es ist in einem kartesischen Raum mit Ursprung $P_B = (0,0,</w:t>
      </w:r>
      <w:proofErr w:type="gramStart"/>
      <w:r>
        <w:t>0)$</w:t>
      </w:r>
      <w:proofErr w:type="gramEnd"/>
      <w:r>
        <w:t xml:space="preserve"> eingebettet</w:t>
      </w:r>
    </w:p>
    <w:p w14:paraId="56DE35BB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>Die Signallaufzeit $</w:t>
      </w:r>
      <w:proofErr w:type="spellStart"/>
      <w:r>
        <w:t>t_i</w:t>
      </w:r>
      <w:proofErr w:type="spellEnd"/>
      <w:r>
        <w:t>$ zu einem Punkt $</w:t>
      </w:r>
      <w:proofErr w:type="spellStart"/>
      <w:r>
        <w:t>A_i</w:t>
      </w:r>
      <w:proofErr w:type="spellEnd"/>
      <w:r>
        <w:t xml:space="preserve">$ wird </w:t>
      </w:r>
      <w:r>
        <w:rPr>
          <w:rStyle w:val="Fett"/>
        </w:rPr>
        <w:t>über die konstante Geschwindigkeit $c$ skaliert</w:t>
      </w:r>
      <w:r>
        <w:t>:</w:t>
      </w:r>
    </w:p>
    <w:p w14:paraId="25C01CBA" w14:textId="77777777" w:rsidR="00D91EA0" w:rsidRDefault="00D91EA0" w:rsidP="00D91EA0">
      <w:r>
        <w:rPr>
          <w:rStyle w:val="katex"/>
        </w:rPr>
        <w:t>Ai=(</w:t>
      </w:r>
      <w:proofErr w:type="spellStart"/>
      <w:proofErr w:type="gramStart"/>
      <w:r>
        <w:rPr>
          <w:rStyle w:val="katex"/>
        </w:rPr>
        <w:t>xi,yi</w:t>
      </w:r>
      <w:proofErr w:type="spellEnd"/>
      <w:proofErr w:type="gramEnd"/>
      <w:r>
        <w:rPr>
          <w:rStyle w:val="katex"/>
        </w:rPr>
        <w:t>),mit 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Ai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=</w:t>
      </w:r>
      <w:proofErr w:type="spellStart"/>
      <w:r>
        <w:rPr>
          <w:rStyle w:val="katex"/>
        </w:rPr>
        <w:t>c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ti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A^i</w:t>
      </w:r>
      <w:proofErr w:type="spellEnd"/>
      <w:r>
        <w:rPr>
          <w:rStyle w:val="katex"/>
        </w:rPr>
        <w:t>:=</w:t>
      </w:r>
      <w:proofErr w:type="spellStart"/>
      <w:r>
        <w:rPr>
          <w:rStyle w:val="katex"/>
        </w:rPr>
        <w:t>Ai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Ai</w:t>
      </w:r>
      <w:proofErr w:type="spellEnd"/>
      <w:r>
        <w:rPr>
          <w:rStyle w:val="katex"/>
          <w:rFonts w:ascii="Cambria Math" w:hAnsi="Cambria Math" w:cs="Cambria Math"/>
        </w:rPr>
        <w:t>∥∈△</w:t>
      </w:r>
      <w:r>
        <w:rPr>
          <w:rStyle w:val="katex"/>
        </w:rPr>
        <w:t>(1)</w:t>
      </w:r>
      <w:proofErr w:type="spellStart"/>
      <w:r>
        <w:rPr>
          <w:rStyle w:val="katex"/>
        </w:rPr>
        <w:t>A_i</w:t>
      </w:r>
      <w:proofErr w:type="spellEnd"/>
      <w:r>
        <w:rPr>
          <w:rStyle w:val="katex"/>
        </w:rPr>
        <w:t xml:space="preserve"> = (</w:t>
      </w:r>
      <w:proofErr w:type="spellStart"/>
      <w:r>
        <w:rPr>
          <w:rStyle w:val="katex"/>
        </w:rPr>
        <w:t>x_i</w:t>
      </w:r>
      <w:proofErr w:type="spellEnd"/>
      <w:r>
        <w:rPr>
          <w:rStyle w:val="katex"/>
        </w:rPr>
        <w:t xml:space="preserve">, </w:t>
      </w:r>
      <w:proofErr w:type="spellStart"/>
      <w:r>
        <w:rPr>
          <w:rStyle w:val="katex"/>
        </w:rPr>
        <w:t>y_i</w:t>
      </w:r>
      <w:proofErr w:type="spellEnd"/>
      <w:r>
        <w:rPr>
          <w:rStyle w:val="katex"/>
        </w:rPr>
        <w:t>), \</w:t>
      </w:r>
      <w:proofErr w:type="spellStart"/>
      <w:r>
        <w:rPr>
          <w:rStyle w:val="katex"/>
        </w:rPr>
        <w:t>quad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text</w:t>
      </w:r>
      <w:proofErr w:type="spellEnd"/>
      <w:r>
        <w:rPr>
          <w:rStyle w:val="katex"/>
        </w:rPr>
        <w:t>{mit} \ \|</w:t>
      </w:r>
      <w:proofErr w:type="spellStart"/>
      <w:r>
        <w:rPr>
          <w:rStyle w:val="katex"/>
        </w:rPr>
        <w:t>A_i</w:t>
      </w:r>
      <w:proofErr w:type="spellEnd"/>
      <w:r>
        <w:rPr>
          <w:rStyle w:val="katex"/>
        </w:rPr>
        <w:t>\| = c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</w:t>
      </w:r>
      <w:proofErr w:type="spellStart"/>
      <w:r>
        <w:rPr>
          <w:rStyle w:val="katex"/>
        </w:rPr>
        <w:t>t_i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\hat{A}_i := \</w:t>
      </w:r>
      <w:proofErr w:type="spellStart"/>
      <w:r>
        <w:rPr>
          <w:rStyle w:val="katex"/>
        </w:rPr>
        <w:t>frac</w:t>
      </w:r>
      <w:proofErr w:type="spellEnd"/>
      <w:r>
        <w:rPr>
          <w:rStyle w:val="katex"/>
        </w:rPr>
        <w:t>{</w:t>
      </w:r>
      <w:proofErr w:type="spellStart"/>
      <w:r>
        <w:rPr>
          <w:rStyle w:val="katex"/>
        </w:rPr>
        <w:t>A_i</w:t>
      </w:r>
      <w:proofErr w:type="spellEnd"/>
      <w:r>
        <w:rPr>
          <w:rStyle w:val="katex"/>
        </w:rPr>
        <w:t>}{\|</w:t>
      </w:r>
      <w:proofErr w:type="spellStart"/>
      <w:r>
        <w:rPr>
          <w:rStyle w:val="katex"/>
        </w:rPr>
        <w:t>A_i</w:t>
      </w:r>
      <w:proofErr w:type="spellEnd"/>
      <w:r>
        <w:rPr>
          <w:rStyle w:val="katex"/>
        </w:rPr>
        <w:t>\|} \in \</w:t>
      </w:r>
      <w:proofErr w:type="spellStart"/>
      <w:r>
        <w:rPr>
          <w:rStyle w:val="katex"/>
        </w:rPr>
        <w:t>triangle</w:t>
      </w:r>
      <w:proofErr w:type="spellEnd"/>
      <w:r>
        <w:rPr>
          <w:rStyle w:val="katex"/>
        </w:rPr>
        <w:t>^{(1)}</w:t>
      </w:r>
      <w:r>
        <w:t xml:space="preserve"> </w:t>
      </w:r>
    </w:p>
    <w:p w14:paraId="561AE496" w14:textId="77777777" w:rsidR="00D91EA0" w:rsidRDefault="00D91EA0" w:rsidP="00D91EA0">
      <w:pPr>
        <w:pStyle w:val="StandardWeb"/>
        <w:numPr>
          <w:ilvl w:val="0"/>
          <w:numId w:val="12"/>
        </w:numPr>
      </w:pPr>
      <w:r>
        <w:t xml:space="preserve">Die Punkte werden </w:t>
      </w:r>
      <w:r>
        <w:rPr>
          <w:rStyle w:val="Fett"/>
        </w:rPr>
        <w:t>projektiv normiert</w:t>
      </w:r>
      <w:r>
        <w:t xml:space="preserve"> auf ein Einheitsdreieck</w:t>
      </w:r>
    </w:p>
    <w:p w14:paraId="60C0203D" w14:textId="77777777" w:rsidR="00D91EA0" w:rsidRDefault="00D91EA0" w:rsidP="00D91EA0">
      <w:pPr>
        <w:pStyle w:val="StandardWeb"/>
        <w:numPr>
          <w:ilvl w:val="0"/>
          <w:numId w:val="12"/>
        </w:numPr>
      </w:pPr>
      <w:r>
        <w:t xml:space="preserve">Rücktransformation ist durch </w:t>
      </w:r>
      <w:r>
        <w:rPr>
          <w:rStyle w:val="Fett"/>
        </w:rPr>
        <w:t>adaptive Gleichungen</w:t>
      </w:r>
      <w:r>
        <w:t xml:space="preserve"> eindeutig möglich:</w:t>
      </w:r>
    </w:p>
    <w:p w14:paraId="45A1A485" w14:textId="77777777" w:rsidR="00D91EA0" w:rsidRDefault="00D91EA0" w:rsidP="00D91EA0">
      <w:r>
        <w:rPr>
          <w:rStyle w:val="katex"/>
        </w:rPr>
        <w:t>Ai=ci(t)</w:t>
      </w:r>
      <w:r>
        <w:rPr>
          <w:rStyle w:val="katex"/>
          <w:rFonts w:ascii="Cambria Math" w:hAnsi="Cambria Math" w:cs="Cambria Math"/>
        </w:rPr>
        <w:t>⋅</w:t>
      </w:r>
      <w:proofErr w:type="spellStart"/>
      <w:r>
        <w:rPr>
          <w:rStyle w:val="katex"/>
        </w:rPr>
        <w:t>A^iA_i</w:t>
      </w:r>
      <w:proofErr w:type="spellEnd"/>
      <w:r>
        <w:rPr>
          <w:rStyle w:val="katex"/>
        </w:rPr>
        <w:t xml:space="preserve"> = </w:t>
      </w:r>
      <w:proofErr w:type="spellStart"/>
      <w:r>
        <w:rPr>
          <w:rStyle w:val="katex"/>
        </w:rPr>
        <w:t>c_i</w:t>
      </w:r>
      <w:proofErr w:type="spellEnd"/>
      <w:r>
        <w:rPr>
          <w:rStyle w:val="katex"/>
        </w:rPr>
        <w:t>(t)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\hat{A}_i</w:t>
      </w:r>
      <w:r>
        <w:t xml:space="preserve"> </w:t>
      </w:r>
    </w:p>
    <w:p w14:paraId="65314C6B" w14:textId="77777777" w:rsidR="00D91EA0" w:rsidRDefault="00D91EA0" w:rsidP="00D91EA0">
      <w:pPr>
        <w:pStyle w:val="StandardWeb"/>
      </w:pPr>
      <w:r>
        <w:t>Beispiel: Bei einem akustischen Sensor-Setup (Schallgeschwindigkeit $c \</w:t>
      </w:r>
      <w:proofErr w:type="spellStart"/>
      <w:r>
        <w:t>approx</w:t>
      </w:r>
      <w:proofErr w:type="spellEnd"/>
      <w:r>
        <w:t xml:space="preserve"> 343$ m/s) ergibt sich das Beobachtungsdreieck aus den gemessenen Laufzeiten $t_1, t_2, t_3$. Diese Dreiecksstruktur wird auf ein Einheitsdreieck transformiert, analysiert und ggf. auf reale Raumverhältnisse rücktransformiert.</w:t>
      </w:r>
    </w:p>
    <w:p w14:paraId="2F4D975D" w14:textId="77777777" w:rsidR="00D91EA0" w:rsidRDefault="00960A5B" w:rsidP="00D91EA0">
      <w:r>
        <w:pict w14:anchorId="3E12C006">
          <v:rect id="_x0000_i1028" style="width:0;height:1.5pt" o:hralign="center" o:hrstd="t" o:hr="t" fillcolor="#a0a0a0" stroked="f"/>
        </w:pict>
      </w:r>
    </w:p>
    <w:p w14:paraId="4EB4933E" w14:textId="3D1FC482" w:rsidR="00D91EA0" w:rsidRDefault="00960A5B" w:rsidP="00D91EA0">
      <w:pPr>
        <w:pStyle w:val="berschrift2"/>
      </w:pPr>
      <w:r>
        <w:t>8.</w:t>
      </w:r>
      <w:r w:rsidR="00D91EA0">
        <w:t>4 Vorteile der Normierung – Hergeleitet und begründet</w:t>
      </w:r>
    </w:p>
    <w:p w14:paraId="00817DCE" w14:textId="77777777" w:rsidR="00D91EA0" w:rsidRDefault="00D91EA0" w:rsidP="00D91EA0">
      <w:pPr>
        <w:pStyle w:val="StandardWeb"/>
      </w:pPr>
      <w:r>
        <w:t xml:space="preserve">Die </w:t>
      </w:r>
      <w:r>
        <w:rPr>
          <w:rStyle w:val="Fett"/>
        </w:rPr>
        <w:t>Normierung</w:t>
      </w:r>
      <w:r>
        <w:t xml:space="preserve"> ist nicht ein zusätzlicher Rechenschritt, sondern konstituiert folgende Vorteile:</w:t>
      </w:r>
    </w:p>
    <w:p w14:paraId="02C3F7DE" w14:textId="6D22E499" w:rsidR="00D91EA0" w:rsidRDefault="00960A5B" w:rsidP="00D91EA0">
      <w:pPr>
        <w:pStyle w:val="berschrift3"/>
      </w:pPr>
      <w:r>
        <w:t>8.</w:t>
      </w:r>
      <w:r w:rsidR="00D91EA0">
        <w:t>4.1 Vergleichbarkeit</w:t>
      </w:r>
    </w:p>
    <w:p w14:paraId="3308C3B0" w14:textId="77777777" w:rsidR="00D91EA0" w:rsidRDefault="00D91EA0" w:rsidP="00D91EA0">
      <w:pPr>
        <w:pStyle w:val="StandardWeb"/>
      </w:pPr>
      <w:r>
        <w:t xml:space="preserve">Nur durch Normierung können </w:t>
      </w:r>
      <w:r>
        <w:rPr>
          <w:rStyle w:val="Fett"/>
        </w:rPr>
        <w:t>verschiedene Beobachtungsdreiecke</w:t>
      </w:r>
      <w:r>
        <w:t xml:space="preserve"> miteinander verglichen werden:</w:t>
      </w:r>
    </w:p>
    <w:p w14:paraId="7247F336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unabhängig von Signalgeschwindigkeit $c$,</w:t>
      </w:r>
    </w:p>
    <w:p w14:paraId="4D4A5FFB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unabhängig von Maßstab oder Umgebung,</w:t>
      </w:r>
    </w:p>
    <w:p w14:paraId="3950FE12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bei identischer Struktur (Projektionswinkel, Symmetrie etc.).</w:t>
      </w:r>
    </w:p>
    <w:p w14:paraId="732FC2DD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Zwei autonome Systeme (Drohne und U-Boot) nutzen verschiedene Sensorarten (optisch vs. akustisch). Durch Normierung ihrer Dreiecksstrukturen können deren Wahrnehmungsräume verglichen werden – trotz unterschiedlicher Medien und Signallaufzeiten.</w:t>
      </w:r>
    </w:p>
    <w:p w14:paraId="0A539FAF" w14:textId="5B446C02" w:rsidR="00D91EA0" w:rsidRDefault="00960A5B" w:rsidP="00D91EA0">
      <w:pPr>
        <w:pStyle w:val="berschrift3"/>
      </w:pPr>
      <w:r>
        <w:t>8.</w:t>
      </w:r>
      <w:r w:rsidR="00D91EA0">
        <w:t>4.2 Rekonstruierbarkeit</w:t>
      </w:r>
    </w:p>
    <w:p w14:paraId="4521B8BE" w14:textId="77777777" w:rsidR="00D91EA0" w:rsidRDefault="00D91EA0" w:rsidP="00D91EA0">
      <w:pPr>
        <w:pStyle w:val="StandardWeb"/>
      </w:pPr>
      <w:r>
        <w:lastRenderedPageBreak/>
        <w:t xml:space="preserve">Jede reale Beobachtung (z. B. Messung per Radar, LIDAR) lässt sich auf das </w:t>
      </w:r>
      <w:r>
        <w:rPr>
          <w:rStyle w:val="Fett"/>
        </w:rPr>
        <w:t>normierte Dreieck zurückführen</w:t>
      </w:r>
      <w:r>
        <w:t xml:space="preserve"> und umgekehrt rekonstruieren – durch die </w:t>
      </w:r>
      <w:r>
        <w:rPr>
          <w:rStyle w:val="Fett"/>
        </w:rPr>
        <w:t>adaptive Rücktransformation</w:t>
      </w:r>
      <w:r>
        <w:t>:</w:t>
      </w:r>
    </w:p>
    <w:p w14:paraId="39B92565" w14:textId="77777777" w:rsidR="00D91EA0" w:rsidRDefault="00D91EA0" w:rsidP="00D91EA0">
      <w:proofErr w:type="gramStart"/>
      <w:r>
        <w:rPr>
          <w:rStyle w:val="katex"/>
        </w:rPr>
        <w:t>Messung:</w:t>
      </w:r>
      <w:r>
        <w:rPr>
          <w:rStyle w:val="katex"/>
          <w:rFonts w:ascii="Cambria Math" w:hAnsi="Cambria Math" w:cs="Cambria Math"/>
        </w:rPr>
        <w:t>△</w:t>
      </w:r>
      <w:proofErr w:type="gramEnd"/>
      <w:r>
        <w:rPr>
          <w:rStyle w:val="katex"/>
        </w:rPr>
        <w:t>M={</w:t>
      </w:r>
      <w:proofErr w:type="spellStart"/>
      <w:r>
        <w:rPr>
          <w:rStyle w:val="katex"/>
        </w:rPr>
        <w:t>ti</w:t>
      </w:r>
      <w:proofErr w:type="spellEnd"/>
      <w:r>
        <w:rPr>
          <w:rStyle w:val="katex"/>
        </w:rPr>
        <w:t>}</w:t>
      </w:r>
      <w:r>
        <w:rPr>
          <w:rStyle w:val="katex"/>
          <w:rFonts w:ascii="Cambria Math" w:hAnsi="Cambria Math" w:cs="Cambria Math"/>
        </w:rPr>
        <w:t>⇒△</w:t>
      </w:r>
      <w:r>
        <w:rPr>
          <w:rStyle w:val="katex"/>
        </w:rPr>
        <w:t>(1)</w:t>
      </w:r>
      <w:r>
        <w:rPr>
          <w:rStyle w:val="katex"/>
          <w:rFonts w:ascii="Cambria Math" w:hAnsi="Cambria Math" w:cs="Cambria Math"/>
        </w:rPr>
        <w:t>⇒</w:t>
      </w:r>
      <w:proofErr w:type="spellStart"/>
      <w:r>
        <w:rPr>
          <w:rStyle w:val="katex"/>
        </w:rPr>
        <w:t>Analyse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Simulation</w:t>
      </w:r>
      <w:proofErr w:type="spellEnd"/>
      <w:r>
        <w:rPr>
          <w:rStyle w:val="katex"/>
        </w:rPr>
        <w:t>\</w:t>
      </w:r>
      <w:proofErr w:type="spellStart"/>
      <w:r>
        <w:rPr>
          <w:rStyle w:val="katex"/>
        </w:rPr>
        <w:t>text</w:t>
      </w:r>
      <w:proofErr w:type="spellEnd"/>
      <w:r>
        <w:rPr>
          <w:rStyle w:val="katex"/>
        </w:rPr>
        <w:t>{Messung:} \</w:t>
      </w:r>
      <w:proofErr w:type="spellStart"/>
      <w:r>
        <w:rPr>
          <w:rStyle w:val="katex"/>
        </w:rPr>
        <w:t>quad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triangle_M</w:t>
      </w:r>
      <w:proofErr w:type="spellEnd"/>
      <w:r>
        <w:rPr>
          <w:rStyle w:val="katex"/>
        </w:rPr>
        <w:t xml:space="preserve"> = \{</w:t>
      </w:r>
      <w:proofErr w:type="spellStart"/>
      <w:r>
        <w:rPr>
          <w:rStyle w:val="katex"/>
        </w:rPr>
        <w:t>t_i</w:t>
      </w:r>
      <w:proofErr w:type="spellEnd"/>
      <w:r>
        <w:rPr>
          <w:rStyle w:val="katex"/>
        </w:rPr>
        <w:t>\}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triangle</w:t>
      </w:r>
      <w:proofErr w:type="spellEnd"/>
      <w:r>
        <w:rPr>
          <w:rStyle w:val="katex"/>
        </w:rPr>
        <w:t>^{(1)}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text</w:t>
      </w:r>
      <w:proofErr w:type="spellEnd"/>
      <w:r>
        <w:rPr>
          <w:rStyle w:val="katex"/>
        </w:rPr>
        <w:t>{Analyse}\</w:t>
      </w:r>
      <w:proofErr w:type="spellStart"/>
      <w:r>
        <w:rPr>
          <w:rStyle w:val="katex"/>
        </w:rPr>
        <w:t>quad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text</w:t>
      </w:r>
      <w:proofErr w:type="spellEnd"/>
      <w:r>
        <w:rPr>
          <w:rStyle w:val="katex"/>
        </w:rPr>
        <w:t>{Simulation}</w:t>
      </w:r>
      <w:r>
        <w:t xml:space="preserve"> </w:t>
      </w:r>
    </w:p>
    <w:p w14:paraId="0EDC5B67" w14:textId="77777777" w:rsidR="00D91EA0" w:rsidRDefault="00D91EA0" w:rsidP="00D91EA0">
      <w:pPr>
        <w:pStyle w:val="StandardWeb"/>
      </w:pPr>
      <w:r>
        <w:t xml:space="preserve">Dies erlaubt sowohl </w:t>
      </w:r>
      <w:r>
        <w:rPr>
          <w:rStyle w:val="Fett"/>
        </w:rPr>
        <w:t>fehlerrobuste Interpretation</w:t>
      </w:r>
      <w:r>
        <w:t xml:space="preserve"> als auch </w:t>
      </w:r>
      <w:r>
        <w:rPr>
          <w:rStyle w:val="Fett"/>
        </w:rPr>
        <w:t>konsistente Simulation realer Szenarien</w:t>
      </w:r>
      <w:r>
        <w:t>.</w:t>
      </w:r>
    </w:p>
    <w:p w14:paraId="36AB2B60" w14:textId="266BFF09" w:rsidR="00D91EA0" w:rsidRDefault="00960A5B" w:rsidP="00D91EA0">
      <w:pPr>
        <w:pStyle w:val="berschrift3"/>
      </w:pPr>
      <w:r>
        <w:t>8.</w:t>
      </w:r>
      <w:r w:rsidR="00D91EA0">
        <w:t>4.3 Algorithmische Anwendbarkeit</w:t>
      </w:r>
    </w:p>
    <w:p w14:paraId="5FABDB1D" w14:textId="77777777" w:rsidR="00D91EA0" w:rsidRDefault="00D91EA0" w:rsidP="00D91EA0">
      <w:pPr>
        <w:pStyle w:val="StandardWeb"/>
      </w:pPr>
      <w:r>
        <w:t xml:space="preserve">Normierte Strukturen lassen sich </w:t>
      </w:r>
      <w:r>
        <w:rPr>
          <w:rStyle w:val="Fett"/>
        </w:rPr>
        <w:t>algorithmisch effizient verarbeiten</w:t>
      </w:r>
      <w:r>
        <w:t>:</w:t>
      </w:r>
    </w:p>
    <w:p w14:paraId="5F01CE2F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 xml:space="preserve">Als Modul für Bildverarbeitung, Sensorfusion, </w:t>
      </w:r>
      <w:proofErr w:type="spellStart"/>
      <w:r>
        <w:t>Meshgenerierung</w:t>
      </w:r>
      <w:proofErr w:type="spellEnd"/>
    </w:p>
    <w:p w14:paraId="634FDB6E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 xml:space="preserve">In Simulationssoftware als </w:t>
      </w:r>
      <w:r>
        <w:rPr>
          <w:rStyle w:val="Fett"/>
        </w:rPr>
        <w:t>invarianter Baustein</w:t>
      </w:r>
    </w:p>
    <w:p w14:paraId="09A1FC8E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 xml:space="preserve">In KI-Systemen zur </w:t>
      </w:r>
      <w:r>
        <w:rPr>
          <w:rStyle w:val="Fett"/>
        </w:rPr>
        <w:t>Interpretation von Projektionen</w:t>
      </w:r>
    </w:p>
    <w:p w14:paraId="26629526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Ein neuronales Netz kann normierte Beobachtungsdreiecke als Inputform verwenden, um Richtungsentscheidungen oder Raumkategorisierungen zu treffen – unabhängig vom Maßstab des realen Szenarios.</w:t>
      </w:r>
    </w:p>
    <w:p w14:paraId="2F00AA2C" w14:textId="2E086DD1" w:rsidR="00D91EA0" w:rsidRDefault="00960A5B" w:rsidP="00D91EA0">
      <w:pPr>
        <w:pStyle w:val="berschrift3"/>
      </w:pPr>
      <w:r>
        <w:t>8.</w:t>
      </w:r>
      <w:r w:rsidR="00D91EA0">
        <w:t>4.4 Erkenntnistheoretische Relevanz</w:t>
      </w:r>
    </w:p>
    <w:p w14:paraId="478D2BE2" w14:textId="77777777" w:rsidR="00D91EA0" w:rsidRDefault="00D91EA0" w:rsidP="00D91EA0">
      <w:pPr>
        <w:pStyle w:val="StandardWeb"/>
      </w:pPr>
      <w:r>
        <w:t xml:space="preserve">Die Normierung erlaubt die </w:t>
      </w:r>
      <w:r>
        <w:rPr>
          <w:rStyle w:val="Fett"/>
        </w:rPr>
        <w:t>formale Unterscheidung zwischen Signal und Information</w:t>
      </w:r>
      <w:r>
        <w:t>:</w:t>
      </w:r>
    </w:p>
    <w:p w14:paraId="0DD94509" w14:textId="77777777" w:rsidR="00D91EA0" w:rsidRDefault="00D91EA0" w:rsidP="00D91EA0">
      <w:pPr>
        <w:pStyle w:val="StandardWeb"/>
        <w:numPr>
          <w:ilvl w:val="0"/>
          <w:numId w:val="15"/>
        </w:numPr>
      </w:pPr>
      <w:r>
        <w:t>Signal = metrisch (Länge, Zeit),</w:t>
      </w:r>
    </w:p>
    <w:p w14:paraId="633A2C21" w14:textId="77777777" w:rsidR="00D91EA0" w:rsidRDefault="00D91EA0" w:rsidP="00D91EA0">
      <w:pPr>
        <w:pStyle w:val="StandardWeb"/>
        <w:numPr>
          <w:ilvl w:val="0"/>
          <w:numId w:val="15"/>
        </w:numPr>
      </w:pPr>
      <w:r>
        <w:t>Information = strukturell (Relation, Richtung, Projektion).</w:t>
      </w:r>
    </w:p>
    <w:p w14:paraId="49BBE13A" w14:textId="77777777" w:rsidR="00D91EA0" w:rsidRDefault="00D91EA0" w:rsidP="00D91EA0">
      <w:pPr>
        <w:pStyle w:val="StandardWeb"/>
      </w:pPr>
      <w:r>
        <w:t xml:space="preserve">Nur durch Normierung wird das Beobachtungsdreieck zur </w:t>
      </w:r>
      <w:r>
        <w:rPr>
          <w:rStyle w:val="Fett"/>
        </w:rPr>
        <w:t>einheitlich interpretierbaren Erkenntniseinheit</w:t>
      </w:r>
      <w:r>
        <w:t>.</w:t>
      </w:r>
    </w:p>
    <w:p w14:paraId="47BC55D9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Zwei Beobachter empfangen das gleiche Signal mit unterschiedlicher Laufzeit. Nur durch Normierung zeigt sich, ob ihre strukturelle Wahrnehmung (nicht nur die Messung) identisch ist.</w:t>
      </w:r>
    </w:p>
    <w:p w14:paraId="1F362F44" w14:textId="77777777" w:rsidR="00D91EA0" w:rsidRDefault="00960A5B" w:rsidP="00D91EA0">
      <w:r>
        <w:pict w14:anchorId="705D7F57">
          <v:rect id="_x0000_i1029" style="width:0;height:1.5pt" o:hralign="center" o:hrstd="t" o:hr="t" fillcolor="#a0a0a0" stroked="f"/>
        </w:pict>
      </w:r>
    </w:p>
    <w:p w14:paraId="7CBFF77A" w14:textId="649D5619" w:rsidR="00D91EA0" w:rsidRDefault="00960A5B" w:rsidP="00D91EA0">
      <w:pPr>
        <w:pStyle w:val="berschrift2"/>
      </w:pPr>
      <w:r>
        <w:t>8.</w:t>
      </w:r>
      <w:r w:rsidR="00D91EA0">
        <w:t>5 Fazit: Die methodische Innovation</w:t>
      </w:r>
    </w:p>
    <w:p w14:paraId="6B85F0DD" w14:textId="77777777" w:rsidR="00D91EA0" w:rsidRDefault="00D91EA0" w:rsidP="00D91EA0">
      <w:pPr>
        <w:pStyle w:val="StandardWeb"/>
      </w:pPr>
      <w:r>
        <w:t>Diese Arbeit liefert mit dem normierten Beobachtungsdreieck:</w:t>
      </w:r>
    </w:p>
    <w:p w14:paraId="0C763DB5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 </w:t>
      </w:r>
      <w:r>
        <w:rPr>
          <w:rStyle w:val="Fett"/>
        </w:rPr>
        <w:t>neues theoretisches Modell</w:t>
      </w:r>
      <w:r>
        <w:t xml:space="preserve"> zur Raumkonstitution aus Signal und Projektion,</w:t>
      </w:r>
    </w:p>
    <w:p w14:paraId="2F2A0021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</w:t>
      </w:r>
      <w:r>
        <w:rPr>
          <w:rStyle w:val="Fett"/>
        </w:rPr>
        <w:t>formale Struktur</w:t>
      </w:r>
      <w:r>
        <w:t>, die algorithmisch verwertbar ist,</w:t>
      </w:r>
    </w:p>
    <w:p w14:paraId="7953AE61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</w:t>
      </w:r>
      <w:r>
        <w:rPr>
          <w:rStyle w:val="Fett"/>
        </w:rPr>
        <w:t>epistemisch begründete Normierung</w:t>
      </w:r>
      <w:r>
        <w:t>, die Vergleichbarkeit schafft,</w:t>
      </w:r>
    </w:p>
    <w:p w14:paraId="1A55A884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Brücke zwischen </w:t>
      </w:r>
      <w:r>
        <w:rPr>
          <w:rStyle w:val="Fett"/>
        </w:rPr>
        <w:t>geometrischer, technischer und erkenntnistheoretischer Perspektive</w:t>
      </w:r>
      <w:r>
        <w:t>.</w:t>
      </w:r>
    </w:p>
    <w:p w14:paraId="632E8B5F" w14:textId="77777777" w:rsidR="00D91EA0" w:rsidRDefault="00D91EA0" w:rsidP="00D91EA0">
      <w:pPr>
        <w:pStyle w:val="StandardWeb"/>
      </w:pPr>
      <w:r>
        <w:t xml:space="preserve">In Summe entsteht daraus ein </w:t>
      </w:r>
      <w:r>
        <w:rPr>
          <w:rStyle w:val="Fett"/>
        </w:rPr>
        <w:t>innovatives Rahmenmodell</w:t>
      </w:r>
      <w:r>
        <w:t>, das bisher getrennte Disziplinen integriert: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880"/>
      </w:tblGrid>
      <w:tr w:rsidR="00D91EA0" w14:paraId="7606F23D" w14:textId="77777777" w:rsidTr="00D91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596EE" w14:textId="77777777" w:rsidR="00D91EA0" w:rsidRDefault="00D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Perspektive</w:t>
            </w:r>
          </w:p>
        </w:tc>
        <w:tc>
          <w:tcPr>
            <w:tcW w:w="0" w:type="auto"/>
            <w:vAlign w:val="center"/>
            <w:hideMark/>
          </w:tcPr>
          <w:p w14:paraId="6A9BCCA6" w14:textId="77777777" w:rsidR="00D91EA0" w:rsidRDefault="00D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Beitrag</w:t>
            </w:r>
          </w:p>
        </w:tc>
      </w:tr>
      <w:tr w:rsidR="00D91EA0" w14:paraId="0CE7AE3C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0A9F" w14:textId="77777777" w:rsidR="00D91EA0" w:rsidRDefault="00D91EA0">
            <w:r>
              <w:t>Geometrie</w:t>
            </w:r>
          </w:p>
        </w:tc>
        <w:tc>
          <w:tcPr>
            <w:tcW w:w="0" w:type="auto"/>
            <w:vAlign w:val="center"/>
            <w:hideMark/>
          </w:tcPr>
          <w:p w14:paraId="150C1E00" w14:textId="77777777" w:rsidR="00D91EA0" w:rsidRDefault="00D91EA0">
            <w:r>
              <w:t>Minimale projektive Fläche</w:t>
            </w:r>
          </w:p>
        </w:tc>
      </w:tr>
      <w:tr w:rsidR="00D91EA0" w14:paraId="4FBB5326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EB2C" w14:textId="77777777" w:rsidR="00D91EA0" w:rsidRDefault="00D91EA0">
            <w:r>
              <w:t>Physik</w:t>
            </w:r>
          </w:p>
        </w:tc>
        <w:tc>
          <w:tcPr>
            <w:tcW w:w="0" w:type="auto"/>
            <w:vAlign w:val="center"/>
            <w:hideMark/>
          </w:tcPr>
          <w:p w14:paraId="2A31B361" w14:textId="77777777" w:rsidR="00D91EA0" w:rsidRDefault="00D91EA0">
            <w:r>
              <w:t>Signallaufzeit als Raumoperator</w:t>
            </w:r>
          </w:p>
        </w:tc>
      </w:tr>
      <w:tr w:rsidR="00D91EA0" w14:paraId="3CFA0FF2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A82" w14:textId="77777777" w:rsidR="00D91EA0" w:rsidRDefault="00D91EA0">
            <w:r>
              <w:t>Technik</w:t>
            </w:r>
          </w:p>
        </w:tc>
        <w:tc>
          <w:tcPr>
            <w:tcW w:w="0" w:type="auto"/>
            <w:vAlign w:val="center"/>
            <w:hideMark/>
          </w:tcPr>
          <w:p w14:paraId="060D080A" w14:textId="77777777" w:rsidR="00D91EA0" w:rsidRDefault="00D91EA0">
            <w:proofErr w:type="spellStart"/>
            <w:r>
              <w:t>Normierbares</w:t>
            </w:r>
            <w:proofErr w:type="spellEnd"/>
            <w:r>
              <w:t xml:space="preserve"> Messmodul</w:t>
            </w:r>
          </w:p>
        </w:tc>
      </w:tr>
      <w:tr w:rsidR="00D91EA0" w14:paraId="28E6F4F0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861D" w14:textId="77777777" w:rsidR="00D91EA0" w:rsidRDefault="00D91EA0">
            <w:r>
              <w:t>Informatik</w:t>
            </w:r>
          </w:p>
        </w:tc>
        <w:tc>
          <w:tcPr>
            <w:tcW w:w="0" w:type="auto"/>
            <w:vAlign w:val="center"/>
            <w:hideMark/>
          </w:tcPr>
          <w:p w14:paraId="731FE026" w14:textId="77777777" w:rsidR="00D91EA0" w:rsidRDefault="00D91EA0">
            <w:r>
              <w:t>Vergleichbare Eingabestrukturen für Algorithmen</w:t>
            </w:r>
          </w:p>
        </w:tc>
      </w:tr>
      <w:tr w:rsidR="00D91EA0" w14:paraId="070500DC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5AA7" w14:textId="77777777" w:rsidR="00D91EA0" w:rsidRDefault="00D91EA0">
            <w:r>
              <w:t>Erkenntnistheorie</w:t>
            </w:r>
          </w:p>
        </w:tc>
        <w:tc>
          <w:tcPr>
            <w:tcW w:w="0" w:type="auto"/>
            <w:vAlign w:val="center"/>
            <w:hideMark/>
          </w:tcPr>
          <w:p w14:paraId="62558CBC" w14:textId="77777777" w:rsidR="00D91EA0" w:rsidRDefault="00D91EA0">
            <w:r>
              <w:t>Sichtbarkeit als strukturierte Differenz</w:t>
            </w:r>
          </w:p>
        </w:tc>
      </w:tr>
    </w:tbl>
    <w:p w14:paraId="65FEB55C" w14:textId="77777777" w:rsidR="00D91EA0" w:rsidRDefault="00D91EA0" w:rsidP="00D91EA0">
      <w:pPr>
        <w:pStyle w:val="StandardWeb"/>
      </w:pPr>
      <w:r>
        <w:t xml:space="preserve">Diese Innovation besteht nicht nur in einem neuen Ergebnis – sondern in einem </w:t>
      </w:r>
      <w:r>
        <w:rPr>
          <w:rStyle w:val="Fett"/>
        </w:rPr>
        <w:t>neuen methodischen Zugang zur Raumstruktur</w:t>
      </w:r>
      <w:r>
        <w:t>, der sowohl theoretisch tief fundiert als auch praktisch umsetzbar ist.</w:t>
      </w:r>
    </w:p>
    <w:p w14:paraId="0C927D0F" w14:textId="407935D9" w:rsidR="00874BAF" w:rsidRDefault="00874BAF" w:rsidP="00D91EA0">
      <w:pPr>
        <w:pStyle w:val="berschrift2"/>
      </w:pPr>
    </w:p>
    <w:sectPr w:rsidR="00874B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018"/>
    <w:multiLevelType w:val="multilevel"/>
    <w:tmpl w:val="F630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486"/>
    <w:multiLevelType w:val="multilevel"/>
    <w:tmpl w:val="DAA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A82"/>
    <w:multiLevelType w:val="multilevel"/>
    <w:tmpl w:val="393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5AD8"/>
    <w:multiLevelType w:val="multilevel"/>
    <w:tmpl w:val="A14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5370"/>
    <w:multiLevelType w:val="multilevel"/>
    <w:tmpl w:val="8B2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3E39"/>
    <w:multiLevelType w:val="multilevel"/>
    <w:tmpl w:val="AC5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55A84"/>
    <w:multiLevelType w:val="multilevel"/>
    <w:tmpl w:val="801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437B3"/>
    <w:multiLevelType w:val="multilevel"/>
    <w:tmpl w:val="090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42DAC"/>
    <w:multiLevelType w:val="multilevel"/>
    <w:tmpl w:val="CAE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6327"/>
    <w:multiLevelType w:val="multilevel"/>
    <w:tmpl w:val="40C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1257E"/>
    <w:multiLevelType w:val="multilevel"/>
    <w:tmpl w:val="06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4BA2"/>
    <w:multiLevelType w:val="multilevel"/>
    <w:tmpl w:val="B19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770D2"/>
    <w:multiLevelType w:val="multilevel"/>
    <w:tmpl w:val="03B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91727"/>
    <w:multiLevelType w:val="multilevel"/>
    <w:tmpl w:val="BDF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003E3"/>
    <w:multiLevelType w:val="multilevel"/>
    <w:tmpl w:val="766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A63EC"/>
    <w:multiLevelType w:val="multilevel"/>
    <w:tmpl w:val="2EA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5"/>
  </w:num>
  <w:num w:numId="4">
    <w:abstractNumId w:val="3"/>
  </w:num>
  <w:num w:numId="5">
    <w:abstractNumId w:val="7"/>
  </w:num>
  <w:num w:numId="6">
    <w:abstractNumId w:val="14"/>
  </w:num>
  <w:num w:numId="7">
    <w:abstractNumId w:val="9"/>
  </w:num>
  <w:num w:numId="8">
    <w:abstractNumId w:val="4"/>
  </w:num>
  <w:num w:numId="9">
    <w:abstractNumId w:val="10"/>
  </w:num>
  <w:num w:numId="10">
    <w:abstractNumId w:val="8"/>
  </w:num>
  <w:num w:numId="11">
    <w:abstractNumId w:val="11"/>
  </w:num>
  <w:num w:numId="12">
    <w:abstractNumId w:val="1"/>
  </w:num>
  <w:num w:numId="13">
    <w:abstractNumId w:val="2"/>
  </w:num>
  <w:num w:numId="14">
    <w:abstractNumId w:val="0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AC"/>
    <w:rsid w:val="00874BAF"/>
    <w:rsid w:val="008871CF"/>
    <w:rsid w:val="00960A5B"/>
    <w:rsid w:val="009D39AC"/>
    <w:rsid w:val="00D91EA0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BCE8"/>
  <w15:chartTrackingRefBased/>
  <w15:docId w15:val="{15AF5696-8583-450D-9783-AEB67C18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39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D39A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9D39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D39A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D39A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D39AC"/>
    <w:pPr>
      <w:spacing w:before="100" w:beforeAutospacing="1" w:after="100" w:afterAutospacing="1"/>
    </w:pPr>
  </w:style>
  <w:style w:type="character" w:styleId="Hervorhebung">
    <w:name w:val="Emphasis"/>
    <w:basedOn w:val="Absatz-Standardschriftart"/>
    <w:uiPriority w:val="20"/>
    <w:qFormat/>
    <w:rsid w:val="009D39AC"/>
    <w:rPr>
      <w:i/>
      <w:iCs/>
    </w:rPr>
  </w:style>
  <w:style w:type="character" w:styleId="Fett">
    <w:name w:val="Strong"/>
    <w:basedOn w:val="Absatz-Standardschriftart"/>
    <w:uiPriority w:val="22"/>
    <w:qFormat/>
    <w:rsid w:val="009D39AC"/>
    <w:rPr>
      <w:b/>
      <w:bCs/>
    </w:rPr>
  </w:style>
  <w:style w:type="character" w:customStyle="1" w:styleId="katex">
    <w:name w:val="katex"/>
    <w:basedOn w:val="Absatz-Standardschriftart"/>
    <w:rsid w:val="009D3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817</Words>
  <Characters>5150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2025-05-25T09:50:00Z</dcterms:created>
  <dcterms:modified xsi:type="dcterms:W3CDTF">2025-05-25T09:50:00Z</dcterms:modified>
</cp:coreProperties>
</file>