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7EAE" w:rsidRPr="003C7EAE" w:rsidRDefault="003C7EAE" w:rsidP="003C7EAE">
      <w:pPr>
        <w:spacing w:before="100" w:beforeAutospacing="1" w:after="100" w:afterAutospacing="1"/>
        <w:outlineLvl w:val="0"/>
        <w:rPr>
          <w:rFonts w:ascii="Times New Roman" w:hAnsi="Times New Roman" w:cs="Times New Roman"/>
          <w:b/>
          <w:kern w:val="36"/>
          <w:sz w:val="48"/>
          <w:szCs w:val="48"/>
        </w:rPr>
      </w:pPr>
      <w:r w:rsidRPr="003C7EAE">
        <w:rPr>
          <w:rFonts w:ascii="Times New Roman" w:hAnsi="Times New Roman" w:cs="Times New Roman"/>
          <w:b/>
          <w:kern w:val="36"/>
          <w:sz w:val="48"/>
          <w:szCs w:val="48"/>
        </w:rPr>
        <w:t>Anlage M3 – Matrizen, Basiswechsel und Invarianten</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M3.0 Aufgabe und Abgrenzung der Anlage</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Mit den mengentheoretischen Grundlagen aus M1 und der algebraischen Vektorraumstruktur aus M2 ist der Rahmen vorhanden, in dem lineare Operatoren, ihre Matrixdarstellungen und Änderungen der Koordinatenbasis präzise voneinander getrennt werden können. Anlage M3 bündelt diejenigen Rechen- und Anschauungsdetails, die für dieses Verständnis wichtig sind, im Haupttext jedoch nicht als eigenständige Stationen des mathematischen Argumentationspfads benötigt werden.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Dabei halte ich drei Ebenen auseinander. Ein linearer Operator ist zunächst ein mathematisches Objekt, das auf einem Vektorraum wirkt. Eine Matrix ist eine Darstellung dieses Operators bezüglich einer gewählten Basis. Ein Basiswechsel verändert deshalb grundsätzlich die Koordinaten und die Matrixdarstellung, nicht aber den zugrunde liegenden Vektor oder Operator. Gerade aus dieser Trennung ergibt sich anschließend die Frage nach invarianten Eigenschaften, die trotz einer veränderten Darstellung erhalten bleiben.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Für Matrixdarstellungen, lineare Abbildungen und den algebraischen Rahmen des Basiswechsels stütze ich mich auf Lang. </w:t>
      </w:r>
      <w:r w:rsidR="00437508">
        <w:rPr>
          <w:rFonts w:ascii="Times New Roman" w:hAnsi="Times New Roman" w:cs="Times New Roman"/>
          <w:bCs w:val="0"/>
        </w:rPr>
        <w:t>(</w:t>
      </w:r>
      <w:r w:rsidRPr="003C7EAE">
        <w:rPr>
          <w:rFonts w:ascii="Times New Roman" w:hAnsi="Times New Roman" w:cs="Times New Roman"/>
          <w:bCs w:val="0"/>
        </w:rPr>
        <w:t xml:space="preserve">Serge Lang, Springer, 2002, „Matrices and Linear Maps“, S. 503–552, Algebra, </w:t>
      </w:r>
      <w:proofErr w:type="spellStart"/>
      <w:r w:rsidRPr="003C7EAE">
        <w:rPr>
          <w:rFonts w:ascii="Times New Roman" w:hAnsi="Times New Roman" w:cs="Times New Roman"/>
          <w:bCs w:val="0"/>
        </w:rPr>
        <w:t>Revised</w:t>
      </w:r>
      <w:proofErr w:type="spellEnd"/>
      <w:r w:rsidRPr="003C7EAE">
        <w:rPr>
          <w:rFonts w:ascii="Times New Roman" w:hAnsi="Times New Roman" w:cs="Times New Roman"/>
          <w:bCs w:val="0"/>
        </w:rPr>
        <w:t xml:space="preserve"> Third Edition, New </w:t>
      </w:r>
      <w:proofErr w:type="gramStart"/>
      <w:r w:rsidRPr="003C7EAE">
        <w:rPr>
          <w:rFonts w:ascii="Times New Roman" w:hAnsi="Times New Roman" w:cs="Times New Roman"/>
          <w:bCs w:val="0"/>
        </w:rPr>
        <w:t>York</w:t>
      </w:r>
      <w:r w:rsidR="00437508">
        <w:rPr>
          <w:rFonts w:ascii="Times New Roman" w:hAnsi="Times New Roman" w:cs="Times New Roman"/>
          <w:bCs w:val="0"/>
        </w:rPr>
        <w:t>)[</w:t>
      </w:r>
      <w:proofErr w:type="gramEnd"/>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Strang behandelt die Matrix einer linearen Transformation, die Suche nach geeigneten Basen und die Determinante einschließlich ihrer geometrischen Bedeutung ausführlich. </w:t>
      </w:r>
      <w:r w:rsidR="00437508">
        <w:rPr>
          <w:rFonts w:ascii="Times New Roman" w:hAnsi="Times New Roman" w:cs="Times New Roman"/>
          <w:bCs w:val="0"/>
        </w:rPr>
        <w:t>(</w:t>
      </w:r>
      <w:r w:rsidRPr="003C7EAE">
        <w:rPr>
          <w:rFonts w:ascii="Times New Roman" w:hAnsi="Times New Roman" w:cs="Times New Roman"/>
          <w:bCs w:val="0"/>
        </w:rPr>
        <w:t xml:space="preserve">Gilbert Strang, Wellesley-Cambridge Press, 2016, §8.2 S. 411; §8.3 S. 421; Kapitel 5 S. 247 ff., insbesondere §5.1–§5.3, </w:t>
      </w:r>
      <w:proofErr w:type="spellStart"/>
      <w:r w:rsidRPr="003C7EAE">
        <w:rPr>
          <w:rFonts w:ascii="Times New Roman" w:hAnsi="Times New Roman" w:cs="Times New Roman"/>
          <w:bCs w:val="0"/>
        </w:rPr>
        <w:t>Introduction</w:t>
      </w:r>
      <w:proofErr w:type="spellEnd"/>
      <w:r w:rsidRPr="003C7EAE">
        <w:rPr>
          <w:rFonts w:ascii="Times New Roman" w:hAnsi="Times New Roman" w:cs="Times New Roman"/>
          <w:bCs w:val="0"/>
        </w:rPr>
        <w:t xml:space="preserve"> </w:t>
      </w:r>
      <w:proofErr w:type="spellStart"/>
      <w:r w:rsidRPr="003C7EAE">
        <w:rPr>
          <w:rFonts w:ascii="Times New Roman" w:hAnsi="Times New Roman" w:cs="Times New Roman"/>
          <w:bCs w:val="0"/>
        </w:rPr>
        <w:t>to</w:t>
      </w:r>
      <w:proofErr w:type="spellEnd"/>
      <w:r w:rsidRPr="003C7EAE">
        <w:rPr>
          <w:rFonts w:ascii="Times New Roman" w:hAnsi="Times New Roman" w:cs="Times New Roman"/>
          <w:bCs w:val="0"/>
        </w:rPr>
        <w:t xml:space="preserve"> Linear Algebra, </w:t>
      </w:r>
      <w:proofErr w:type="spellStart"/>
      <w:r w:rsidRPr="003C7EAE">
        <w:rPr>
          <w:rFonts w:ascii="Times New Roman" w:hAnsi="Times New Roman" w:cs="Times New Roman"/>
          <w:bCs w:val="0"/>
        </w:rPr>
        <w:t>Fifth</w:t>
      </w:r>
      <w:proofErr w:type="spellEnd"/>
      <w:r w:rsidRPr="003C7EAE">
        <w:rPr>
          <w:rFonts w:ascii="Times New Roman" w:hAnsi="Times New Roman" w:cs="Times New Roman"/>
          <w:bCs w:val="0"/>
        </w:rPr>
        <w:t xml:space="preserve"> Edition, Wellesley, </w:t>
      </w:r>
      <w:proofErr w:type="gramStart"/>
      <w:r w:rsidRPr="003C7EAE">
        <w:rPr>
          <w:rFonts w:ascii="Times New Roman" w:hAnsi="Times New Roman" w:cs="Times New Roman"/>
          <w:bCs w:val="0"/>
        </w:rPr>
        <w:t>Massachusetts</w:t>
      </w:r>
      <w:r w:rsidR="00437508">
        <w:rPr>
          <w:rFonts w:ascii="Times New Roman" w:hAnsi="Times New Roman" w:cs="Times New Roman"/>
          <w:bCs w:val="0"/>
        </w:rPr>
        <w:t>)[</w:t>
      </w:r>
      <w:proofErr w:type="gramEnd"/>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proofErr w:type="spellStart"/>
      <w:r w:rsidRPr="003C7EAE">
        <w:rPr>
          <w:rFonts w:ascii="Times New Roman" w:hAnsi="Times New Roman" w:cs="Times New Roman"/>
          <w:bCs w:val="0"/>
        </w:rPr>
        <w:t>Halmos</w:t>
      </w:r>
      <w:proofErr w:type="spellEnd"/>
      <w:r w:rsidRPr="003C7EAE">
        <w:rPr>
          <w:rFonts w:ascii="Times New Roman" w:hAnsi="Times New Roman" w:cs="Times New Roman"/>
          <w:bCs w:val="0"/>
        </w:rPr>
        <w:t xml:space="preserve"> führt den Basiswechsel und Determinanten innerhalb der Theorie </w:t>
      </w:r>
      <w:proofErr w:type="spellStart"/>
      <w:r w:rsidRPr="003C7EAE">
        <w:rPr>
          <w:rFonts w:ascii="Times New Roman" w:hAnsi="Times New Roman" w:cs="Times New Roman"/>
          <w:bCs w:val="0"/>
        </w:rPr>
        <w:t>endlichdimensionaler</w:t>
      </w:r>
      <w:proofErr w:type="spellEnd"/>
      <w:r w:rsidRPr="003C7EAE">
        <w:rPr>
          <w:rFonts w:ascii="Times New Roman" w:hAnsi="Times New Roman" w:cs="Times New Roman"/>
          <w:bCs w:val="0"/>
        </w:rPr>
        <w:t xml:space="preserve"> Vektorräume und linearer Transformationen zusammen. </w:t>
      </w:r>
      <w:r w:rsidR="00437508">
        <w:rPr>
          <w:rFonts w:ascii="Times New Roman" w:hAnsi="Times New Roman" w:cs="Times New Roman"/>
          <w:bCs w:val="0"/>
        </w:rPr>
        <w:t>(</w:t>
      </w:r>
      <w:r w:rsidRPr="003C7EAE">
        <w:rPr>
          <w:rFonts w:ascii="Times New Roman" w:hAnsi="Times New Roman" w:cs="Times New Roman"/>
          <w:bCs w:val="0"/>
        </w:rPr>
        <w:t xml:space="preserve">Paul R. </w:t>
      </w:r>
      <w:proofErr w:type="spellStart"/>
      <w:r w:rsidRPr="003C7EAE">
        <w:rPr>
          <w:rFonts w:ascii="Times New Roman" w:hAnsi="Times New Roman" w:cs="Times New Roman"/>
          <w:bCs w:val="0"/>
        </w:rPr>
        <w:t>Halmos</w:t>
      </w:r>
      <w:proofErr w:type="spellEnd"/>
      <w:r w:rsidRPr="003C7EAE">
        <w:rPr>
          <w:rFonts w:ascii="Times New Roman" w:hAnsi="Times New Roman" w:cs="Times New Roman"/>
          <w:bCs w:val="0"/>
        </w:rPr>
        <w:t xml:space="preserve">, Springer, 1974, „Change </w:t>
      </w:r>
      <w:proofErr w:type="spellStart"/>
      <w:r w:rsidRPr="003C7EAE">
        <w:rPr>
          <w:rFonts w:ascii="Times New Roman" w:hAnsi="Times New Roman" w:cs="Times New Roman"/>
          <w:bCs w:val="0"/>
        </w:rPr>
        <w:t>of</w:t>
      </w:r>
      <w:proofErr w:type="spellEnd"/>
      <w:r w:rsidRPr="003C7EAE">
        <w:rPr>
          <w:rFonts w:ascii="Times New Roman" w:hAnsi="Times New Roman" w:cs="Times New Roman"/>
          <w:bCs w:val="0"/>
        </w:rPr>
        <w:t xml:space="preserve"> </w:t>
      </w:r>
      <w:proofErr w:type="spellStart"/>
      <w:r w:rsidRPr="003C7EAE">
        <w:rPr>
          <w:rFonts w:ascii="Times New Roman" w:hAnsi="Times New Roman" w:cs="Times New Roman"/>
          <w:bCs w:val="0"/>
        </w:rPr>
        <w:t>basis</w:t>
      </w:r>
      <w:proofErr w:type="spellEnd"/>
      <w:r w:rsidRPr="003C7EAE">
        <w:rPr>
          <w:rFonts w:ascii="Times New Roman" w:hAnsi="Times New Roman" w:cs="Times New Roman"/>
          <w:bCs w:val="0"/>
        </w:rPr>
        <w:t>“, S. 63; „</w:t>
      </w:r>
      <w:proofErr w:type="spellStart"/>
      <w:r w:rsidRPr="003C7EAE">
        <w:rPr>
          <w:rFonts w:ascii="Times New Roman" w:hAnsi="Times New Roman" w:cs="Times New Roman"/>
          <w:bCs w:val="0"/>
        </w:rPr>
        <w:t>Determinants</w:t>
      </w:r>
      <w:proofErr w:type="spellEnd"/>
      <w:r w:rsidRPr="003C7EAE">
        <w:rPr>
          <w:rFonts w:ascii="Times New Roman" w:hAnsi="Times New Roman" w:cs="Times New Roman"/>
          <w:bCs w:val="0"/>
        </w:rPr>
        <w:t xml:space="preserve"> and </w:t>
      </w:r>
      <w:proofErr w:type="spellStart"/>
      <w:r w:rsidRPr="003C7EAE">
        <w:rPr>
          <w:rFonts w:ascii="Times New Roman" w:hAnsi="Times New Roman" w:cs="Times New Roman"/>
          <w:bCs w:val="0"/>
        </w:rPr>
        <w:t>the</w:t>
      </w:r>
      <w:proofErr w:type="spellEnd"/>
      <w:r w:rsidRPr="003C7EAE">
        <w:rPr>
          <w:rFonts w:ascii="Times New Roman" w:hAnsi="Times New Roman" w:cs="Times New Roman"/>
          <w:bCs w:val="0"/>
        </w:rPr>
        <w:t xml:space="preserve"> </w:t>
      </w:r>
      <w:proofErr w:type="spellStart"/>
      <w:r w:rsidRPr="003C7EAE">
        <w:rPr>
          <w:rFonts w:ascii="Times New Roman" w:hAnsi="Times New Roman" w:cs="Times New Roman"/>
          <w:bCs w:val="0"/>
        </w:rPr>
        <w:t>spectral</w:t>
      </w:r>
      <w:proofErr w:type="spellEnd"/>
      <w:r w:rsidRPr="003C7EAE">
        <w:rPr>
          <w:rFonts w:ascii="Times New Roman" w:hAnsi="Times New Roman" w:cs="Times New Roman"/>
          <w:bCs w:val="0"/>
        </w:rPr>
        <w:t xml:space="preserve"> </w:t>
      </w:r>
      <w:proofErr w:type="spellStart"/>
      <w:r w:rsidRPr="003C7EAE">
        <w:rPr>
          <w:rFonts w:ascii="Times New Roman" w:hAnsi="Times New Roman" w:cs="Times New Roman"/>
          <w:bCs w:val="0"/>
        </w:rPr>
        <w:t>terminology</w:t>
      </w:r>
      <w:proofErr w:type="spellEnd"/>
      <w:r w:rsidRPr="003C7EAE">
        <w:rPr>
          <w:rFonts w:ascii="Times New Roman" w:hAnsi="Times New Roman" w:cs="Times New Roman"/>
          <w:bCs w:val="0"/>
        </w:rPr>
        <w:t xml:space="preserve">“, S. 77, Finite-Dimensional Vector Spaces, New </w:t>
      </w:r>
      <w:proofErr w:type="gramStart"/>
      <w:r w:rsidRPr="003C7EAE">
        <w:rPr>
          <w:rFonts w:ascii="Times New Roman" w:hAnsi="Times New Roman" w:cs="Times New Roman"/>
          <w:bCs w:val="0"/>
        </w:rPr>
        <w:t>York</w:t>
      </w:r>
      <w:r w:rsidR="00437508">
        <w:rPr>
          <w:rFonts w:ascii="Times New Roman" w:hAnsi="Times New Roman" w:cs="Times New Roman"/>
          <w:bCs w:val="0"/>
        </w:rPr>
        <w:t>)[</w:t>
      </w:r>
      <w:proofErr w:type="gramEnd"/>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Das verbindliche Anlageninventar enthält für M3 genau 14 ausgelagerte Gleichungsobjekte. Die kanonischen Beziehungen, die für den Hauptpfad von Kapitel 3.2 erforderlich sind, verbleiben dort. M3 vertieft insbesondere Operatorverkettung, Identität, die elementare Eigenwertbeziehung, die Konstruktion und ein Beispiel des Basiswechsels sowie konkrete </w:t>
      </w:r>
      <w:proofErr w:type="spellStart"/>
      <w:r w:rsidRPr="003C7EAE">
        <w:rPr>
          <w:rFonts w:ascii="Times New Roman" w:hAnsi="Times New Roman" w:cs="Times New Roman"/>
          <w:bCs w:val="0"/>
        </w:rPr>
        <w:t>Determinantenrechnungen</w:t>
      </w:r>
      <w:proofErr w:type="spellEnd"/>
      <w:r w:rsidRPr="003C7EAE">
        <w:rPr>
          <w:rFonts w:ascii="Times New Roman" w:hAnsi="Times New Roman" w:cs="Times New Roman"/>
          <w:bCs w:val="0"/>
        </w:rPr>
        <w:t>, Orientierung und Singularität.</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M3.1 Operatorverkettung und Identitätsoperator</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Operatoren können nacheinander auf Elemente desselben Vektorraums angewendet werden. Seien dazu </w:t>
      </w:r>
      <m:oMath>
        <m:r>
          <w:rPr>
            <w:rFonts w:ascii="Cambria Math" w:hAnsi="Cambria Math" w:cs="Times New Roman"/>
          </w:rPr>
          <m:t xml:space="preserve">A,B:V </m:t>
        </m:r>
        <m:r>
          <m:rPr>
            <m:sty m:val="p"/>
          </m:rPr>
          <w:rPr>
            <w:rFonts w:ascii="Cambria Math" w:hAnsi="Cambria Math" w:cs="Times New Roman"/>
          </w:rPr>
          <m:t>→</m:t>
        </m:r>
        <m:r>
          <w:rPr>
            <w:rFonts w:ascii="Cambria Math" w:hAnsi="Cambria Math" w:cs="Times New Roman"/>
          </w:rPr>
          <m:t>V</m:t>
        </m:r>
      </m:oMath>
      <w:r w:rsidRPr="003C7EAE">
        <w:rPr>
          <w:rFonts w:ascii="Times New Roman" w:hAnsi="Times New Roman" w:cs="Times New Roman"/>
          <w:bCs w:val="0"/>
        </w:rPr>
        <w:t xml:space="preserve"> zwei lineare Operatoren und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oMath>
      <w:r w:rsidRPr="003C7EAE">
        <w:rPr>
          <w:rFonts w:ascii="Times New Roman" w:hAnsi="Times New Roman" w:cs="Times New Roman"/>
          <w:bCs w:val="0"/>
        </w:rPr>
        <w:t xml:space="preserve">. Wird zunächst </w:t>
      </w:r>
      <m:oMath>
        <m:r>
          <w:rPr>
            <w:rFonts w:ascii="Cambria Math" w:hAnsi="Cambria Math" w:cs="Times New Roman"/>
          </w:rPr>
          <m:t>A</m:t>
        </m:r>
      </m:oMath>
      <w:r w:rsidRPr="003C7EAE">
        <w:rPr>
          <w:rFonts w:ascii="Times New Roman" w:hAnsi="Times New Roman" w:cs="Times New Roman"/>
          <w:bCs w:val="0"/>
        </w:rPr>
        <w:t xml:space="preserve"> und anschließend </w:t>
      </w:r>
      <m:oMath>
        <m:r>
          <w:rPr>
            <w:rFonts w:ascii="Cambria Math" w:hAnsi="Cambria Math" w:cs="Times New Roman"/>
          </w:rPr>
          <m:t>B</m:t>
        </m:r>
      </m:oMath>
      <w:r w:rsidRPr="003C7EAE">
        <w:rPr>
          <w:rFonts w:ascii="Times New Roman" w:hAnsi="Times New Roman" w:cs="Times New Roman"/>
          <w:bCs w:val="0"/>
        </w:rPr>
        <w:t xml:space="preserve"> angewendet, beschreibt die Verkettung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oMath>
      <w:r w:rsidRPr="003C7EAE">
        <w:rPr>
          <w:rFonts w:ascii="Times New Roman" w:hAnsi="Times New Roman" w:cs="Times New Roman"/>
          <w:bCs w:val="0"/>
        </w:rPr>
        <w:t xml:space="preserve"> genau diese Reihenfolge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(M3.1) – Verkettung zweier Operatoren</w:t>
      </w:r>
    </w:p>
    <w:p w:rsidR="003C7EAE" w:rsidRPr="003C7EAE" w:rsidRDefault="003C7EAE" w:rsidP="003C7EAE">
      <w:pPr>
        <w:pStyle w:val="Formel"/>
        <w:rPr>
          <w:rFonts w:ascii="Times New Roman" w:hAnsi="Times New Roman"/>
        </w:rPr>
      </w:pPr>
      <m:oMath>
        <m:r>
          <m:t>A,B:V→V, </m:t>
        </m:r>
        <m:d>
          <m:dPr>
            <m:ctrlPr/>
          </m:dPr>
          <m:e>
            <m:r>
              <m:t>B∘A</m:t>
            </m:r>
          </m:e>
        </m:d>
        <m:d>
          <m:dPr>
            <m:ctrlPr/>
          </m:dPr>
          <m:e>
            <m:r>
              <m:t>x</m:t>
            </m:r>
          </m:e>
        </m:d>
        <m:r>
          <m:t>=B</m:t>
        </m:r>
        <m:d>
          <m:dPr>
            <m:ctrlPr/>
          </m:dPr>
          <m:e>
            <m:r>
              <m:t>A</m:t>
            </m:r>
            <m:d>
              <m:dPr>
                <m:ctrlPr/>
              </m:dPr>
              <m:e>
                <m:r>
                  <m:t>x</m:t>
                </m:r>
              </m:e>
            </m:d>
          </m:e>
        </m:d>
      </m:oMath>
      <w:r>
        <w:rPr>
          <w:rFonts w:ascii="Times New Roman" w:hAnsi="Times New Roman"/>
        </w:rPr>
        <w:t xml:space="preserve"> </w:t>
      </w:r>
      <w:r>
        <w:rPr>
          <w:rFonts w:ascii="Times New Roman" w:hAnsi="Times New Roman"/>
        </w:rPr>
        <w:tab/>
        <w:t>(</w:t>
      </w:r>
      <w:r w:rsidRPr="003C7EAE">
        <w:rPr>
          <w:rFonts w:ascii="Times New Roman" w:hAnsi="Times New Roman"/>
        </w:rPr>
        <w:t>M3.1</w:t>
      </w:r>
      <w:r>
        <w:rPr>
          <w:rFonts w:ascii="Times New Roman" w:hAnsi="Times New Roman"/>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lastRenderedPageBreak/>
        <w:t xml:space="preserve">Der importierte </w:t>
      </w:r>
      <w:proofErr w:type="spellStart"/>
      <w:r w:rsidRPr="003C7EAE">
        <w:rPr>
          <w:rFonts w:ascii="Times New Roman" w:hAnsi="Times New Roman" w:cs="Times New Roman"/>
          <w:bCs w:val="0"/>
        </w:rPr>
        <w:t>Quellpayload</w:t>
      </w:r>
      <w:proofErr w:type="spellEnd"/>
      <w:r w:rsidRPr="003C7EAE">
        <w:rPr>
          <w:rFonts w:ascii="Times New Roman" w:hAnsi="Times New Roman" w:cs="Times New Roman"/>
          <w:bCs w:val="0"/>
        </w:rPr>
        <w:t xml:space="preserve"> zu dieser Beziehung ist technisch beschädigt: Er wiederholt die Signatur von </w:t>
      </w:r>
      <m:oMath>
        <m:r>
          <w:rPr>
            <w:rFonts w:ascii="Cambria Math" w:hAnsi="Cambria Math" w:cs="Times New Roman"/>
          </w:rPr>
          <m:t>A</m:t>
        </m:r>
      </m:oMath>
      <w:r w:rsidRPr="003C7EAE">
        <w:rPr>
          <w:rFonts w:ascii="Times New Roman" w:hAnsi="Times New Roman" w:cs="Times New Roman"/>
          <w:bCs w:val="0"/>
        </w:rPr>
        <w:t xml:space="preserve">, lässt die Signatur von </w:t>
      </w:r>
      <m:oMath>
        <m:r>
          <w:rPr>
            <w:rFonts w:ascii="Cambria Math" w:hAnsi="Cambria Math" w:cs="Times New Roman"/>
          </w:rPr>
          <m:t>B</m:t>
        </m:r>
      </m:oMath>
      <w:r w:rsidRPr="003C7EAE">
        <w:rPr>
          <w:rFonts w:ascii="Times New Roman" w:hAnsi="Times New Roman" w:cs="Times New Roman"/>
          <w:bCs w:val="0"/>
        </w:rPr>
        <w:t xml:space="preserve"> aus und enthält die fehlerhafte Zuordnung </w:t>
      </w:r>
      <m:oMath>
        <m:r>
          <w:rPr>
            <w:rFonts w:ascii="Cambria Math" w:hAnsi="Cambria Math" w:cs="Times New Roman"/>
          </w:rPr>
          <m:t>x=B</m:t>
        </m:r>
        <m:d>
          <m:dPr>
            <m:ctrlPr>
              <w:rPr>
                <w:rFonts w:ascii="Cambria Math" w:hAnsi="Cambria Math" w:cs="Times New Roman"/>
                <w:bCs w:val="0"/>
                <w:i/>
              </w:rPr>
            </m:ctrlPr>
          </m:dPr>
          <m:e>
            <m:r>
              <w:rPr>
                <w:rFonts w:ascii="Cambria Math" w:hAnsi="Cambria Math" w:cs="Times New Roman"/>
              </w:rPr>
              <m:t>A</m:t>
            </m:r>
            <m:d>
              <m:dPr>
                <m:ctrlPr>
                  <w:rPr>
                    <w:rFonts w:ascii="Cambria Math" w:hAnsi="Cambria Math" w:cs="Times New Roman"/>
                    <w:bCs w:val="0"/>
                    <w:i/>
                  </w:rPr>
                </m:ctrlPr>
              </m:dPr>
              <m:e>
                <m:r>
                  <w:rPr>
                    <w:rFonts w:ascii="Cambria Math" w:hAnsi="Cambria Math" w:cs="Times New Roman"/>
                  </w:rPr>
                  <m:t>x</m:t>
                </m:r>
              </m:e>
            </m:d>
          </m:e>
        </m:d>
      </m:oMath>
      <w:r w:rsidRPr="003C7EAE">
        <w:rPr>
          <w:rFonts w:ascii="Times New Roman" w:hAnsi="Times New Roman" w:cs="Times New Roman"/>
          <w:bCs w:val="0"/>
        </w:rPr>
        <w:t xml:space="preserve">. Die mathematisch konsistente Anlagenfassung schreibt deshalb die Wirkung der Verkettung als </w:t>
      </w:r>
      <m:oMath>
        <m:d>
          <m:dPr>
            <m:ctrlPr>
              <w:rPr>
                <w:rFonts w:ascii="Cambria Math" w:hAnsi="Cambria Math" w:cs="Times New Roman"/>
                <w:bCs w:val="0"/>
                <w:i/>
              </w:rPr>
            </m:ctrlPr>
          </m:dPr>
          <m:e>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e>
        </m:d>
        <m:d>
          <m:dPr>
            <m:ctrlPr>
              <w:rPr>
                <w:rFonts w:ascii="Cambria Math" w:hAnsi="Cambria Math" w:cs="Times New Roman"/>
                <w:bCs w:val="0"/>
                <w:i/>
              </w:rPr>
            </m:ctrlPr>
          </m:dPr>
          <m:e>
            <m:r>
              <w:rPr>
                <w:rFonts w:ascii="Cambria Math" w:hAnsi="Cambria Math" w:cs="Times New Roman"/>
              </w:rPr>
              <m:t>x</m:t>
            </m:r>
          </m:e>
        </m:d>
        <m:r>
          <w:rPr>
            <w:rFonts w:ascii="Cambria Math" w:hAnsi="Cambria Math" w:cs="Times New Roman"/>
          </w:rPr>
          <m:t>=B</m:t>
        </m:r>
        <m:d>
          <m:dPr>
            <m:ctrlPr>
              <w:rPr>
                <w:rFonts w:ascii="Cambria Math" w:hAnsi="Cambria Math" w:cs="Times New Roman"/>
                <w:bCs w:val="0"/>
                <w:i/>
              </w:rPr>
            </m:ctrlPr>
          </m:dPr>
          <m:e>
            <m:r>
              <w:rPr>
                <w:rFonts w:ascii="Cambria Math" w:hAnsi="Cambria Math" w:cs="Times New Roman"/>
              </w:rPr>
              <m:t>A</m:t>
            </m:r>
            <m:d>
              <m:dPr>
                <m:ctrlPr>
                  <w:rPr>
                    <w:rFonts w:ascii="Cambria Math" w:hAnsi="Cambria Math" w:cs="Times New Roman"/>
                    <w:bCs w:val="0"/>
                    <w:i/>
                  </w:rPr>
                </m:ctrlPr>
              </m:dPr>
              <m:e>
                <m:r>
                  <w:rPr>
                    <w:rFonts w:ascii="Cambria Math" w:hAnsi="Cambria Math" w:cs="Times New Roman"/>
                  </w:rPr>
                  <m:t>x</m:t>
                </m:r>
              </m:e>
            </m:d>
          </m:e>
        </m:d>
      </m:oMath>
      <w:r w:rsidRPr="003C7EAE">
        <w:rPr>
          <w:rFonts w:ascii="Times New Roman" w:hAnsi="Times New Roman" w:cs="Times New Roman"/>
          <w:bCs w:val="0"/>
        </w:rPr>
        <w:t>. Der Quellpayload selbst bleibt unverändert erhalten; die Korrektur wird ausschließlich in der redaktionellen Formel- und Word-</w:t>
      </w:r>
      <w:proofErr w:type="spellStart"/>
      <w:r w:rsidRPr="003C7EAE">
        <w:rPr>
          <w:rFonts w:ascii="Times New Roman" w:hAnsi="Times New Roman" w:cs="Times New Roman"/>
          <w:bCs w:val="0"/>
        </w:rPr>
        <w:t>LaTeX</w:t>
      </w:r>
      <w:proofErr w:type="spellEnd"/>
      <w:r w:rsidRPr="003C7EAE">
        <w:rPr>
          <w:rFonts w:ascii="Times New Roman" w:hAnsi="Times New Roman" w:cs="Times New Roman"/>
          <w:bCs w:val="0"/>
        </w:rPr>
        <w:t>-Schicht geführt.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 Reihenfolge zweier Operatoren kann für das Ergebnis wesentlich sein. Wenn beide Kompositionsrichtungen definiert sind, darf deshalb im Allgemeinen nicht vorausgesetzt werden, dass sie übereinstimmen.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(M3.2) – Nichtkommutativität der Operatorverkettung im Allgemeinen</w:t>
      </w:r>
    </w:p>
    <w:p w:rsidR="003C7EAE" w:rsidRPr="003C7EAE" w:rsidRDefault="003C7EAE" w:rsidP="003C7EAE">
      <w:pPr>
        <w:pStyle w:val="Formel"/>
        <w:rPr>
          <w:rFonts w:ascii="Times New Roman" w:hAnsi="Times New Roman"/>
        </w:rPr>
      </w:pPr>
      <m:oMath>
        <m:r>
          <m:t>B∘A≠A∘B</m:t>
        </m:r>
      </m:oMath>
      <w:r>
        <w:rPr>
          <w:rFonts w:ascii="Times New Roman" w:hAnsi="Times New Roman"/>
        </w:rPr>
        <w:t xml:space="preserve"> </w:t>
      </w:r>
      <w:r>
        <w:rPr>
          <w:rFonts w:ascii="Times New Roman" w:hAnsi="Times New Roman"/>
        </w:rPr>
        <w:tab/>
        <w:t>(M3.2)</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Gleichung (M3.2) ist ausdrücklich keine Behauptung, dass zwei konkrete Operatoren niemals kommutieren. Für bestimmte Operatorpaare kann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A=A</m:t>
        </m:r>
        <m:r>
          <m:rPr>
            <m:sty m:val="p"/>
          </m:rPr>
          <w:rPr>
            <w:rFonts w:ascii="Cambria Math" w:hAnsi="Cambria Math" w:cs="Times New Roman"/>
          </w:rPr>
          <m:t>∘</m:t>
        </m:r>
        <m:r>
          <w:rPr>
            <w:rFonts w:ascii="Cambria Math" w:hAnsi="Cambria Math" w:cs="Times New Roman"/>
          </w:rPr>
          <m:t>B</m:t>
        </m:r>
      </m:oMath>
      <w:r w:rsidRPr="003C7EAE">
        <w:rPr>
          <w:rFonts w:ascii="Times New Roman" w:hAnsi="Times New Roman" w:cs="Times New Roman"/>
          <w:bCs w:val="0"/>
        </w:rPr>
        <w:t xml:space="preserve"> gelten. Die Gleichung hält lediglich fest, dass Kommutativität keine allgemeine Eigenschaft der Operatorverkettung ist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Eine besondere Rolle übernimmt der Identitätsoperator. Er wirkt auf demselben Vektorraum und lässt jedes Element unverändert.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(M3.3) – Identitätsoperator</w:t>
      </w:r>
    </w:p>
    <w:p w:rsidR="003C7EAE" w:rsidRPr="003C7EAE" w:rsidRDefault="003C7EAE" w:rsidP="003C7EAE">
      <w:pPr>
        <w:pStyle w:val="Formel"/>
        <w:rPr>
          <w:rFonts w:ascii="Times New Roman" w:hAnsi="Times New Roman"/>
        </w:rPr>
      </w:pPr>
      <m:oMath>
        <m:r>
          <m:t>I:V→V, I</m:t>
        </m:r>
        <m:d>
          <m:dPr>
            <m:ctrlPr/>
          </m:dPr>
          <m:e>
            <m:r>
              <m:t>x</m:t>
            </m:r>
          </m:e>
        </m:d>
        <m:r>
          <m:t>=x ∀x∈V</m:t>
        </m:r>
      </m:oMath>
      <w:r>
        <w:rPr>
          <w:rFonts w:ascii="Times New Roman" w:hAnsi="Times New Roman"/>
        </w:rPr>
        <w:t xml:space="preserve"> </w:t>
      </w:r>
      <w:r>
        <w:rPr>
          <w:rFonts w:ascii="Times New Roman" w:hAnsi="Times New Roman"/>
        </w:rPr>
        <w:tab/>
        <w:t>(M3.3)</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Der Identitätsoperator ist damit nicht das Fehlen einer Operation. Er ist eine vollständig definierte lineare Abbildung. Bezüglich der Verkettung wirkt er als neutrales Element.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(M3.4) – Neutrale Wirkung des Identitätsoperators</w:t>
      </w:r>
    </w:p>
    <w:p w:rsidR="003C7EAE" w:rsidRPr="003C7EAE" w:rsidRDefault="003C7EAE" w:rsidP="003C7EAE">
      <w:pPr>
        <w:pStyle w:val="Formel"/>
        <w:rPr>
          <w:rFonts w:ascii="Times New Roman" w:hAnsi="Times New Roman"/>
        </w:rPr>
      </w:pPr>
      <m:oMath>
        <m:r>
          <m:t>I∘T=T∘I=T</m:t>
        </m:r>
      </m:oMath>
      <w:r>
        <w:rPr>
          <w:rFonts w:ascii="Times New Roman" w:hAnsi="Times New Roman"/>
        </w:rPr>
        <w:t xml:space="preserve"> </w:t>
      </w:r>
      <w:r>
        <w:rPr>
          <w:rFonts w:ascii="Times New Roman" w:hAnsi="Times New Roman"/>
        </w:rPr>
        <w:tab/>
        <w:t>(M3.4)</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Diese Beziehung ist später insbesondere für inverse Operatoren und Ähnlichkeitstransformationen wichtig. Sie zeigt zugleich, dass eine mathematische Operation vollständig bestimmt sein kann, ohne einen Vektor zu verändern.</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M3.2 Eigenwertbeziehung als Verbindung zwischen Operator und Matrixdarstellung</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Die Matrixdarstellung eines linearen Operators erlaubt es, besondere Wirkungsrichtungen algebraisch zu bestimmen. Ein </w:t>
      </w:r>
      <w:proofErr w:type="gramStart"/>
      <w:r w:rsidRPr="003C7EAE">
        <w:rPr>
          <w:rFonts w:ascii="Times New Roman" w:hAnsi="Times New Roman" w:cs="Times New Roman"/>
          <w:bCs w:val="0"/>
        </w:rPr>
        <w:t>von null verschiedener Vektor</w:t>
      </w:r>
      <w:proofErr w:type="gramEnd"/>
      <w:r w:rsidRPr="003C7EAE">
        <w:rPr>
          <w:rFonts w:ascii="Times New Roman" w:hAnsi="Times New Roman" w:cs="Times New Roman"/>
          <w:bCs w:val="0"/>
        </w:rPr>
        <w:t xml:space="preserve"> </w:t>
      </w:r>
      <m:oMath>
        <m:r>
          <w:rPr>
            <w:rFonts w:ascii="Cambria Math" w:hAnsi="Cambria Math" w:cs="Times New Roman"/>
          </w:rPr>
          <m:t>x</m:t>
        </m:r>
      </m:oMath>
      <w:r w:rsidRPr="003C7EAE">
        <w:rPr>
          <w:rFonts w:ascii="Times New Roman" w:hAnsi="Times New Roman" w:cs="Times New Roman"/>
          <w:bCs w:val="0"/>
        </w:rPr>
        <w:t xml:space="preserve"> ist ein Eigenvektor, wenn die Wirkung von </w:t>
      </w:r>
      <m:oMath>
        <m:r>
          <w:rPr>
            <w:rFonts w:ascii="Cambria Math" w:hAnsi="Cambria Math" w:cs="Times New Roman"/>
          </w:rPr>
          <m:t>A</m:t>
        </m:r>
      </m:oMath>
      <w:r w:rsidRPr="003C7EAE">
        <w:rPr>
          <w:rFonts w:ascii="Times New Roman" w:hAnsi="Times New Roman" w:cs="Times New Roman"/>
          <w:bCs w:val="0"/>
        </w:rPr>
        <w:t xml:space="preserve"> ihn lediglich mit einem Skalar </w:t>
      </w:r>
      <m:oMath>
        <m:r>
          <m:rPr>
            <m:sty m:val="p"/>
          </m:rPr>
          <w:rPr>
            <w:rFonts w:ascii="Cambria Math" w:hAnsi="Cambria Math" w:cs="Times New Roman"/>
          </w:rPr>
          <m:t>λ</m:t>
        </m:r>
      </m:oMath>
      <w:r w:rsidRPr="003C7EAE">
        <w:rPr>
          <w:rFonts w:ascii="Times New Roman" w:hAnsi="Times New Roman" w:cs="Times New Roman"/>
          <w:bCs w:val="0"/>
        </w:rPr>
        <w:t xml:space="preserve"> multipliziert. Die Richtungslinie bleibt dann erhalten; nur die skalare Gewichtung ändert sich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(M3.5) – Eigenwertbeziehung</w:t>
      </w:r>
    </w:p>
    <w:p w:rsidR="003C7EAE" w:rsidRPr="003C7EAE" w:rsidRDefault="003C7EAE" w:rsidP="003C7EAE">
      <w:pPr>
        <w:pStyle w:val="Formel"/>
        <w:rPr>
          <w:rFonts w:ascii="Times New Roman" w:hAnsi="Times New Roman"/>
        </w:rPr>
      </w:pPr>
      <m:oMath>
        <m:r>
          <w:lastRenderedPageBreak/>
          <m:t>Ax=λx,  x≠0</m:t>
        </m:r>
      </m:oMath>
      <w:r>
        <w:rPr>
          <w:rFonts w:ascii="Times New Roman" w:hAnsi="Times New Roman"/>
        </w:rPr>
        <w:t xml:space="preserve"> </w:t>
      </w:r>
      <w:r>
        <w:rPr>
          <w:rFonts w:ascii="Times New Roman" w:hAnsi="Times New Roman"/>
        </w:rPr>
        <w:tab/>
        <w:t>(M3.5)</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Im importierten Quelltext steht die Eigenwertbeziehung ohne eine zuverlässig erhaltene sichtbare Gleichungsnummer; das Repository kennzeichnet die Quellintegrität deshalb mit </w:t>
      </w:r>
      <w:proofErr w:type="spellStart"/>
      <w:r w:rsidRPr="003C7EAE">
        <w:rPr>
          <w:rFonts w:ascii="Courier New" w:hAnsi="Courier New" w:cs="Courier New"/>
          <w:bCs w:val="0"/>
          <w:sz w:val="20"/>
          <w:szCs w:val="20"/>
        </w:rPr>
        <w:t>number_missing</w:t>
      </w:r>
      <w:proofErr w:type="spellEnd"/>
      <w:r w:rsidRPr="003C7EAE">
        <w:rPr>
          <w:rFonts w:ascii="Times New Roman" w:hAnsi="Times New Roman" w:cs="Times New Roman"/>
          <w:bCs w:val="0"/>
        </w:rPr>
        <w:t>. Die Zuordnung zum ursprünglichen Sequenzplatz (3.50) bleibt als Provenienz erhalten, während (M3.5) die eindeutige Anlagen-Gleichungsnummer bildet.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Die Gleichung dient in M3 nur als Brücke zwischen Operator und Matrixdarstellung. Die systematische Eigenwerttheorie, charakteristische Polynome, Eigenräume, </w:t>
      </w:r>
      <w:proofErr w:type="spellStart"/>
      <w:r w:rsidRPr="003C7EAE">
        <w:rPr>
          <w:rFonts w:ascii="Times New Roman" w:hAnsi="Times New Roman" w:cs="Times New Roman"/>
          <w:bCs w:val="0"/>
        </w:rPr>
        <w:t>Vielfachheiten</w:t>
      </w:r>
      <w:proofErr w:type="spellEnd"/>
      <w:r w:rsidRPr="003C7EAE">
        <w:rPr>
          <w:rFonts w:ascii="Times New Roman" w:hAnsi="Times New Roman" w:cs="Times New Roman"/>
          <w:bCs w:val="0"/>
        </w:rPr>
        <w:t xml:space="preserve"> und </w:t>
      </w:r>
      <w:proofErr w:type="spellStart"/>
      <w:r w:rsidRPr="003C7EAE">
        <w:rPr>
          <w:rFonts w:ascii="Times New Roman" w:hAnsi="Times New Roman" w:cs="Times New Roman"/>
          <w:bCs w:val="0"/>
        </w:rPr>
        <w:t>Diagonalisierbarkeit</w:t>
      </w:r>
      <w:proofErr w:type="spellEnd"/>
      <w:r w:rsidRPr="003C7EAE">
        <w:rPr>
          <w:rFonts w:ascii="Times New Roman" w:hAnsi="Times New Roman" w:cs="Times New Roman"/>
          <w:bCs w:val="0"/>
        </w:rPr>
        <w:t xml:space="preserve"> gehören nicht in diese Anlage, sondern werden in M5 zusammengeführt. Dadurch bleibt M3 auf die Darstellungs- und </w:t>
      </w:r>
      <w:proofErr w:type="spellStart"/>
      <w:r w:rsidRPr="003C7EAE">
        <w:rPr>
          <w:rFonts w:ascii="Times New Roman" w:hAnsi="Times New Roman" w:cs="Times New Roman"/>
          <w:bCs w:val="0"/>
        </w:rPr>
        <w:t>Invarianzfrage</w:t>
      </w:r>
      <w:proofErr w:type="spellEnd"/>
      <w:r w:rsidRPr="003C7EAE">
        <w:rPr>
          <w:rFonts w:ascii="Times New Roman" w:hAnsi="Times New Roman" w:cs="Times New Roman"/>
          <w:bCs w:val="0"/>
        </w:rPr>
        <w:t xml:space="preserve"> konzentriert.</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M3.3 Konstruktion einer Basiswechselmatrix</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Ein Basiswechsel verändert nicht den abstrakten Vektor, sondern seine Koordinatendarstellung. Seien </w:t>
      </w:r>
      <m:oMath>
        <m:r>
          <w:rPr>
            <w:rFonts w:ascii="Cambria Math" w:hAnsi="Cambria Math" w:cs="Times New Roman"/>
          </w:rPr>
          <m:t>B=</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b</m:t>
                </m:r>
              </m:e>
              <m:sub>
                <m:r>
                  <w:rPr>
                    <w:rFonts w:ascii="Cambria Math" w:hAnsi="Cambria Math" w:cs="Times New Roman"/>
                  </w:rPr>
                  <m:t>n</m:t>
                </m:r>
              </m:sub>
            </m:sSub>
          </m:e>
        </m:d>
      </m:oMath>
      <w:r w:rsidRPr="003C7EAE">
        <w:rPr>
          <w:rFonts w:ascii="Times New Roman" w:hAnsi="Times New Roman" w:cs="Times New Roman"/>
          <w:bCs w:val="0"/>
        </w:rPr>
        <w:t xml:space="preserve"> und </w:t>
      </w:r>
      <m:oMath>
        <m:r>
          <w:rPr>
            <w:rFonts w:ascii="Cambria Math" w:hAnsi="Cambria Math" w:cs="Times New Roman"/>
          </w:rPr>
          <m:t>C=</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n</m:t>
                </m:r>
              </m:sub>
            </m:sSub>
          </m:e>
        </m:d>
      </m:oMath>
      <w:r w:rsidRPr="003C7EAE">
        <w:rPr>
          <w:rFonts w:ascii="Times New Roman" w:hAnsi="Times New Roman" w:cs="Times New Roman"/>
          <w:bCs w:val="0"/>
        </w:rPr>
        <w:t xml:space="preserve"> zwei Basen desselben endlichdimensionalen Vektorraums. Um Koordinaten bezüglich </w:t>
      </w:r>
      <m:oMath>
        <m:r>
          <w:rPr>
            <w:rFonts w:ascii="Cambria Math" w:hAnsi="Cambria Math" w:cs="Times New Roman"/>
          </w:rPr>
          <m:t>C</m:t>
        </m:r>
      </m:oMath>
      <w:r w:rsidRPr="003C7EAE">
        <w:rPr>
          <w:rFonts w:ascii="Times New Roman" w:hAnsi="Times New Roman" w:cs="Times New Roman"/>
          <w:bCs w:val="0"/>
        </w:rPr>
        <w:t xml:space="preserve"> in Koordinaten bezüglich </w:t>
      </w:r>
      <m:oMath>
        <m:r>
          <w:rPr>
            <w:rFonts w:ascii="Cambria Math" w:hAnsi="Cambria Math" w:cs="Times New Roman"/>
          </w:rPr>
          <m:t>B</m:t>
        </m:r>
      </m:oMath>
      <w:r w:rsidRPr="003C7EAE">
        <w:rPr>
          <w:rFonts w:ascii="Times New Roman" w:hAnsi="Times New Roman" w:cs="Times New Roman"/>
          <w:bCs w:val="0"/>
        </w:rPr>
        <w:t xml:space="preserve"> zu überführen, stelle ich jeden Basisvektor </w:t>
      </w:r>
      <m:oMath>
        <m:sSub>
          <m:sSubPr>
            <m:ctrlPr>
              <w:rPr>
                <w:rFonts w:ascii="Cambria Math" w:hAnsi="Cambria Math" w:cs="Times New Roman"/>
                <w:bCs w:val="0"/>
                <w:i/>
              </w:rPr>
            </m:ctrlPr>
          </m:sSubPr>
          <m:e>
            <m:r>
              <w:rPr>
                <w:rFonts w:ascii="Cambria Math" w:hAnsi="Cambria Math" w:cs="Times New Roman"/>
              </w:rPr>
              <m:t>c</m:t>
            </m:r>
          </m:e>
          <m:sub>
            <m:r>
              <w:rPr>
                <w:rFonts w:ascii="Cambria Math" w:hAnsi="Cambria Math" w:cs="Times New Roman"/>
              </w:rPr>
              <m:t>j</m:t>
            </m:r>
          </m:sub>
        </m:sSub>
      </m:oMath>
      <w:r w:rsidRPr="003C7EAE">
        <w:rPr>
          <w:rFonts w:ascii="Times New Roman" w:hAnsi="Times New Roman" w:cs="Times New Roman"/>
          <w:bCs w:val="0"/>
        </w:rPr>
        <w:t xml:space="preserve"> in der Basis </w:t>
      </w:r>
      <m:oMath>
        <m:r>
          <w:rPr>
            <w:rFonts w:ascii="Cambria Math" w:hAnsi="Cambria Math" w:cs="Times New Roman"/>
          </w:rPr>
          <m:t>B</m:t>
        </m:r>
      </m:oMath>
      <w:r w:rsidRPr="003C7EAE">
        <w:rPr>
          <w:rFonts w:ascii="Times New Roman" w:hAnsi="Times New Roman" w:cs="Times New Roman"/>
          <w:bCs w:val="0"/>
        </w:rPr>
        <w:t xml:space="preserve"> dar. Die so entstehenden Koordinatenvektoren bilden die Spalten der Basiswechselmatrix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(M3.6) – Konstruktion der Basiswechselmatrix aus Basisvektoren</w:t>
      </w:r>
    </w:p>
    <w:p w:rsidR="003C7EAE" w:rsidRPr="003C7EAE" w:rsidRDefault="00715B49" w:rsidP="003C7EAE">
      <w:pPr>
        <w:pStyle w:val="Formel"/>
        <w:rPr>
          <w:rFonts w:ascii="Times New Roman" w:hAnsi="Times New Roman"/>
        </w:rPr>
      </w:pPr>
      <m:oMath>
        <m:sSub>
          <m:sSubPr>
            <m:ctrlPr/>
          </m:sSubPr>
          <m:e>
            <m:r>
              <m:t>P</m:t>
            </m:r>
          </m:e>
          <m:sub>
            <m:r>
              <m:t>C→B</m:t>
            </m:r>
          </m:sub>
        </m:sSub>
        <m:r>
          <m:t>=</m:t>
        </m:r>
        <m:d>
          <m:dPr>
            <m:ctrlPr/>
          </m:dPr>
          <m:e>
            <m:m>
              <m:mPr>
                <m:mcs>
                  <m:mc>
                    <m:mcPr>
                      <m:count m:val="4"/>
                      <m:mcJc m:val="center"/>
                    </m:mcPr>
                  </m:mc>
                </m:mcs>
                <m:ctrlPr/>
              </m:mPr>
              <m:mr>
                <m:e>
                  <m:sSub>
                    <m:sSubPr>
                      <m:ctrlPr/>
                    </m:sSubPr>
                    <m:e>
                      <m:d>
                        <m:dPr>
                          <m:begChr m:val="["/>
                          <m:endChr m:val="]"/>
                          <m:ctrlPr/>
                        </m:dPr>
                        <m:e>
                          <m:sSub>
                            <m:sSubPr>
                              <m:ctrlPr/>
                            </m:sSubPr>
                            <m:e>
                              <m:r>
                                <m:t>c</m:t>
                              </m:r>
                            </m:e>
                            <m:sub>
                              <m:r>
                                <m:t>1</m:t>
                              </m:r>
                            </m:sub>
                          </m:sSub>
                        </m:e>
                      </m:d>
                    </m:e>
                    <m:sub>
                      <m:r>
                        <m:t>B</m:t>
                      </m:r>
                    </m:sub>
                  </m:sSub>
                </m:e>
                <m:e>
                  <m:sSub>
                    <m:sSubPr>
                      <m:ctrlPr/>
                    </m:sSubPr>
                    <m:e>
                      <m:d>
                        <m:dPr>
                          <m:begChr m:val="["/>
                          <m:endChr m:val="]"/>
                          <m:ctrlPr/>
                        </m:dPr>
                        <m:e>
                          <m:sSub>
                            <m:sSubPr>
                              <m:ctrlPr/>
                            </m:sSubPr>
                            <m:e>
                              <m:r>
                                <m:t>c</m:t>
                              </m:r>
                            </m:e>
                            <m:sub>
                              <m:r>
                                <m:t>2</m:t>
                              </m:r>
                            </m:sub>
                          </m:sSub>
                        </m:e>
                      </m:d>
                    </m:e>
                    <m:sub>
                      <m:r>
                        <m:t>B</m:t>
                      </m:r>
                    </m:sub>
                  </m:sSub>
                </m:e>
                <m:e>
                  <m:r>
                    <m:t>⋯</m:t>
                  </m:r>
                </m:e>
                <m:e>
                  <m:sSub>
                    <m:sSubPr>
                      <m:ctrlPr/>
                    </m:sSubPr>
                    <m:e>
                      <m:d>
                        <m:dPr>
                          <m:begChr m:val="["/>
                          <m:endChr m:val="]"/>
                          <m:ctrlPr/>
                        </m:dPr>
                        <m:e>
                          <m:sSub>
                            <m:sSubPr>
                              <m:ctrlPr/>
                            </m:sSubPr>
                            <m:e>
                              <m:r>
                                <m:t>c</m:t>
                              </m:r>
                            </m:e>
                            <m:sub>
                              <m:r>
                                <m:t>n</m:t>
                              </m:r>
                            </m:sub>
                          </m:sSub>
                        </m:e>
                      </m:d>
                    </m:e>
                    <m:sub>
                      <m:r>
                        <m:t>B</m:t>
                      </m:r>
                    </m:sub>
                  </m:sSub>
                </m:e>
              </m:mr>
            </m:m>
          </m:e>
        </m:d>
      </m:oMath>
      <w:r w:rsidR="003C7EAE">
        <w:rPr>
          <w:rFonts w:ascii="Times New Roman" w:hAnsi="Times New Roman"/>
        </w:rPr>
        <w:t xml:space="preserve"> </w:t>
      </w:r>
      <w:r w:rsidR="003C7EAE">
        <w:rPr>
          <w:rFonts w:ascii="Times New Roman" w:hAnsi="Times New Roman"/>
        </w:rPr>
        <w:tab/>
        <w:t>(M3.6)</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Jede Spalte besitzt damit eine unmittelbar nachvollziehbare Bedeutung. Sie enthält nicht irgendeinen Transformationsparameter, sondern die Koordinaten eines konkreten Basisvektors der Zielbasis </w:t>
      </w:r>
      <m:oMath>
        <m:r>
          <w:rPr>
            <w:rFonts w:ascii="Cambria Math" w:hAnsi="Cambria Math" w:cs="Times New Roman"/>
          </w:rPr>
          <m:t>C</m:t>
        </m:r>
      </m:oMath>
      <w:r w:rsidRPr="003C7EAE">
        <w:rPr>
          <w:rFonts w:ascii="Times New Roman" w:hAnsi="Times New Roman" w:cs="Times New Roman"/>
          <w:bCs w:val="0"/>
        </w:rPr>
        <w:t xml:space="preserve">, ausgedrückt in der Ausgangsbasis </w:t>
      </w:r>
      <m:oMath>
        <m:r>
          <w:rPr>
            <w:rFonts w:ascii="Cambria Math" w:hAnsi="Cambria Math" w:cs="Times New Roman"/>
          </w:rPr>
          <m:t>B</m:t>
        </m:r>
      </m:oMath>
      <w:r w:rsidRPr="003C7EAE">
        <w:rPr>
          <w:rFonts w:ascii="Times New Roman" w:hAnsi="Times New Roman" w:cs="Times New Roman"/>
          <w:bCs w:val="0"/>
        </w:rPr>
        <w:t>. Die Matrix bündelt diese einzelnen Koordinatendarstellungen zu einer linearen Koordinatentransformation.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 Konstruktion setzt voraus, dass beide betrachteten Vektorsysteme tatsächlich Basen desselben Vektorraums sind. Dann ist die Basiswechselmatrix invertierbar. Ein Basiswechsel führt daher nicht zu einem Informationsverlust über den dargestellten Vektor; er ändert lediglich die Darstellung desselben mathematischen Objekts.</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M3.4 Beispiel eines Basiswechsels</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Für ein konkretes zweidimensionales Beispiel verwende ich als erste Basis die Standardbasis </w:t>
      </w:r>
      <m:oMath>
        <m:r>
          <w:rPr>
            <w:rFonts w:ascii="Cambria Math" w:hAnsi="Cambria Math" w:cs="Times New Roman"/>
          </w:rPr>
          <m:t>B=</m:t>
        </m:r>
        <m:d>
          <m:dPr>
            <m:ctrlPr>
              <w:rPr>
                <w:rFonts w:ascii="Cambria Math" w:hAnsi="Cambria Math" w:cs="Times New Roman"/>
                <w:bCs w:val="0"/>
                <w:i/>
              </w:rPr>
            </m:ctrlPr>
          </m:dPr>
          <m:e>
            <m:d>
              <m:dPr>
                <m:ctrlPr>
                  <w:rPr>
                    <w:rFonts w:ascii="Cambria Math" w:hAnsi="Cambria Math" w:cs="Times New Roman"/>
                    <w:bCs w:val="0"/>
                  </w:rPr>
                </m:ctrlPr>
              </m:dPr>
              <m:e>
                <m:m>
                  <m:mPr>
                    <m:mcs>
                      <m:mc>
                        <m:mcPr>
                          <m:count m:val="1"/>
                          <m:mcJc m:val="center"/>
                        </m:mcPr>
                      </m:mc>
                    </m:mcs>
                    <m:ctrlPr>
                      <w:rPr>
                        <w:rFonts w:ascii="Cambria Math" w:hAnsi="Cambria Math" w:cs="Times New Roman"/>
                        <w:bCs w:val="0"/>
                      </w:rPr>
                    </m:ctrlPr>
                  </m:mPr>
                  <m:mr>
                    <m:e>
                      <m:r>
                        <w:rPr>
                          <w:rFonts w:ascii="Cambria Math" w:hAnsi="Cambria Math" w:cs="Times New Roman"/>
                        </w:rPr>
                        <m:t>1\0</m:t>
                      </m:r>
                      <m:ctrlPr>
                        <w:rPr>
                          <w:rFonts w:ascii="Cambria Math" w:hAnsi="Cambria Math" w:cs="Times New Roman"/>
                          <w:bCs w:val="0"/>
                          <w:i/>
                        </w:rPr>
                      </m:ctrlPr>
                    </m:e>
                  </m:mr>
                </m:m>
              </m:e>
            </m:d>
            <m:r>
              <w:rPr>
                <w:rFonts w:ascii="Cambria Math" w:hAnsi="Cambria Math" w:cs="Times New Roman"/>
              </w:rPr>
              <m:t>,</m:t>
            </m:r>
            <m:d>
              <m:dPr>
                <m:ctrlPr>
                  <w:rPr>
                    <w:rFonts w:ascii="Cambria Math" w:hAnsi="Cambria Math" w:cs="Times New Roman"/>
                    <w:bCs w:val="0"/>
                  </w:rPr>
                </m:ctrlPr>
              </m:dPr>
              <m:e>
                <m:m>
                  <m:mPr>
                    <m:mcs>
                      <m:mc>
                        <m:mcPr>
                          <m:count m:val="1"/>
                          <m:mcJc m:val="center"/>
                        </m:mcPr>
                      </m:mc>
                    </m:mcs>
                    <m:ctrlPr>
                      <w:rPr>
                        <w:rFonts w:ascii="Cambria Math" w:hAnsi="Cambria Math" w:cs="Times New Roman"/>
                        <w:bCs w:val="0"/>
                      </w:rPr>
                    </m:ctrlPr>
                  </m:mPr>
                  <m:mr>
                    <m:e>
                      <m:r>
                        <w:rPr>
                          <w:rFonts w:ascii="Cambria Math" w:hAnsi="Cambria Math" w:cs="Times New Roman"/>
                        </w:rPr>
                        <m:t>0\1</m:t>
                      </m:r>
                      <m:ctrlPr>
                        <w:rPr>
                          <w:rFonts w:ascii="Cambria Math" w:hAnsi="Cambria Math" w:cs="Times New Roman"/>
                          <w:bCs w:val="0"/>
                          <w:i/>
                        </w:rPr>
                      </m:ctrlPr>
                    </m:e>
                  </m:mr>
                </m:m>
              </m:e>
            </m:d>
          </m:e>
        </m:d>
      </m:oMath>
      <w:r w:rsidRPr="003C7EAE">
        <w:rPr>
          <w:rFonts w:ascii="Times New Roman" w:hAnsi="Times New Roman" w:cs="Times New Roman"/>
          <w:bCs w:val="0"/>
        </w:rPr>
        <w:t xml:space="preserve"> und als zweite Basis </w:t>
      </w:r>
      <m:oMath>
        <m:r>
          <w:rPr>
            <w:rFonts w:ascii="Cambria Math" w:hAnsi="Cambria Math" w:cs="Times New Roman"/>
          </w:rPr>
          <m:t>C=</m:t>
        </m:r>
        <m:d>
          <m:dPr>
            <m:ctrlPr>
              <w:rPr>
                <w:rFonts w:ascii="Cambria Math" w:hAnsi="Cambria Math" w:cs="Times New Roman"/>
                <w:bCs w:val="0"/>
                <w:i/>
              </w:rPr>
            </m:ctrlPr>
          </m:dPr>
          <m:e>
            <m:d>
              <m:dPr>
                <m:ctrlPr>
                  <w:rPr>
                    <w:rFonts w:ascii="Cambria Math" w:hAnsi="Cambria Math" w:cs="Times New Roman"/>
                    <w:bCs w:val="0"/>
                  </w:rPr>
                </m:ctrlPr>
              </m:dPr>
              <m:e>
                <m:m>
                  <m:mPr>
                    <m:mcs>
                      <m:mc>
                        <m:mcPr>
                          <m:count m:val="1"/>
                          <m:mcJc m:val="center"/>
                        </m:mcPr>
                      </m:mc>
                    </m:mcs>
                    <m:ctrlPr>
                      <w:rPr>
                        <w:rFonts w:ascii="Cambria Math" w:hAnsi="Cambria Math" w:cs="Times New Roman"/>
                        <w:bCs w:val="0"/>
                      </w:rPr>
                    </m:ctrlPr>
                  </m:mPr>
                  <m:mr>
                    <m:e>
                      <m:r>
                        <w:rPr>
                          <w:rFonts w:ascii="Cambria Math" w:hAnsi="Cambria Math" w:cs="Times New Roman"/>
                        </w:rPr>
                        <m:t>1\1</m:t>
                      </m:r>
                      <m:ctrlPr>
                        <w:rPr>
                          <w:rFonts w:ascii="Cambria Math" w:hAnsi="Cambria Math" w:cs="Times New Roman"/>
                          <w:bCs w:val="0"/>
                          <w:i/>
                        </w:rPr>
                      </m:ctrlPr>
                    </m:e>
                  </m:mr>
                </m:m>
              </m:e>
            </m:d>
            <m:r>
              <w:rPr>
                <w:rFonts w:ascii="Cambria Math" w:hAnsi="Cambria Math" w:cs="Times New Roman"/>
              </w:rPr>
              <m:t>,</m:t>
            </m:r>
            <m:d>
              <m:dPr>
                <m:ctrlPr>
                  <w:rPr>
                    <w:rFonts w:ascii="Cambria Math" w:hAnsi="Cambria Math" w:cs="Times New Roman"/>
                    <w:bCs w:val="0"/>
                  </w:rPr>
                </m:ctrlPr>
              </m:dPr>
              <m:e>
                <m:m>
                  <m:mPr>
                    <m:mcs>
                      <m:mc>
                        <m:mcPr>
                          <m:count m:val="1"/>
                          <m:mcJc m:val="center"/>
                        </m:mcPr>
                      </m:mc>
                    </m:mcs>
                    <m:ctrlPr>
                      <w:rPr>
                        <w:rFonts w:ascii="Cambria Math" w:hAnsi="Cambria Math" w:cs="Times New Roman"/>
                        <w:bCs w:val="0"/>
                      </w:rPr>
                    </m:ctrlPr>
                  </m:mPr>
                  <m:mr>
                    <m:e>
                      <m:r>
                        <w:rPr>
                          <w:rFonts w:ascii="Cambria Math" w:hAnsi="Cambria Math" w:cs="Times New Roman"/>
                        </w:rPr>
                        <m:t>1</m:t>
                      </m:r>
                      <m:r>
                        <m:rPr>
                          <m:lit/>
                        </m:rPr>
                        <w:rPr>
                          <w:rFonts w:ascii="Cambria Math" w:hAnsi="Cambria Math" w:cs="Times New Roman"/>
                        </w:rPr>
                        <m:t>-</m:t>
                      </m:r>
                      <m:r>
                        <w:rPr>
                          <w:rFonts w:ascii="Cambria Math" w:hAnsi="Cambria Math" w:cs="Times New Roman"/>
                        </w:rPr>
                        <m:t>1</m:t>
                      </m:r>
                      <m:ctrlPr>
                        <w:rPr>
                          <w:rFonts w:ascii="Cambria Math" w:hAnsi="Cambria Math" w:cs="Times New Roman"/>
                          <w:bCs w:val="0"/>
                          <w:i/>
                        </w:rPr>
                      </m:ctrlPr>
                    </m:e>
                  </m:mr>
                </m:m>
              </m:e>
            </m:d>
          </m:e>
        </m:d>
      </m:oMath>
      <w:r w:rsidRPr="003C7EAE">
        <w:rPr>
          <w:rFonts w:ascii="Times New Roman" w:hAnsi="Times New Roman" w:cs="Times New Roman"/>
          <w:bCs w:val="0"/>
        </w:rPr>
        <w:t xml:space="preserve">. Da </w:t>
      </w:r>
      <m:oMath>
        <m:r>
          <w:rPr>
            <w:rFonts w:ascii="Cambria Math" w:hAnsi="Cambria Math" w:cs="Times New Roman"/>
          </w:rPr>
          <m:t>B</m:t>
        </m:r>
      </m:oMath>
      <w:r w:rsidRPr="003C7EAE">
        <w:rPr>
          <w:rFonts w:ascii="Times New Roman" w:hAnsi="Times New Roman" w:cs="Times New Roman"/>
          <w:bCs w:val="0"/>
        </w:rPr>
        <w:t xml:space="preserve"> die Standardbasis ist, stimmen die Koordinaten der beiden Basisvektoren aus </w:t>
      </w:r>
      <m:oMath>
        <m:r>
          <w:rPr>
            <w:rFonts w:ascii="Cambria Math" w:hAnsi="Cambria Math" w:cs="Times New Roman"/>
          </w:rPr>
          <m:t>C</m:t>
        </m:r>
      </m:oMath>
      <w:r w:rsidRPr="003C7EAE">
        <w:rPr>
          <w:rFonts w:ascii="Times New Roman" w:hAnsi="Times New Roman" w:cs="Times New Roman"/>
          <w:bCs w:val="0"/>
        </w:rPr>
        <w:t xml:space="preserve"> bezüglich </w:t>
      </w:r>
      <m:oMath>
        <m:r>
          <w:rPr>
            <w:rFonts w:ascii="Cambria Math" w:hAnsi="Cambria Math" w:cs="Times New Roman"/>
          </w:rPr>
          <m:t>B</m:t>
        </m:r>
      </m:oMath>
      <w:r w:rsidRPr="003C7EAE">
        <w:rPr>
          <w:rFonts w:ascii="Times New Roman" w:hAnsi="Times New Roman" w:cs="Times New Roman"/>
          <w:bCs w:val="0"/>
        </w:rPr>
        <w:t xml:space="preserve"> unmittelbar mit ihren Komponenten überein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(M3.7) – Basiswechselmatrix des Beispiels</w:t>
      </w:r>
    </w:p>
    <w:p w:rsidR="003C7EAE" w:rsidRPr="003C7EAE" w:rsidRDefault="00715B49" w:rsidP="003C7EAE">
      <w:pPr>
        <w:pStyle w:val="Formel"/>
        <w:rPr>
          <w:rFonts w:ascii="Times New Roman" w:hAnsi="Times New Roman"/>
        </w:rPr>
      </w:pPr>
      <m:oMath>
        <m:sSub>
          <m:sSubPr>
            <m:ctrlPr/>
          </m:sSubPr>
          <m:e>
            <m:r>
              <m:t>P</m:t>
            </m:r>
          </m:e>
          <m:sub>
            <m:r>
              <m:t>C→B</m:t>
            </m:r>
          </m:sub>
        </m:sSub>
        <m:r>
          <m:t>=</m:t>
        </m:r>
        <m:d>
          <m:dPr>
            <m:ctrlPr/>
          </m:dPr>
          <m:e>
            <m:m>
              <m:mPr>
                <m:mcs>
                  <m:mc>
                    <m:mcPr>
                      <m:count m:val="2"/>
                      <m:mcJc m:val="center"/>
                    </m:mcPr>
                  </m:mc>
                </m:mcs>
                <m:ctrlPr/>
              </m:mPr>
              <m:mr>
                <m:e>
                  <m:r>
                    <m:t>1</m:t>
                  </m:r>
                </m:e>
                <m:e>
                  <m:r>
                    <m:t>1</m:t>
                  </m:r>
                </m:e>
              </m:mr>
              <m:mr>
                <m:e>
                  <m:r>
                    <m:t>1</m:t>
                  </m:r>
                </m:e>
                <m:e>
                  <m:r>
                    <m:t>-1</m:t>
                  </m:r>
                </m:e>
              </m:mr>
            </m:m>
          </m:e>
        </m:d>
      </m:oMath>
      <w:r w:rsidR="003C7EAE">
        <w:rPr>
          <w:rFonts w:ascii="Times New Roman" w:hAnsi="Times New Roman"/>
        </w:rPr>
        <w:t xml:space="preserve"> </w:t>
      </w:r>
      <w:r w:rsidR="003C7EAE">
        <w:rPr>
          <w:rFonts w:ascii="Times New Roman" w:hAnsi="Times New Roman"/>
        </w:rPr>
        <w:tab/>
        <w:t>(M3.7)</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lastRenderedPageBreak/>
        <w:t xml:space="preserve">Die erste Spalte beschreibt den ersten Basisvektor von </w:t>
      </w:r>
      <m:oMath>
        <m:r>
          <w:rPr>
            <w:rFonts w:ascii="Cambria Math" w:hAnsi="Cambria Math" w:cs="Times New Roman"/>
          </w:rPr>
          <m:t>C</m:t>
        </m:r>
      </m:oMath>
      <w:r w:rsidRPr="003C7EAE">
        <w:rPr>
          <w:rFonts w:ascii="Times New Roman" w:hAnsi="Times New Roman" w:cs="Times New Roman"/>
          <w:bCs w:val="0"/>
        </w:rPr>
        <w:t xml:space="preserve"> in </w:t>
      </w:r>
      <m:oMath>
        <m:r>
          <w:rPr>
            <w:rFonts w:ascii="Cambria Math" w:hAnsi="Cambria Math" w:cs="Times New Roman"/>
          </w:rPr>
          <m:t>B</m:t>
        </m:r>
      </m:oMath>
      <w:r w:rsidRPr="003C7EAE">
        <w:rPr>
          <w:rFonts w:ascii="Times New Roman" w:hAnsi="Times New Roman" w:cs="Times New Roman"/>
          <w:bCs w:val="0"/>
        </w:rPr>
        <w:t>-Koordinaten, die zweite Spalte entsprechend den zweiten Basisvektor. Weil die beiden Spalten linear unabhängig sind, ist die Matrix invertierbar.</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 Koordinatentransformation in Gegenrichtung wird durch die inverse Matrix beschrieben.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(M3.8) – Inverse Basiswechselmatrix</w:t>
      </w:r>
    </w:p>
    <w:p w:rsidR="003C7EAE" w:rsidRPr="003C7EAE" w:rsidRDefault="00715B49" w:rsidP="00706CAE">
      <w:pPr>
        <w:pStyle w:val="Formel"/>
        <w:rPr>
          <w:rFonts w:ascii="Times New Roman" w:hAnsi="Times New Roman"/>
        </w:rPr>
      </w:pPr>
      <m:oMath>
        <m:sSub>
          <m:sSubPr>
            <m:ctrlPr/>
          </m:sSubPr>
          <m:e>
            <m:r>
              <m:t>P</m:t>
            </m:r>
          </m:e>
          <m:sub>
            <m:r>
              <m:t>B→C</m:t>
            </m:r>
          </m:sub>
        </m:sSub>
        <m:r>
          <m:t>=</m:t>
        </m:r>
        <m:sSubSup>
          <m:sSubSupPr>
            <m:ctrlPr/>
          </m:sSubSupPr>
          <m:e>
            <m:r>
              <m:t>P</m:t>
            </m:r>
          </m:e>
          <m:sub>
            <m:r>
              <m:t>C→B</m:t>
            </m:r>
          </m:sub>
          <m:sup>
            <m:r>
              <m:t>-1</m:t>
            </m:r>
          </m:sup>
        </m:sSubSup>
        <m:r>
          <m:t>=</m:t>
        </m:r>
        <m:f>
          <m:fPr>
            <m:ctrlPr/>
          </m:fPr>
          <m:num>
            <m:r>
              <m:t>1</m:t>
            </m:r>
          </m:num>
          <m:den>
            <m:r>
              <m:t>2</m:t>
            </m:r>
          </m:den>
        </m:f>
        <m:d>
          <m:dPr>
            <m:ctrlPr/>
          </m:dPr>
          <m:e>
            <m:m>
              <m:mPr>
                <m:mcs>
                  <m:mc>
                    <m:mcPr>
                      <m:count m:val="2"/>
                      <m:mcJc m:val="center"/>
                    </m:mcPr>
                  </m:mc>
                </m:mcs>
                <m:ctrlPr/>
              </m:mPr>
              <m:mr>
                <m:e>
                  <m:r>
                    <m:t>1</m:t>
                  </m:r>
                </m:e>
                <m:e>
                  <m:r>
                    <m:t>1</m:t>
                  </m:r>
                </m:e>
              </m:mr>
              <m:mr>
                <m:e>
                  <m:r>
                    <m:t>1</m:t>
                  </m:r>
                </m:e>
                <m:e>
                  <m:r>
                    <m:t>-1</m:t>
                  </m:r>
                </m:e>
              </m:mr>
            </m:m>
          </m:e>
        </m:d>
      </m:oMath>
      <w:r w:rsidR="00706CAE">
        <w:rPr>
          <w:rFonts w:ascii="Times New Roman" w:hAnsi="Times New Roman"/>
        </w:rPr>
        <w:t xml:space="preserve"> </w:t>
      </w:r>
      <w:r w:rsidR="00706CAE">
        <w:rPr>
          <w:rFonts w:ascii="Times New Roman" w:hAnsi="Times New Roman"/>
        </w:rPr>
        <w:tab/>
        <w:t>(M3.8)</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Das Beispiel zeigt besonders anschaulich, weshalb Basiswechsel und Veränderung des mathematischen Vektors getrennt werden müssen. Hin- und Rücktransformation verändern nur die Koordinaten, mit denen derselbe Vektor beschrieben wird. Diese Trennung ist die Voraussetzung dafür, später sinnvoll zwischen basisabhängigen Matrixeinträgen und basisunabhängigen Eigenschaften des Operators unterscheiden zu können.</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M3.5 Determinante einer zweidimensionalen Matrix</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Für eine quadratische Matrix </w:t>
      </w:r>
      <m:oMath>
        <m:r>
          <w:rPr>
            <w:rFonts w:ascii="Cambria Math" w:hAnsi="Cambria Math" w:cs="Times New Roman"/>
          </w:rPr>
          <m:t>A=</m:t>
        </m:r>
        <m:d>
          <m:dPr>
            <m:ctrlPr>
              <w:rPr>
                <w:rFonts w:ascii="Cambria Math" w:hAnsi="Cambria Math" w:cs="Times New Roman"/>
                <w:bCs w:val="0"/>
              </w:rPr>
            </m:ctrlPr>
          </m:dPr>
          <m:e>
            <m:m>
              <m:mPr>
                <m:mcs>
                  <m:mc>
                    <m:mcPr>
                      <m:count m:val="3"/>
                      <m:mcJc m:val="center"/>
                    </m:mcPr>
                  </m:mc>
                </m:mcs>
                <m:ctrlPr>
                  <w:rPr>
                    <w:rFonts w:ascii="Cambria Math" w:hAnsi="Cambria Math" w:cs="Times New Roman"/>
                    <w:bCs w:val="0"/>
                  </w:rPr>
                </m:ctrlPr>
              </m:mPr>
              <m:mr>
                <m:e>
                  <m:r>
                    <w:rPr>
                      <w:rFonts w:ascii="Cambria Math" w:hAnsi="Cambria Math" w:cs="Times New Roman"/>
                    </w:rPr>
                    <m:t>a</m:t>
                  </m:r>
                  <m:ctrlPr>
                    <w:rPr>
                      <w:rFonts w:ascii="Cambria Math" w:hAnsi="Cambria Math" w:cs="Times New Roman"/>
                      <w:bCs w:val="0"/>
                      <w:i/>
                    </w:rPr>
                  </m:ctrlPr>
                </m:e>
                <m:e>
                  <m:r>
                    <w:rPr>
                      <w:rFonts w:ascii="Cambria Math" w:hAnsi="Cambria Math" w:cs="Times New Roman"/>
                    </w:rPr>
                    <m:t>b\c</m:t>
                  </m:r>
                  <m:ctrlPr>
                    <w:rPr>
                      <w:rFonts w:ascii="Cambria Math" w:hAnsi="Cambria Math" w:cs="Times New Roman"/>
                      <w:bCs w:val="0"/>
                      <w:i/>
                    </w:rPr>
                  </m:ctrlPr>
                </m:e>
                <m:e>
                  <m:r>
                    <w:rPr>
                      <w:rFonts w:ascii="Cambria Math" w:hAnsi="Cambria Math" w:cs="Times New Roman"/>
                    </w:rPr>
                    <m:t>d</m:t>
                  </m:r>
                  <m:ctrlPr>
                    <w:rPr>
                      <w:rFonts w:ascii="Cambria Math" w:hAnsi="Cambria Math" w:cs="Times New Roman"/>
                      <w:bCs w:val="0"/>
                      <w:i/>
                    </w:rPr>
                  </m:ctrlPr>
                </m:e>
              </m:mr>
            </m:m>
          </m:e>
        </m:d>
      </m:oMath>
      <w:r w:rsidRPr="003C7EAE">
        <w:rPr>
          <w:rFonts w:ascii="Times New Roman" w:hAnsi="Times New Roman" w:cs="Times New Roman"/>
          <w:bCs w:val="0"/>
        </w:rPr>
        <w:t xml:space="preserve"> liefert die Determinante einen Skalar, der sowohl algebraische als auch geometrische Informationen über die dargestellte lineare Transformation enthält. Im zweidimensionalen Fall ergibt sie sich aus der Differenz der beiden Diagonalprodukte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(M3.9) – Determinante einer 2×2-Matrix</w:t>
      </w:r>
    </w:p>
    <w:p w:rsidR="003C7EAE" w:rsidRPr="003C7EAE" w:rsidRDefault="00715B49" w:rsidP="00437508">
      <w:pPr>
        <w:pStyle w:val="Formel"/>
        <w:rPr>
          <w:rFonts w:ascii="Times New Roman" w:hAnsi="Times New Roman"/>
        </w:rPr>
      </w:pPr>
      <m:oMath>
        <m:func>
          <m:funcPr>
            <m:ctrlPr/>
          </m:funcPr>
          <m:fName>
            <m:r>
              <m:t>det</m:t>
            </m:r>
          </m:fName>
          <m:e>
            <m:d>
              <m:dPr>
                <m:ctrlPr/>
              </m:dPr>
              <m:e>
                <m:r>
                  <m:t>A</m:t>
                </m:r>
              </m:e>
            </m:d>
          </m:e>
        </m:func>
        <m:r>
          <m:t>=ad-bc</m:t>
        </m:r>
      </m:oMath>
      <w:r w:rsidR="00437508">
        <w:rPr>
          <w:rFonts w:ascii="Times New Roman" w:hAnsi="Times New Roman"/>
        </w:rPr>
        <w:t xml:space="preserve"> </w:t>
      </w:r>
      <w:r w:rsidR="00437508">
        <w:rPr>
          <w:rFonts w:ascii="Times New Roman" w:hAnsi="Times New Roman"/>
        </w:rPr>
        <w:tab/>
        <w:t>(M3.9)</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Für die Diagonalmatrix </w:t>
      </w:r>
      <m:oMath>
        <m:r>
          <w:rPr>
            <w:rFonts w:ascii="Cambria Math" w:hAnsi="Cambria Math" w:cs="Times New Roman"/>
          </w:rPr>
          <m:t>A=</m:t>
        </m:r>
        <m:d>
          <m:dPr>
            <m:ctrlPr>
              <w:rPr>
                <w:rFonts w:ascii="Cambria Math" w:hAnsi="Cambria Math" w:cs="Times New Roman"/>
                <w:bCs w:val="0"/>
              </w:rPr>
            </m:ctrlPr>
          </m:dPr>
          <m:e>
            <m:m>
              <m:mPr>
                <m:mcs>
                  <m:mc>
                    <m:mcPr>
                      <m:count m:val="3"/>
                      <m:mcJc m:val="center"/>
                    </m:mcPr>
                  </m:mc>
                </m:mcs>
                <m:ctrlPr>
                  <w:rPr>
                    <w:rFonts w:ascii="Cambria Math" w:hAnsi="Cambria Math" w:cs="Times New Roman"/>
                    <w:bCs w:val="0"/>
                  </w:rPr>
                </m:ctrlPr>
              </m:mPr>
              <m:mr>
                <m:e>
                  <m:r>
                    <w:rPr>
                      <w:rFonts w:ascii="Cambria Math" w:hAnsi="Cambria Math" w:cs="Times New Roman"/>
                    </w:rPr>
                    <m:t>2</m:t>
                  </m:r>
                  <m:ctrlPr>
                    <w:rPr>
                      <w:rFonts w:ascii="Cambria Math" w:hAnsi="Cambria Math" w:cs="Times New Roman"/>
                      <w:bCs w:val="0"/>
                      <w:i/>
                    </w:rPr>
                  </m:ctrlPr>
                </m:e>
                <m:e>
                  <m:r>
                    <w:rPr>
                      <w:rFonts w:ascii="Cambria Math" w:hAnsi="Cambria Math" w:cs="Times New Roman"/>
                    </w:rPr>
                    <m:t>0\0</m:t>
                  </m:r>
                  <m:ctrlPr>
                    <w:rPr>
                      <w:rFonts w:ascii="Cambria Math" w:hAnsi="Cambria Math" w:cs="Times New Roman"/>
                      <w:bCs w:val="0"/>
                      <w:i/>
                    </w:rPr>
                  </m:ctrlPr>
                </m:e>
                <m:e>
                  <m:r>
                    <w:rPr>
                      <w:rFonts w:ascii="Cambria Math" w:hAnsi="Cambria Math" w:cs="Times New Roman"/>
                    </w:rPr>
                    <m:t>3</m:t>
                  </m:r>
                  <m:ctrlPr>
                    <w:rPr>
                      <w:rFonts w:ascii="Cambria Math" w:hAnsi="Cambria Math" w:cs="Times New Roman"/>
                      <w:bCs w:val="0"/>
                      <w:i/>
                    </w:rPr>
                  </m:ctrlPr>
                </m:e>
              </m:mr>
            </m:m>
          </m:e>
        </m:d>
      </m:oMath>
      <w:r w:rsidRPr="003C7EAE">
        <w:rPr>
          <w:rFonts w:ascii="Times New Roman" w:hAnsi="Times New Roman" w:cs="Times New Roman"/>
          <w:bCs w:val="0"/>
        </w:rPr>
        <w:t xml:space="preserve"> kann ich die Rechnung unmittelbar einsetzen.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 xml:space="preserve">Gleichung (M3.10) – Beispiel einer </w:t>
      </w:r>
      <w:proofErr w:type="spellStart"/>
      <w:r w:rsidRPr="003C7EAE">
        <w:rPr>
          <w:rFonts w:ascii="Times New Roman" w:hAnsi="Times New Roman" w:cs="Times New Roman"/>
          <w:b/>
        </w:rPr>
        <w:t>Determinantenberechnung</w:t>
      </w:r>
      <w:proofErr w:type="spellEnd"/>
    </w:p>
    <w:p w:rsidR="003C7EAE" w:rsidRPr="003C7EAE" w:rsidRDefault="00715B49" w:rsidP="00437508">
      <w:pPr>
        <w:pStyle w:val="Formel"/>
        <w:rPr>
          <w:rFonts w:ascii="Times New Roman" w:hAnsi="Times New Roman"/>
        </w:rPr>
      </w:pPr>
      <m:oMath>
        <m:func>
          <m:funcPr>
            <m:ctrlPr/>
          </m:funcPr>
          <m:fName>
            <m:r>
              <m:t>det</m:t>
            </m:r>
          </m:fName>
          <m:e>
            <m:d>
              <m:dPr>
                <m:ctrlPr/>
              </m:dPr>
              <m:e>
                <m:r>
                  <m:t>A</m:t>
                </m:r>
              </m:e>
            </m:d>
          </m:e>
        </m:func>
        <m:r>
          <m:t>=2⋅3-0⋅0=6</m:t>
        </m:r>
      </m:oMath>
      <w:r w:rsidR="00437508">
        <w:rPr>
          <w:rFonts w:ascii="Times New Roman" w:hAnsi="Times New Roman"/>
        </w:rPr>
        <w:t xml:space="preserve"> </w:t>
      </w:r>
      <w:r w:rsidR="00437508">
        <w:rPr>
          <w:rFonts w:ascii="Times New Roman" w:hAnsi="Times New Roman"/>
        </w:rPr>
        <w:tab/>
        <w:t>(M3.10)</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Der Betrag der Determinante beträgt in diesem Beispiel </w:t>
      </w:r>
      <m:oMath>
        <m:r>
          <w:rPr>
            <w:rFonts w:ascii="Cambria Math" w:hAnsi="Cambria Math" w:cs="Times New Roman"/>
          </w:rPr>
          <m:t>6</m:t>
        </m:r>
      </m:oMath>
      <w:r w:rsidRPr="003C7EAE">
        <w:rPr>
          <w:rFonts w:ascii="Times New Roman" w:hAnsi="Times New Roman" w:cs="Times New Roman"/>
          <w:bCs w:val="0"/>
        </w:rPr>
        <w:t xml:space="preserve">. Die zugehörige lineare Transformation skaliert daher Flächeninhalte um den Faktor </w:t>
      </w:r>
      <m:oMath>
        <m:r>
          <w:rPr>
            <w:rFonts w:ascii="Cambria Math" w:hAnsi="Cambria Math" w:cs="Times New Roman"/>
          </w:rPr>
          <m:t>6</m:t>
        </m:r>
      </m:oMath>
      <w:r w:rsidRPr="003C7EAE">
        <w:rPr>
          <w:rFonts w:ascii="Times New Roman" w:hAnsi="Times New Roman" w:cs="Times New Roman"/>
          <w:bCs w:val="0"/>
        </w:rPr>
        <w:t xml:space="preserve">. Da die Determinante positiv ist, wird zugleich die Orientierung erhalten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Ich trenne damit zwei Aussagen, die in derselben Zahl enthalten sind: Der Betrag beschreibt den Flächenskalierungsfaktor, das Vorzeichen die Orientierung. Erst diese Trennung erlaubt es, Transformationen mit gleichem Skalierungsbetrag, aber unterschiedlichem Orientierungsverhalten auseinanderzuhalten.</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M3.6 Laplace-Entwicklung einer 3×3-Matrix</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Bei einer quadratischen Matrix höherer Ordnung kann die Determinante beispielsweise durch Entwicklung nach einer Zeile oder Spalte berechnet werden. Für eine Matrix </w:t>
      </w:r>
      <m:oMath>
        <m:r>
          <w:rPr>
            <w:rFonts w:ascii="Cambria Math" w:hAnsi="Cambria Math" w:cs="Times New Roman"/>
          </w:rPr>
          <m:t>A=</m:t>
        </m:r>
        <m:d>
          <m:dPr>
            <m:ctrlPr>
              <w:rPr>
                <w:rFonts w:ascii="Cambria Math" w:hAnsi="Cambria Math" w:cs="Times New Roman"/>
                <w:bCs w:val="0"/>
                <w:i/>
              </w:rPr>
            </m:ctrlPr>
          </m:dPr>
          <m:e>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ij</m:t>
                </m:r>
              </m:sub>
            </m:sSub>
          </m:e>
        </m:d>
        <m:r>
          <m:rPr>
            <m:sty m:val="p"/>
          </m:rPr>
          <w:rPr>
            <w:rFonts w:ascii="Cambria Math" w:hAnsi="Cambria Math" w:cs="Times New Roman"/>
          </w:rPr>
          <m:t>∈</m:t>
        </m:r>
        <m:sSup>
          <m:sSupPr>
            <m:ctrlPr>
              <w:rPr>
                <w:rFonts w:ascii="Cambria Math" w:hAnsi="Cambria Math" w:cs="Times New Roman"/>
                <w:bCs w:val="0"/>
                <w:i/>
              </w:rPr>
            </m:ctrlPr>
          </m:sSupPr>
          <m:e>
            <m:r>
              <m:rPr>
                <m:scr m:val="double-struck"/>
              </m:rPr>
              <w:rPr>
                <w:rFonts w:ascii="Cambria Math" w:hAnsi="Cambria Math" w:cs="Times New Roman"/>
              </w:rPr>
              <m:t>R</m:t>
            </m:r>
            <m:ctrlPr>
              <w:rPr>
                <w:rFonts w:ascii="Cambria Math" w:hAnsi="Cambria Math" w:cs="Times New Roman"/>
                <w:bCs w:val="0"/>
              </w:rPr>
            </m:ctrlPr>
          </m:e>
          <m:sup>
            <m:r>
              <w:rPr>
                <w:rFonts w:ascii="Cambria Math" w:hAnsi="Cambria Math" w:cs="Times New Roman"/>
              </w:rPr>
              <m:t>3</m:t>
            </m:r>
            <m:r>
              <m:rPr>
                <m:sty m:val="p"/>
              </m:rPr>
              <w:rPr>
                <w:rFonts w:ascii="Cambria Math" w:hAnsi="Cambria Math" w:cs="Times New Roman"/>
              </w:rPr>
              <m:t>×</m:t>
            </m:r>
            <m:r>
              <w:rPr>
                <w:rFonts w:ascii="Cambria Math" w:hAnsi="Cambria Math" w:cs="Times New Roman"/>
              </w:rPr>
              <m:t>3</m:t>
            </m:r>
          </m:sup>
        </m:sSup>
      </m:oMath>
      <w:r w:rsidRPr="003C7EAE">
        <w:rPr>
          <w:rFonts w:ascii="Times New Roman" w:hAnsi="Times New Roman" w:cs="Times New Roman"/>
          <w:bCs w:val="0"/>
        </w:rPr>
        <w:t xml:space="preserve"> ergibt die Entwicklung nach der ersten Zeile die folgende Darstellung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lastRenderedPageBreak/>
        <w:t>Gleichung (M3.11) – Laplace-Entwicklung nach der ersten Zeile</w:t>
      </w:r>
    </w:p>
    <w:p w:rsidR="003C7EAE" w:rsidRPr="003C7EAE" w:rsidRDefault="00715B49" w:rsidP="00437508">
      <w:pPr>
        <w:pStyle w:val="Formel"/>
      </w:pPr>
      <m:oMath>
        <m:func>
          <m:funcPr>
            <m:ctrlPr/>
          </m:funcPr>
          <m:fName>
            <m:r>
              <m:t>det</m:t>
            </m:r>
          </m:fName>
          <m:e>
            <m:d>
              <m:dPr>
                <m:ctrlPr/>
              </m:dPr>
              <m:e>
                <m:r>
                  <m:t>A</m:t>
                </m:r>
              </m:e>
            </m:d>
          </m:e>
        </m:func>
        <m:r>
          <m:t>=</m:t>
        </m:r>
        <m:sSub>
          <m:sSubPr>
            <m:ctrlPr/>
          </m:sSubPr>
          <m:e>
            <m:r>
              <m:t>a</m:t>
            </m:r>
          </m:e>
          <m:sub>
            <m:r>
              <m:t>11</m:t>
            </m:r>
          </m:sub>
        </m:sSub>
        <m:d>
          <m:dPr>
            <m:begChr m:val="|"/>
            <m:endChr m:val="|"/>
            <m:ctrlPr/>
          </m:dPr>
          <m:e>
            <m:m>
              <m:mPr>
                <m:mcs>
                  <m:mc>
                    <m:mcPr>
                      <m:count m:val="2"/>
                      <m:mcJc m:val="center"/>
                    </m:mcPr>
                  </m:mc>
                </m:mcs>
                <m:ctrlPr>
                  <w:rPr>
                    <w:rFonts w:eastAsia="Times New Roman"/>
                  </w:rPr>
                </m:ctrlPr>
              </m:mPr>
              <m:mr>
                <m:e>
                  <m:sSub>
                    <m:sSubPr>
                      <m:ctrlPr/>
                    </m:sSubPr>
                    <m:e>
                      <m:r>
                        <m:t>a</m:t>
                      </m:r>
                    </m:e>
                    <m:sub>
                      <m:r>
                        <m:t>22</m:t>
                      </m:r>
                    </m:sub>
                  </m:sSub>
                </m:e>
                <m:e>
                  <m:sSub>
                    <m:sSubPr>
                      <m:ctrlPr/>
                    </m:sSubPr>
                    <m:e>
                      <m:r>
                        <m:t>a</m:t>
                      </m:r>
                    </m:e>
                    <m:sub>
                      <m:r>
                        <m:t>23</m:t>
                      </m:r>
                    </m:sub>
                  </m:sSub>
                </m:e>
              </m:mr>
              <m:mr>
                <m:e>
                  <m:sSub>
                    <m:sSubPr>
                      <m:ctrlPr/>
                    </m:sSubPr>
                    <m:e>
                      <m:r>
                        <m:t>a</m:t>
                      </m:r>
                    </m:e>
                    <m:sub>
                      <m:r>
                        <m:t>32</m:t>
                      </m:r>
                    </m:sub>
                  </m:sSub>
                </m:e>
                <m:e>
                  <m:sSub>
                    <m:sSubPr>
                      <m:ctrlPr/>
                    </m:sSubPr>
                    <m:e>
                      <m:r>
                        <m:t>a</m:t>
                      </m:r>
                    </m:e>
                    <m:sub>
                      <m:r>
                        <m:t>33</m:t>
                      </m:r>
                    </m:sub>
                  </m:sSub>
                </m:e>
              </m:mr>
            </m:m>
          </m:e>
        </m:d>
        <m:r>
          <m:t>-</m:t>
        </m:r>
        <m:sSub>
          <m:sSubPr>
            <m:ctrlPr/>
          </m:sSubPr>
          <m:e>
            <m:r>
              <m:t>a</m:t>
            </m:r>
          </m:e>
          <m:sub>
            <m:r>
              <m:t>12</m:t>
            </m:r>
          </m:sub>
        </m:sSub>
        <m:d>
          <m:dPr>
            <m:begChr m:val="|"/>
            <m:endChr m:val="|"/>
            <m:ctrlPr/>
          </m:dPr>
          <m:e>
            <m:m>
              <m:mPr>
                <m:mcs>
                  <m:mc>
                    <m:mcPr>
                      <m:count m:val="2"/>
                      <m:mcJc m:val="center"/>
                    </m:mcPr>
                  </m:mc>
                </m:mcs>
                <m:ctrlPr>
                  <w:rPr>
                    <w:rFonts w:eastAsia="Times New Roman"/>
                  </w:rPr>
                </m:ctrlPr>
              </m:mPr>
              <m:mr>
                <m:e>
                  <m:sSub>
                    <m:sSubPr>
                      <m:ctrlPr/>
                    </m:sSubPr>
                    <m:e>
                      <m:r>
                        <m:t>a</m:t>
                      </m:r>
                    </m:e>
                    <m:sub>
                      <m:r>
                        <m:t>21</m:t>
                      </m:r>
                    </m:sub>
                  </m:sSub>
                </m:e>
                <m:e>
                  <m:sSub>
                    <m:sSubPr>
                      <m:ctrlPr/>
                    </m:sSubPr>
                    <m:e>
                      <m:r>
                        <m:t>a</m:t>
                      </m:r>
                    </m:e>
                    <m:sub>
                      <m:r>
                        <m:t>23</m:t>
                      </m:r>
                    </m:sub>
                  </m:sSub>
                </m:e>
              </m:mr>
              <m:mr>
                <m:e>
                  <m:sSub>
                    <m:sSubPr>
                      <m:ctrlPr/>
                    </m:sSubPr>
                    <m:e>
                      <m:r>
                        <m:t>a</m:t>
                      </m:r>
                    </m:e>
                    <m:sub>
                      <m:r>
                        <m:t>31</m:t>
                      </m:r>
                    </m:sub>
                  </m:sSub>
                </m:e>
                <m:e>
                  <m:sSub>
                    <m:sSubPr>
                      <m:ctrlPr/>
                    </m:sSubPr>
                    <m:e>
                      <m:r>
                        <m:t>a</m:t>
                      </m:r>
                    </m:e>
                    <m:sub>
                      <m:r>
                        <m:t>33</m:t>
                      </m:r>
                    </m:sub>
                  </m:sSub>
                </m:e>
              </m:mr>
            </m:m>
          </m:e>
        </m:d>
        <m:r>
          <m:t>+</m:t>
        </m:r>
        <m:sSub>
          <m:sSubPr>
            <m:ctrlPr/>
          </m:sSubPr>
          <m:e>
            <m:r>
              <m:t>a</m:t>
            </m:r>
          </m:e>
          <m:sub>
            <m:r>
              <m:t>13</m:t>
            </m:r>
          </m:sub>
        </m:sSub>
        <m:d>
          <m:dPr>
            <m:begChr m:val="|"/>
            <m:endChr m:val="|"/>
            <m:ctrlPr/>
          </m:dPr>
          <m:e>
            <m:m>
              <m:mPr>
                <m:mcs>
                  <m:mc>
                    <m:mcPr>
                      <m:count m:val="2"/>
                      <m:mcJc m:val="center"/>
                    </m:mcPr>
                  </m:mc>
                </m:mcs>
                <m:ctrlPr>
                  <w:rPr>
                    <w:rFonts w:eastAsia="Times New Roman"/>
                  </w:rPr>
                </m:ctrlPr>
              </m:mPr>
              <m:mr>
                <m:e>
                  <m:sSub>
                    <m:sSubPr>
                      <m:ctrlPr/>
                    </m:sSubPr>
                    <m:e>
                      <m:r>
                        <m:t>a</m:t>
                      </m:r>
                    </m:e>
                    <m:sub>
                      <m:r>
                        <m:t>21</m:t>
                      </m:r>
                    </m:sub>
                  </m:sSub>
                </m:e>
                <m:e>
                  <m:sSub>
                    <m:sSubPr>
                      <m:ctrlPr/>
                    </m:sSubPr>
                    <m:e>
                      <m:r>
                        <m:t>a</m:t>
                      </m:r>
                    </m:e>
                    <m:sub>
                      <m:r>
                        <m:t>22</m:t>
                      </m:r>
                    </m:sub>
                  </m:sSub>
                </m:e>
              </m:mr>
              <m:mr>
                <m:e>
                  <m:sSub>
                    <m:sSubPr>
                      <m:ctrlPr/>
                    </m:sSubPr>
                    <m:e>
                      <m:r>
                        <m:t>a</m:t>
                      </m:r>
                    </m:e>
                    <m:sub>
                      <m:r>
                        <m:t>31</m:t>
                      </m:r>
                    </m:sub>
                  </m:sSub>
                </m:e>
                <m:e>
                  <m:sSub>
                    <m:sSubPr>
                      <m:ctrlPr/>
                    </m:sSubPr>
                    <m:e>
                      <m:r>
                        <m:t>a</m:t>
                      </m:r>
                    </m:e>
                    <m:sub>
                      <m:r>
                        <m:t>32</m:t>
                      </m:r>
                    </m:sub>
                  </m:sSub>
                </m:e>
              </m:mr>
            </m:m>
          </m:e>
        </m:d>
      </m:oMath>
      <w:r w:rsidR="00437508">
        <w:rPr>
          <w:rFonts w:ascii="Times New Roman" w:hAnsi="Times New Roman"/>
        </w:rPr>
        <w:t xml:space="preserve"> </w:t>
      </w:r>
      <w:r w:rsidR="00437508" w:rsidRPr="00437508">
        <w:tab/>
        <w:t>(M3.11)</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Der importierte </w:t>
      </w:r>
      <w:proofErr w:type="spellStart"/>
      <w:r w:rsidRPr="003C7EAE">
        <w:rPr>
          <w:rFonts w:ascii="Times New Roman" w:hAnsi="Times New Roman" w:cs="Times New Roman"/>
          <w:bCs w:val="0"/>
        </w:rPr>
        <w:t>Quellpayload</w:t>
      </w:r>
      <w:proofErr w:type="spellEnd"/>
      <w:r w:rsidRPr="003C7EAE">
        <w:rPr>
          <w:rFonts w:ascii="Times New Roman" w:hAnsi="Times New Roman" w:cs="Times New Roman"/>
          <w:bCs w:val="0"/>
        </w:rPr>
        <w:t xml:space="preserve"> ist an zwei Stellen beschädigt. Dort erscheinen die nicht sinnvollen Indizes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2311</m:t>
            </m:r>
          </m:sub>
        </m:sSub>
      </m:oMath>
      <w:r w:rsidRPr="003C7EAE">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1121</m:t>
            </m:r>
          </m:sub>
        </m:sSub>
      </m:oMath>
      <w:r w:rsidRPr="003C7EAE">
        <w:rPr>
          <w:rFonts w:ascii="Times New Roman" w:hAnsi="Times New Roman" w:cs="Times New Roman"/>
          <w:bCs w:val="0"/>
        </w:rPr>
        <w:t xml:space="preserve">. Aus dem Aufbau der Laplace-Entwicklung und aus dem zugehörigen Quellabschnitt ist eindeutig erkennbar, dass an diesen Stellen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23</m:t>
            </m:r>
          </m:sub>
        </m:sSub>
      </m:oMath>
      <w:r w:rsidRPr="003C7EAE">
        <w:rPr>
          <w:rFonts w:ascii="Times New Roman" w:hAnsi="Times New Roman" w:cs="Times New Roman"/>
          <w:bCs w:val="0"/>
        </w:rPr>
        <w:t xml:space="preserve"> beziehungsweise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21</m:t>
            </m:r>
          </m:sub>
        </m:sSub>
      </m:oMath>
      <w:r w:rsidRPr="003C7EAE">
        <w:rPr>
          <w:rFonts w:ascii="Times New Roman" w:hAnsi="Times New Roman" w:cs="Times New Roman"/>
          <w:bCs w:val="0"/>
        </w:rPr>
        <w:t xml:space="preserve"> gemeint sind. Die Anlagenfassung korrigiert ausschließlich die redaktionelle Formel; der Originalpayload bleibt erhalten und die Abweichung wird als Integritätskorrektur registriert.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 einzelnen 2×2-Minoren sind Bestandteile der Berechnung und werden nicht als zusätzliche Anlagen-Gleichungen gezählt. Auf diese Weise bleibt die Gleichungsnummerierung an das verbindliche M3-Inventar gebunden.</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M3.7 Orientierung und Vorzeichen der Determinante</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Der Betrag der Determinante beschreibt die Größenänderung eines orientierten Flächen- beziehungsweise Volumenelements. Das Vorzeichen enthält eine zusätzliche Information. Bei einer invertierbaren reellen linearen Transformation zeigt es an, ob die Orientierung </w:t>
      </w:r>
      <w:proofErr w:type="gramStart"/>
      <w:r w:rsidRPr="003C7EAE">
        <w:rPr>
          <w:rFonts w:ascii="Times New Roman" w:hAnsi="Times New Roman" w:cs="Times New Roman"/>
          <w:bCs w:val="0"/>
        </w:rPr>
        <w:t>erhalten</w:t>
      </w:r>
      <w:proofErr w:type="gramEnd"/>
      <w:r w:rsidRPr="003C7EAE">
        <w:rPr>
          <w:rFonts w:ascii="Times New Roman" w:hAnsi="Times New Roman" w:cs="Times New Roman"/>
          <w:bCs w:val="0"/>
        </w:rPr>
        <w:t xml:space="preserve"> oder umgekehrt wird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(M3.12) – Orientierung in Abhängigkeit vom Vorzeichen der Determinante</w:t>
      </w:r>
    </w:p>
    <w:p w:rsidR="003C7EAE" w:rsidRPr="003C7EAE" w:rsidRDefault="00715B49" w:rsidP="00437508">
      <w:pPr>
        <w:pStyle w:val="Formel"/>
        <w:rPr>
          <w:rFonts w:ascii="Times New Roman" w:hAnsi="Times New Roman"/>
        </w:rPr>
      </w:pPr>
      <m:oMath>
        <m:d>
          <m:dPr>
            <m:begChr m:val="{"/>
            <m:endChr m:val=""/>
            <m:ctrlPr>
              <w:rPr>
                <w:rFonts w:eastAsia="Times New Roman"/>
              </w:rPr>
            </m:ctrlPr>
          </m:dPr>
          <m:e>
            <m:m>
              <m:mPr>
                <m:mcs>
                  <m:mc>
                    <m:mcPr>
                      <m:count m:val="1"/>
                      <m:mcJc m:val="center"/>
                    </m:mcPr>
                  </m:mc>
                </m:mcs>
                <m:ctrlPr>
                  <w:rPr>
                    <w:rFonts w:eastAsia="Times New Roman"/>
                  </w:rPr>
                </m:ctrlPr>
              </m:mPr>
              <m:mr>
                <m:e>
                  <m:r>
                    <m:t>de</m:t>
                  </m:r>
                  <m:func>
                    <m:funcPr>
                      <m:ctrlPr/>
                    </m:funcPr>
                    <m:fName>
                      <m:r>
                        <m:t>t</m:t>
                      </m:r>
                    </m:fName>
                    <m:e>
                      <m:d>
                        <m:dPr>
                          <m:ctrlPr/>
                        </m:dPr>
                        <m:e>
                          <m:r>
                            <m:t>A</m:t>
                          </m:r>
                        </m:e>
                      </m:d>
                    </m:e>
                  </m:func>
                  <m:r>
                    <m:t>&gt;0⇒</m:t>
                  </m:r>
                  <m:r>
                    <m:rPr>
                      <m:nor/>
                    </m:rPr>
                    <m:t>Orientierung bleibt erhalten</m:t>
                  </m:r>
                </m:e>
              </m:mr>
              <m:mr>
                <m:e>
                  <m:r>
                    <m:t>de</m:t>
                  </m:r>
                  <m:func>
                    <m:funcPr>
                      <m:ctrlPr/>
                    </m:funcPr>
                    <m:fName>
                      <m:r>
                        <m:t>t</m:t>
                      </m:r>
                    </m:fName>
                    <m:e>
                      <m:d>
                        <m:dPr>
                          <m:ctrlPr/>
                        </m:dPr>
                        <m:e>
                          <m:r>
                            <m:t>A</m:t>
                          </m:r>
                        </m:e>
                      </m:d>
                    </m:e>
                  </m:func>
                  <m:r>
                    <m:t>&lt;0⇒</m:t>
                  </m:r>
                  <m:r>
                    <m:rPr>
                      <m:nor/>
                    </m:rPr>
                    <m:t>Orientierung wird umgekehrt</m:t>
                  </m:r>
                  <m:r>
                    <m:t>.</m:t>
                  </m:r>
                </m:e>
              </m:mr>
            </m:m>
          </m:e>
        </m:d>
      </m:oMath>
      <w:r w:rsidR="00437508">
        <w:rPr>
          <w:rFonts w:ascii="Times New Roman" w:hAnsi="Times New Roman"/>
        </w:rPr>
        <w:t xml:space="preserve"> </w:t>
      </w:r>
      <w:r w:rsidR="00437508">
        <w:rPr>
          <w:rFonts w:ascii="Times New Roman" w:hAnsi="Times New Roman"/>
        </w:rPr>
        <w:tab/>
        <w:t>(M3.12)</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Der importierte </w:t>
      </w:r>
      <w:proofErr w:type="spellStart"/>
      <w:r w:rsidRPr="003C7EAE">
        <w:rPr>
          <w:rFonts w:ascii="Times New Roman" w:hAnsi="Times New Roman" w:cs="Times New Roman"/>
          <w:bCs w:val="0"/>
        </w:rPr>
        <w:t>Quellpayload</w:t>
      </w:r>
      <w:proofErr w:type="spellEnd"/>
      <w:r w:rsidRPr="003C7EAE">
        <w:rPr>
          <w:rFonts w:ascii="Times New Roman" w:hAnsi="Times New Roman" w:cs="Times New Roman"/>
          <w:bCs w:val="0"/>
        </w:rPr>
        <w:t xml:space="preserve"> enthält in der zweiten Zeile ein zusätzliches Anführungszeichen und eine fehlerhafte geschweifte Klammer. Diese Zeichen besitzen keine mathematische Funktion. In (M3.12) wird deshalb die eindeutig erkennbare Fallunterscheidung syntaktisch bereinigt; der </w:t>
      </w:r>
      <w:proofErr w:type="spellStart"/>
      <w:r w:rsidRPr="003C7EAE">
        <w:rPr>
          <w:rFonts w:ascii="Times New Roman" w:hAnsi="Times New Roman" w:cs="Times New Roman"/>
          <w:bCs w:val="0"/>
        </w:rPr>
        <w:t>Quellpayload</w:t>
      </w:r>
      <w:proofErr w:type="spellEnd"/>
      <w:r w:rsidRPr="003C7EAE">
        <w:rPr>
          <w:rFonts w:ascii="Times New Roman" w:hAnsi="Times New Roman" w:cs="Times New Roman"/>
          <w:bCs w:val="0"/>
        </w:rPr>
        <w:t xml:space="preserve"> bleibt unverändert archiviert.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Eine typische orientierungsumkehrende Transformation ist die Spiegelung. Für die Spiegelung an der y-Achse mit der Matrix </w:t>
      </w:r>
      <m:oMath>
        <m:r>
          <w:rPr>
            <w:rFonts w:ascii="Cambria Math" w:hAnsi="Cambria Math" w:cs="Times New Roman"/>
          </w:rPr>
          <m:t>S=</m:t>
        </m:r>
        <m:d>
          <m:dPr>
            <m:ctrlPr>
              <w:rPr>
                <w:rFonts w:ascii="Cambria Math" w:hAnsi="Cambria Math" w:cs="Times New Roman"/>
                <w:bCs w:val="0"/>
              </w:rPr>
            </m:ctrlPr>
          </m:dPr>
          <m:e>
            <m:m>
              <m:mPr>
                <m:mcs>
                  <m:mc>
                    <m:mcPr>
                      <m:count m:val="3"/>
                      <m:mcJc m:val="center"/>
                    </m:mcPr>
                  </m:mc>
                </m:mcs>
                <m:ctrlPr>
                  <w:rPr>
                    <w:rFonts w:ascii="Cambria Math" w:hAnsi="Cambria Math" w:cs="Times New Roman"/>
                    <w:bCs w:val="0"/>
                  </w:rPr>
                </m:ctrlPr>
              </m:mPr>
              <m:mr>
                <m:e>
                  <m:r>
                    <w:rPr>
                      <w:rFonts w:ascii="Cambria Math" w:hAnsi="Cambria Math" w:cs="Times New Roman"/>
                    </w:rPr>
                    <m:t>-1</m:t>
                  </m:r>
                  <m:ctrlPr>
                    <w:rPr>
                      <w:rFonts w:ascii="Cambria Math" w:hAnsi="Cambria Math" w:cs="Times New Roman"/>
                      <w:bCs w:val="0"/>
                      <w:i/>
                    </w:rPr>
                  </m:ctrlPr>
                </m:e>
                <m:e>
                  <m:r>
                    <w:rPr>
                      <w:rFonts w:ascii="Cambria Math" w:hAnsi="Cambria Math" w:cs="Times New Roman"/>
                    </w:rPr>
                    <m:t>0\0</m:t>
                  </m:r>
                  <m:ctrlPr>
                    <w:rPr>
                      <w:rFonts w:ascii="Cambria Math" w:hAnsi="Cambria Math" w:cs="Times New Roman"/>
                      <w:bCs w:val="0"/>
                      <w:i/>
                    </w:rPr>
                  </m:ctrlPr>
                </m:e>
                <m:e>
                  <m:r>
                    <w:rPr>
                      <w:rFonts w:ascii="Cambria Math" w:hAnsi="Cambria Math" w:cs="Times New Roman"/>
                    </w:rPr>
                    <m:t>1</m:t>
                  </m:r>
                  <m:ctrlPr>
                    <w:rPr>
                      <w:rFonts w:ascii="Cambria Math" w:hAnsi="Cambria Math" w:cs="Times New Roman"/>
                      <w:bCs w:val="0"/>
                      <w:i/>
                    </w:rPr>
                  </m:ctrlPr>
                </m:e>
              </m:mr>
            </m:m>
          </m:e>
        </m:d>
      </m:oMath>
      <w:r w:rsidRPr="003C7EAE">
        <w:rPr>
          <w:rFonts w:ascii="Times New Roman" w:hAnsi="Times New Roman" w:cs="Times New Roman"/>
          <w:bCs w:val="0"/>
        </w:rPr>
        <w:t xml:space="preserve"> gilt die folgende Determinante.</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(M3.13) – Determinante einer Spiegelung an der y-Achse</w:t>
      </w:r>
    </w:p>
    <w:p w:rsidR="003C7EAE" w:rsidRPr="003C7EAE" w:rsidRDefault="00715B49" w:rsidP="00437508">
      <w:pPr>
        <w:pStyle w:val="Formel"/>
        <w:rPr>
          <w:rFonts w:ascii="Times New Roman" w:hAnsi="Times New Roman"/>
        </w:rPr>
      </w:pPr>
      <m:oMath>
        <m:func>
          <m:funcPr>
            <m:ctrlPr/>
          </m:funcPr>
          <m:fName>
            <m:r>
              <m:t>det</m:t>
            </m:r>
          </m:fName>
          <m:e>
            <m:d>
              <m:dPr>
                <m:ctrlPr/>
              </m:dPr>
              <m:e>
                <m:r>
                  <m:t>S</m:t>
                </m:r>
              </m:e>
            </m:d>
          </m:e>
        </m:func>
        <m:r>
          <m:t>=-1</m:t>
        </m:r>
      </m:oMath>
      <w:r w:rsidR="00437508">
        <w:rPr>
          <w:rFonts w:ascii="Times New Roman" w:hAnsi="Times New Roman"/>
        </w:rPr>
        <w:t xml:space="preserve"> </w:t>
      </w:r>
      <w:r w:rsidR="00437508">
        <w:rPr>
          <w:rFonts w:ascii="Times New Roman" w:hAnsi="Times New Roman"/>
        </w:rPr>
        <w:tab/>
        <w:t>(M3.13)</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Der Betrag ist gleich eins, sodass Flächeninhalte erhalten bleiben. Das negative Vorzeichen zeigt jedoch die Umkehrung der Orientierung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 Gerade dieses Beispiel macht deutlich, dass Volumenskalierung und Orientierung zwei verschiedene Informationen der Determinante sind.</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lastRenderedPageBreak/>
        <w:t>M3.8 Singuläre Transformation als Beispiel eines Dimensionsverlusts</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Eine verschwindende Determinante kennzeichnet bei einer quadratischen Matrix eine singuläre, also nicht invertierbare Transformation. Für das in der Quellfassung verwendete Beispiel </w:t>
      </w:r>
      <m:oMath>
        <m:r>
          <w:rPr>
            <w:rFonts w:ascii="Cambria Math" w:hAnsi="Cambria Math" w:cs="Times New Roman"/>
          </w:rPr>
          <m:t>A=</m:t>
        </m:r>
        <m:d>
          <m:dPr>
            <m:ctrlPr>
              <w:rPr>
                <w:rFonts w:ascii="Cambria Math" w:hAnsi="Cambria Math" w:cs="Times New Roman"/>
                <w:bCs w:val="0"/>
              </w:rPr>
            </m:ctrlPr>
          </m:dPr>
          <m:e>
            <m:m>
              <m:mPr>
                <m:mcs>
                  <m:mc>
                    <m:mcPr>
                      <m:count m:val="3"/>
                      <m:mcJc m:val="center"/>
                    </m:mcPr>
                  </m:mc>
                </m:mcs>
                <m:ctrlPr>
                  <w:rPr>
                    <w:rFonts w:ascii="Cambria Math" w:hAnsi="Cambria Math" w:cs="Times New Roman"/>
                    <w:bCs w:val="0"/>
                  </w:rPr>
                </m:ctrlPr>
              </m:mPr>
              <m:mr>
                <m:e>
                  <m:r>
                    <w:rPr>
                      <w:rFonts w:ascii="Cambria Math" w:hAnsi="Cambria Math" w:cs="Times New Roman"/>
                    </w:rPr>
                    <m:t>1</m:t>
                  </m:r>
                  <m:ctrlPr>
                    <w:rPr>
                      <w:rFonts w:ascii="Cambria Math" w:hAnsi="Cambria Math" w:cs="Times New Roman"/>
                      <w:bCs w:val="0"/>
                      <w:i/>
                    </w:rPr>
                  </m:ctrlPr>
                </m:e>
                <m:e>
                  <m:r>
                    <w:rPr>
                      <w:rFonts w:ascii="Cambria Math" w:hAnsi="Cambria Math" w:cs="Times New Roman"/>
                    </w:rPr>
                    <m:t>2\2</m:t>
                  </m:r>
                  <m:ctrlPr>
                    <w:rPr>
                      <w:rFonts w:ascii="Cambria Math" w:hAnsi="Cambria Math" w:cs="Times New Roman"/>
                      <w:bCs w:val="0"/>
                      <w:i/>
                    </w:rPr>
                  </m:ctrlPr>
                </m:e>
                <m:e>
                  <m:r>
                    <w:rPr>
                      <w:rFonts w:ascii="Cambria Math" w:hAnsi="Cambria Math" w:cs="Times New Roman"/>
                    </w:rPr>
                    <m:t>4</m:t>
                  </m:r>
                  <m:ctrlPr>
                    <w:rPr>
                      <w:rFonts w:ascii="Cambria Math" w:hAnsi="Cambria Math" w:cs="Times New Roman"/>
                      <w:bCs w:val="0"/>
                      <w:i/>
                    </w:rPr>
                  </m:ctrlPr>
                </m:e>
              </m:mr>
            </m:m>
          </m:e>
        </m:d>
      </m:oMath>
      <w:r w:rsidRPr="003C7EAE">
        <w:rPr>
          <w:rFonts w:ascii="Times New Roman" w:hAnsi="Times New Roman" w:cs="Times New Roman"/>
          <w:bCs w:val="0"/>
        </w:rPr>
        <w:t xml:space="preserve"> ist die zweite Spalte das Doppelte der ersten. Beide Spalten sind daher linear abhängig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
        </w:rPr>
        <w:t>Gleichung (M3.14) – Determinante einer singulären Beispielmatrix</w:t>
      </w:r>
    </w:p>
    <w:p w:rsidR="003C7EAE" w:rsidRPr="003C7EAE" w:rsidRDefault="00715B49" w:rsidP="00437508">
      <w:pPr>
        <w:pStyle w:val="Formel"/>
        <w:rPr>
          <w:rFonts w:ascii="Times New Roman" w:hAnsi="Times New Roman"/>
        </w:rPr>
      </w:pPr>
      <m:oMath>
        <m:func>
          <m:funcPr>
            <m:ctrlPr/>
          </m:funcPr>
          <m:fName>
            <m:r>
              <m:t>det</m:t>
            </m:r>
          </m:fName>
          <m:e>
            <m:d>
              <m:dPr>
                <m:ctrlPr/>
              </m:dPr>
              <m:e>
                <m:r>
                  <m:t>A</m:t>
                </m:r>
              </m:e>
            </m:d>
          </m:e>
        </m:func>
        <m:r>
          <m:t>=1⋅4-2⋅2=0</m:t>
        </m:r>
      </m:oMath>
      <w:r w:rsidR="00437508">
        <w:rPr>
          <w:rFonts w:ascii="Times New Roman" w:hAnsi="Times New Roman"/>
        </w:rPr>
        <w:t xml:space="preserve"> </w:t>
      </w:r>
      <w:r w:rsidR="00437508">
        <w:rPr>
          <w:rFonts w:ascii="Times New Roman" w:hAnsi="Times New Roman"/>
        </w:rPr>
        <w:tab/>
        <w:t>(M3.14)</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 Transformation besitzt damit keinen zweidimensionalen Bildbereich. Die Bilder aller Vektoren liegen in diesem Beispiel auf einer einzigen Geraden. Die Determinante von null bedeutet deshalb nicht, dass die Transformation überhaupt keine Wirkung besitzt. Sie bedeutet, dass mindestens eine unabhängige Richtung verloren geht und die Abbildung nicht eindeutig invertiert werden kann.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An diesem Beispiel treffen mehrere zuvor getrennt eingeführte Begriffe zusammen. Die lineare Abhängigkeit der Spalten, die verschwindende Determinante, die fehlende </w:t>
      </w:r>
      <w:proofErr w:type="spellStart"/>
      <w:r w:rsidRPr="003C7EAE">
        <w:rPr>
          <w:rFonts w:ascii="Times New Roman" w:hAnsi="Times New Roman" w:cs="Times New Roman"/>
          <w:bCs w:val="0"/>
        </w:rPr>
        <w:t>Invertierbarkeit</w:t>
      </w:r>
      <w:proofErr w:type="spellEnd"/>
      <w:r w:rsidRPr="003C7EAE">
        <w:rPr>
          <w:rFonts w:ascii="Times New Roman" w:hAnsi="Times New Roman" w:cs="Times New Roman"/>
          <w:bCs w:val="0"/>
        </w:rPr>
        <w:t xml:space="preserve"> und die Reduktion der Bilddimension sind verschiedene Beschreibungen derselben strukturellen Situation. Die systematische Untersuchung von Bild, Kern und Rang wird deshalb in M4 fortgeführt.</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t>M3.9 Basisabhängige Darstellung und invariante Eigenschaften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Die Beispiele zum Basiswechsel zeigen, dass die Einträge einer Matrix nicht mit dem zugrunde liegenden Operator identifiziert werden dürfen. Wird derselbe lineare Operator bezüglich zweier verschiedener Basen dargestellt, können die Matrixelemente vollständig anders aussehen. Dennoch bleibt der Operator als mathematisches Objekt derselbe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Gerade deshalb sind Invarianten für die weitere mathematische Entwicklung wichtig. Sie erlauben Aussagen über den Operator, die nicht davon abhängen, welche Basis ich für seine konkrete Berechnung gewählt habe. Zu den unter Ähnlichkeit erhaltenen Eigenschaften gehören im </w:t>
      </w:r>
      <w:proofErr w:type="spellStart"/>
      <w:r w:rsidRPr="003C7EAE">
        <w:rPr>
          <w:rFonts w:ascii="Times New Roman" w:hAnsi="Times New Roman" w:cs="Times New Roman"/>
          <w:bCs w:val="0"/>
        </w:rPr>
        <w:t>endlichdimensionalen</w:t>
      </w:r>
      <w:proofErr w:type="spellEnd"/>
      <w:r w:rsidRPr="003C7EAE">
        <w:rPr>
          <w:rFonts w:ascii="Times New Roman" w:hAnsi="Times New Roman" w:cs="Times New Roman"/>
          <w:bCs w:val="0"/>
        </w:rPr>
        <w:t xml:space="preserve"> Fall insbesondere Determinante, Spur, charakteristisches Polynom und Eigenwerte. Auch der Rang bleibt bei einem Basiswechsel erhalten.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Für M3 ist die Determinante das zentrale Beispiel dieser Trennung. Ihr Wert lässt sich aus einer konkreten Matrix berechnen, bleibt aber bei ähnlichen Matrixdarstellungen desselben Operators unverändert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 Die konkrete Matrix ist damit basisabhängig, die durch sie dargestellte strukturelle Eigenschaft kann basisunabhängig sein.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Diese Unterscheidung ist für die spätere FRZK-Modellbildung methodisch wesentlich. Wenn eine Eigenschaft eines funktionalen Zustands oder Operators als strukturell interpretiert werden soll, darf sie nicht allein von einer willkürlich gewählten Koordinatendarstellung abhängen. Umgekehrt darf aus der mathematischen Basisinvarianz einer Größe noch keine physikalische Bedeutung dieser Größe abgeleitet werden.</w:t>
      </w:r>
    </w:p>
    <w:p w:rsidR="003C7EAE" w:rsidRPr="003C7EAE" w:rsidRDefault="003C7EAE" w:rsidP="003C7EAE">
      <w:pPr>
        <w:spacing w:before="100" w:beforeAutospacing="1" w:after="100" w:afterAutospacing="1"/>
        <w:outlineLvl w:val="1"/>
        <w:rPr>
          <w:rFonts w:ascii="Times New Roman" w:hAnsi="Times New Roman" w:cs="Times New Roman"/>
          <w:b/>
          <w:sz w:val="36"/>
          <w:szCs w:val="36"/>
        </w:rPr>
      </w:pPr>
      <w:r w:rsidRPr="003C7EAE">
        <w:rPr>
          <w:rFonts w:ascii="Times New Roman" w:hAnsi="Times New Roman" w:cs="Times New Roman"/>
          <w:b/>
          <w:sz w:val="36"/>
          <w:szCs w:val="36"/>
        </w:rPr>
        <w:lastRenderedPageBreak/>
        <w:t>M3.10 Ergebnis und Übergang</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Mit Anlage M3 habe ich die ausgelagerten Details zu Operatorverkettung, Identität, Basiswechsel und Determinanten zusammengeführt. Die Verkettung zweier Operatoren hält die Reihenfolge ihrer Wirkung fest und ist im Allgemeinen nicht kommutativ. Der Identitätsoperator bildet dagegen das neutrale Element der Verkettung. Die Eigenwertbeziehung verbindet die Operatorwirkung mit einer ausgezeichneten Richtung, ohne die weiterführende Eigenwerttheorie bereits vorwegzunehmen.</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Die Konstruktion der Basiswechselmatrix zeigt anschließend, dass ihre Spalten konkrete Koordinatendarstellungen der Basisvektoren enthalten. Das zweidimensionale Beispiel macht Hin- und Rücktransformation explizit und verdeutlicht, dass sich dabei nur die Darstellung, nicht das mathematische Objekt selbst ändert.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Mit den </w:t>
      </w:r>
      <w:proofErr w:type="spellStart"/>
      <w:r w:rsidRPr="003C7EAE">
        <w:rPr>
          <w:rFonts w:ascii="Times New Roman" w:hAnsi="Times New Roman" w:cs="Times New Roman"/>
          <w:bCs w:val="0"/>
        </w:rPr>
        <w:t>Determinantenbeispielen</w:t>
      </w:r>
      <w:proofErr w:type="spellEnd"/>
      <w:r w:rsidRPr="003C7EAE">
        <w:rPr>
          <w:rFonts w:ascii="Times New Roman" w:hAnsi="Times New Roman" w:cs="Times New Roman"/>
          <w:bCs w:val="0"/>
        </w:rPr>
        <w:t xml:space="preserve"> wird schließlich sichtbar, wie ein einzelner Skalar unterschiedliche strukturelle Informationen bündelt. Bei einer 2×2-Matrix kann er unmittelbar berechnet werden, bei einer 3×3-Matrix beispielsweise durch Laplace-Entwicklung. Sein Betrag beschreibt die Flächen- oder Volumenskalierung, sein Vorzeichen die Orientierung. Verschwindet die Determinante, ist die quadratische Transformation singulär und mindestens eine unabhängige Richtung wird nicht mehr in voller Dimension übertragen </w:t>
      </w:r>
      <w:r w:rsidR="00437508">
        <w:rPr>
          <w:rFonts w:ascii="Times New Roman" w:hAnsi="Times New Roman" w:cs="Times New Roman"/>
          <w:bCs w:val="0"/>
        </w:rPr>
        <w:t>[</w:t>
      </w:r>
      <w:r w:rsidRPr="003C7EAE">
        <w:rPr>
          <w:rFonts w:ascii="Times New Roman" w:hAnsi="Times New Roman" w:cs="Times New Roman"/>
          <w:bCs w:val="0"/>
        </w:rPr>
        <w:t>71</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74</w:t>
      </w:r>
      <w:r w:rsidR="00437508">
        <w:rPr>
          <w:rFonts w:ascii="Times New Roman" w:hAnsi="Times New Roman" w:cs="Times New Roman"/>
          <w:bCs w:val="0"/>
        </w:rPr>
        <w:t>]</w:t>
      </w:r>
      <w:r w:rsidRPr="003C7EAE">
        <w:rPr>
          <w:rFonts w:ascii="Times New Roman" w:hAnsi="Times New Roman" w:cs="Times New Roman"/>
          <w:bCs w:val="0"/>
        </w:rPr>
        <w:t xml:space="preserve"> </w:t>
      </w:r>
      <w:r w:rsidR="00437508">
        <w:rPr>
          <w:rFonts w:ascii="Times New Roman" w:hAnsi="Times New Roman" w:cs="Times New Roman"/>
          <w:bCs w:val="0"/>
        </w:rPr>
        <w:t>[</w:t>
      </w:r>
      <w:r w:rsidRPr="003C7EAE">
        <w:rPr>
          <w:rFonts w:ascii="Times New Roman" w:hAnsi="Times New Roman" w:cs="Times New Roman"/>
          <w:bCs w:val="0"/>
        </w:rPr>
        <w:t>82</w:t>
      </w:r>
      <w:r w:rsidR="00437508">
        <w:rPr>
          <w:rFonts w:ascii="Times New Roman" w:hAnsi="Times New Roman" w:cs="Times New Roman"/>
          <w:bCs w:val="0"/>
        </w:rPr>
        <w:t>]</w:t>
      </w:r>
      <w:r w:rsidRPr="003C7EAE">
        <w:rPr>
          <w:rFonts w:ascii="Times New Roman" w:hAnsi="Times New Roman" w:cs="Times New Roman"/>
          <w:bCs w:val="0"/>
        </w:rPr>
        <w:t>.</w:t>
      </w:r>
    </w:p>
    <w:p w:rsidR="003C7EAE" w:rsidRPr="003C7EAE" w:rsidRDefault="003C7EAE" w:rsidP="003C7EAE">
      <w:pPr>
        <w:spacing w:before="100" w:beforeAutospacing="1" w:after="100" w:afterAutospacing="1"/>
        <w:rPr>
          <w:rFonts w:ascii="Times New Roman" w:hAnsi="Times New Roman" w:cs="Times New Roman"/>
          <w:bCs w:val="0"/>
        </w:rPr>
      </w:pPr>
      <w:r w:rsidRPr="003C7EAE">
        <w:rPr>
          <w:rFonts w:ascii="Times New Roman" w:hAnsi="Times New Roman" w:cs="Times New Roman"/>
          <w:bCs w:val="0"/>
        </w:rPr>
        <w:t xml:space="preserve">Damit ist zugleich die Grenze von M3 erreicht. Die Determinante liefert bei quadratischen Matrizen ein starkes Kriterium für </w:t>
      </w:r>
      <w:proofErr w:type="spellStart"/>
      <w:r w:rsidRPr="003C7EAE">
        <w:rPr>
          <w:rFonts w:ascii="Times New Roman" w:hAnsi="Times New Roman" w:cs="Times New Roman"/>
          <w:bCs w:val="0"/>
        </w:rPr>
        <w:t>Invertierbarkeit</w:t>
      </w:r>
      <w:proofErr w:type="spellEnd"/>
      <w:r w:rsidRPr="003C7EAE">
        <w:rPr>
          <w:rFonts w:ascii="Times New Roman" w:hAnsi="Times New Roman" w:cs="Times New Roman"/>
          <w:bCs w:val="0"/>
        </w:rPr>
        <w:t xml:space="preserve"> und Dimensionsverlust, beantwortet aber noch nicht allgemein, welche Richtungen im Bild erhalten bleiben und welche Eingangsrichtungen auf den Nullvektor abgebildet werden. Diese Fragen werden in </w:t>
      </w:r>
      <w:r w:rsidRPr="003C7EAE">
        <w:rPr>
          <w:rFonts w:ascii="Times New Roman" w:hAnsi="Times New Roman" w:cs="Times New Roman"/>
          <w:b/>
        </w:rPr>
        <w:t>Anlage M4 – Rang, Kern, Bild und lineare Gleichungssysteme</w:t>
      </w:r>
      <w:r w:rsidRPr="003C7EAE">
        <w:rPr>
          <w:rFonts w:ascii="Times New Roman" w:hAnsi="Times New Roman" w:cs="Times New Roman"/>
          <w:bCs w:val="0"/>
        </w:rPr>
        <w:t xml:space="preserve"> systematisch vertieft.</w:t>
      </w:r>
    </w:p>
    <w:p w:rsidR="00D313FE" w:rsidRPr="003C7EAE" w:rsidRDefault="00D313FE" w:rsidP="003C7EAE">
      <w:pPr>
        <w:rPr>
          <w:rStyle w:val="SQLTabellen"/>
          <w:rFonts w:ascii="Calibri" w:hAnsi="Calibri"/>
          <w:b w:val="0"/>
          <w:sz w:val="24"/>
        </w:rPr>
      </w:pPr>
      <w:bookmarkStart w:id="0" w:name="_GoBack"/>
      <w:bookmarkEnd w:id="0"/>
    </w:p>
    <w:sectPr w:rsidR="00D313FE" w:rsidRPr="003C7EA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AE"/>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3C7EAE"/>
    <w:rsid w:val="00433ECB"/>
    <w:rsid w:val="00436FC4"/>
    <w:rsid w:val="00437508"/>
    <w:rsid w:val="0044266C"/>
    <w:rsid w:val="00446557"/>
    <w:rsid w:val="00461C7A"/>
    <w:rsid w:val="00483AB8"/>
    <w:rsid w:val="00500020"/>
    <w:rsid w:val="005454E6"/>
    <w:rsid w:val="00560B17"/>
    <w:rsid w:val="005B5EFD"/>
    <w:rsid w:val="005E4CED"/>
    <w:rsid w:val="006016DC"/>
    <w:rsid w:val="00687548"/>
    <w:rsid w:val="006B3395"/>
    <w:rsid w:val="00706409"/>
    <w:rsid w:val="00706CAE"/>
    <w:rsid w:val="007115B7"/>
    <w:rsid w:val="00715B49"/>
    <w:rsid w:val="00795695"/>
    <w:rsid w:val="007A3369"/>
    <w:rsid w:val="007B7DE7"/>
    <w:rsid w:val="007E333F"/>
    <w:rsid w:val="007E47AB"/>
    <w:rsid w:val="00835ADB"/>
    <w:rsid w:val="008871CF"/>
    <w:rsid w:val="008B0C43"/>
    <w:rsid w:val="008C4935"/>
    <w:rsid w:val="008E0764"/>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9309"/>
  <w15:chartTrackingRefBased/>
  <w15:docId w15:val="{4BD2C676-E2D9-4196-A8E0-6EB5A859C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customStyle="1" w:styleId="katex">
    <w:name w:val="katex"/>
    <w:basedOn w:val="Absatz-Standardschriftart"/>
    <w:rsid w:val="003C7EAE"/>
  </w:style>
  <w:style w:type="character" w:styleId="HTMLCode">
    <w:name w:val="HTML Code"/>
    <w:basedOn w:val="Absatz-Standardschriftart"/>
    <w:uiPriority w:val="99"/>
    <w:semiHidden/>
    <w:unhideWhenUsed/>
    <w:rsid w:val="003C7EAE"/>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3C7E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9482465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Pages>
  <Words>2264</Words>
  <Characters>14267</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2026-09-02T16:17:00Z</dcterms:created>
  <dcterms:modified xsi:type="dcterms:W3CDTF">2026-09-02T16:57:00Z</dcterms:modified>
</cp:coreProperties>
</file>