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Technische Anlage 6.x.2 Semantische Dichte</w:t>
      </w:r>
    </w:p>
    <w:p>
      <w:pPr>
        <w:pStyle w:val="Heading1"/>
      </w:pPr>
      <w:r>
        <w:t>1 Datengrundlage</w:t>
      </w:r>
    </w:p>
    <w:p>
      <w:r>
        <w:t>323 Teilnehmerzustände, 9 Gruppen, 28 Teilnehmende. Grundlage: frzk_semantische_dichte_teilnehmer_7d.</w:t>
      </w:r>
    </w:p>
    <w:p>
      <w:pPr>
        <w:pStyle w:val="Heading1"/>
      </w:pPr>
      <w:r>
        <w:t>2 Zentrale Befunde</w:t>
      </w:r>
    </w:p>
    <w:p>
      <w:r>
        <w:t>Mittlere semantische Dichte: 1.9099. Dichteklassen: 107 geringe, 106 mittlere, 110 hohe Dichte.</w:t>
      </w:r>
    </w:p>
    <w:p>
      <w:pPr>
        <w:pStyle w:val="Heading2"/>
      </w:pPr>
      <w:r>
        <w:t>abb_6x2_01_gruppenvergleich_hT.png</w:t>
      </w:r>
    </w:p>
    <w:p>
      <w:r>
        <w:drawing>
          <wp:inline xmlns:a="http://schemas.openxmlformats.org/drawingml/2006/main" xmlns:pic="http://schemas.openxmlformats.org/drawingml/2006/picture">
            <wp:extent cx="5029200" cy="2933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b_6x2_01_gruppenvergleich_h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abb_6x2_02_zeitreihe_hT_gruppen.png</w:t>
      </w:r>
    </w:p>
    <w:p>
      <w:r>
        <w:drawing>
          <wp:inline xmlns:a="http://schemas.openxmlformats.org/drawingml/2006/main" xmlns:pic="http://schemas.openxmlformats.org/drawingml/2006/picture">
            <wp:extent cx="5029200" cy="27080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b_6x2_02_zeitreihe_hT_grupp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8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abb_6x2_03_heatmap_7d_gruppenprofil.png</w:t>
      </w:r>
    </w:p>
    <w:p>
      <w:r>
        <w:drawing>
          <wp:inline xmlns:a="http://schemas.openxmlformats.org/drawingml/2006/main" xmlns:pic="http://schemas.openxmlformats.org/drawingml/2006/picture">
            <wp:extent cx="5029200" cy="2933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b_6x2_03_heatmap_7d_gruppenprof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abb_6x2_04_3d_projection_kognition_sozial_affektiv.png</w:t>
      </w:r>
    </w:p>
    <w:p>
      <w:r>
        <w:drawing>
          <wp:inline xmlns:a="http://schemas.openxmlformats.org/drawingml/2006/main" xmlns:pic="http://schemas.openxmlformats.org/drawingml/2006/picture">
            <wp:extent cx="502920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b_6x2_04_3d_projection_kognition_sozial_affektiv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abb_6x2_05_gesamtprofil_7d.png</w:t>
      </w:r>
    </w:p>
    <w:p>
      <w:r>
        <w:drawing>
          <wp:inline xmlns:a="http://schemas.openxmlformats.org/drawingml/2006/main" xmlns:pic="http://schemas.openxmlformats.org/drawingml/2006/picture">
            <wp:extent cx="5029200" cy="2933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b_6x2_05_gesamtprofil_7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 Gruppenvergleich</w:t>
      </w:r>
    </w:p>
    <w:p>
      <w:r>
        <w:t xml:space="preserve"> gruppe_id  n  h_T_mean  h_T_std  h_T_min  h_T_max</w:t>
        <w:br/>
        <w:t xml:space="preserve">         3  7  2.392388 0.292411 1.939150 2.741488</w:t>
        <w:br/>
        <w:t xml:space="preserve">         2 47  2.074040 0.294987 1.428549 2.779336</w:t>
        <w:br/>
        <w:t xml:space="preserve">         6 39  2.061967 0.467444 0.633812 2.738278</w:t>
        <w:br/>
        <w:t xml:space="preserve">         7 31  2.035014 0.463292 0.959753 2.731573</w:t>
        <w:br/>
        <w:t xml:space="preserve">         5 38  1.934479 0.441484 0.902153 2.620636</w:t>
        <w:br/>
        <w:t xml:space="preserve">         1 28  1.870712 0.315910 1.105187 2.370973</w:t>
        <w:br/>
        <w:t xml:space="preserve">         8 53  1.868138 0.476483 0.254409 2.676971</w:t>
        <w:br/>
        <w:t xml:space="preserve">         9 34  1.750089 0.493471 0.646144 2.587056</w:t>
        <w:br/>
        <w:t xml:space="preserve">         4 46  1.625653 0.423427 0.696714 2.342130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