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1746D" w14:textId="77777777" w:rsidR="00592199" w:rsidRPr="00592199" w:rsidRDefault="00592199" w:rsidP="00592199">
      <w:pPr>
        <w:rPr>
          <w:b/>
        </w:rPr>
      </w:pPr>
      <w:r w:rsidRPr="00592199">
        <w:rPr>
          <w:b/>
        </w:rPr>
        <w:t>Methodisch-didaktische Anlage zu 6.x.24 Lehrkraftgebundene Resonanzräume und gruppendynamische Stabilisierung</w:t>
      </w:r>
    </w:p>
    <w:p w14:paraId="64CC5AED" w14:textId="77777777" w:rsidR="00592199" w:rsidRPr="00592199" w:rsidRDefault="00592199" w:rsidP="00592199">
      <w:pPr>
        <w:rPr>
          <w:b/>
        </w:rPr>
      </w:pPr>
      <w:r w:rsidRPr="00592199">
        <w:rPr>
          <w:b/>
        </w:rPr>
        <w:t>A. Zielsetzung der Untersuchung</w:t>
      </w:r>
    </w:p>
    <w:p w14:paraId="0EC9346E" w14:textId="77777777" w:rsidR="00592199" w:rsidRPr="00592199" w:rsidRDefault="00592199" w:rsidP="00592199">
      <w:r w:rsidRPr="00592199">
        <w:t>Die vorliegende Untersuchung verfolgt das Ziel, die Bedeutung lehrkraftgebundener Resonanzräume für die Stabilität pädagogischer Systeme im Kontext der Nachhilfe empirisch zu untersuchen. Ausgangspunkt ist die Beobachtung, dass die bisherigen FRZK-Analysen einerseits eine hohe semantische Kopplung zwischen Lehrkraft- und Teilnehmerzuständen nachweisen konnten, andererseits jedoch die kontrafaktische Lehrkraftprofilanalyse überraschend geringe Distanzunterschiede zwischen den Profilen verschiedener Lehrkräfte zeigte.</w:t>
      </w:r>
    </w:p>
    <w:p w14:paraId="57ED1CE0" w14:textId="77777777" w:rsidR="00592199" w:rsidRPr="00592199" w:rsidRDefault="00592199" w:rsidP="00592199">
      <w:r w:rsidRPr="00592199">
        <w:t>Die zentrale Forschungsfrage lautet daher:</w:t>
      </w:r>
    </w:p>
    <w:p w14:paraId="3E79B111" w14:textId="77777777" w:rsidR="00592199" w:rsidRPr="00592199" w:rsidRDefault="00592199" w:rsidP="00592199">
      <w:r w:rsidRPr="00592199">
        <w:t>Welche Bedeutung besitzt die konkrete Lehrkraft für die Stabilität pädagogischer Resonanzräume und wie wirken sich Veränderungen dieser Resonanzräume auf gruppendynamische Prozesse aus?</w:t>
      </w:r>
    </w:p>
    <w:p w14:paraId="5D8A9E09" w14:textId="77777777" w:rsidR="00592199" w:rsidRPr="00592199" w:rsidRDefault="00592199" w:rsidP="00592199">
      <w:r w:rsidRPr="00592199">
        <w:t>Im Mittelpunkt steht dabei insbesondere die Frage, ob die beobachteten Gruppendynamiken primär durch gruppeninterne Prozesse entstehen oder ob stabile pädagogische Resonanzräume wesentlich an die Person der Lehrkraft gebunden sind.</w:t>
      </w:r>
    </w:p>
    <w:p w14:paraId="29DD9656" w14:textId="77777777" w:rsidR="00592199" w:rsidRPr="00592199" w:rsidRDefault="00592199" w:rsidP="00592199">
      <w:r w:rsidRPr="00592199">
        <w:pict w14:anchorId="47148576">
          <v:rect id="_x0000_i1079" style="width:0;height:1.5pt" o:hralign="center" o:hrstd="t" o:hr="t" fillcolor="#a0a0a0" stroked="f"/>
        </w:pict>
      </w:r>
    </w:p>
    <w:p w14:paraId="34DD3DA1" w14:textId="77777777" w:rsidR="00592199" w:rsidRPr="00592199" w:rsidRDefault="00592199" w:rsidP="00592199">
      <w:pPr>
        <w:rPr>
          <w:b/>
        </w:rPr>
      </w:pPr>
      <w:r w:rsidRPr="00592199">
        <w:rPr>
          <w:b/>
        </w:rPr>
        <w:t>B. Theoretischer Hintergrund</w:t>
      </w:r>
    </w:p>
    <w:p w14:paraId="269221E8" w14:textId="77777777" w:rsidR="00592199" w:rsidRPr="00592199" w:rsidRDefault="00592199" w:rsidP="00592199">
      <w:pPr>
        <w:rPr>
          <w:b/>
        </w:rPr>
      </w:pPr>
      <w:r w:rsidRPr="00592199">
        <w:rPr>
          <w:b/>
        </w:rPr>
        <w:t>B.1 Resonanz als pädagogisches Grundprinzip</w:t>
      </w:r>
    </w:p>
    <w:p w14:paraId="4F2B81A5" w14:textId="77777777" w:rsidR="00592199" w:rsidRPr="00592199" w:rsidRDefault="00592199" w:rsidP="00592199">
      <w:r w:rsidRPr="00592199">
        <w:t>Die klassische Unterrichtsforschung beschreibt Lernerfolg häufig als Ergebnis von Unterrichtsqualität, kognitiver Aktivierung, Klassenführung und konstruktiver Unterstützung [1][2]. In den letzten Jahren wurden diese linearen Modelle zunehmend durch relationale Ansätze ergänzt, welche Lernen als Ergebnis dynamischer Wechselwirkungen zwischen Lehrenden und Lernenden betrachten [3][4].</w:t>
      </w:r>
    </w:p>
    <w:p w14:paraId="531971E7" w14:textId="77777777" w:rsidR="00592199" w:rsidRPr="00592199" w:rsidRDefault="00592199" w:rsidP="00592199">
      <w:r w:rsidRPr="00592199">
        <w:t>Besonders einflussreich sind hierbei die Arbeiten von Hartmut Rosa, der Bildung als Resonanzprozess beschreibt [5]. Lernen entsteht demnach nicht allein durch Wissensvermittlung, sondern durch die Ausbildung tragfähiger Weltbeziehungen. Resonanz bezeichnet dabei die Fähigkeit eines Systems, auf Impulse seiner Umwelt antworten zu können, ohne dabei seine Eigenständigkeit zu verlieren.</w:t>
      </w:r>
    </w:p>
    <w:p w14:paraId="12339864" w14:textId="77777777" w:rsidR="00592199" w:rsidRPr="00592199" w:rsidRDefault="00592199" w:rsidP="00592199">
      <w:r w:rsidRPr="00592199">
        <w:t>Aus dieser Perspektive wird Unterricht nicht mehr als Einbahnstraße verstanden, sondern als rekursiver Interaktionsraum.</w:t>
      </w:r>
    </w:p>
    <w:p w14:paraId="6069F643" w14:textId="77777777" w:rsidR="00592199" w:rsidRPr="00592199" w:rsidRDefault="00592199" w:rsidP="00592199">
      <w:r w:rsidRPr="00592199">
        <w:pict w14:anchorId="7950D150">
          <v:rect id="_x0000_i1080" style="width:0;height:1.5pt" o:hralign="center" o:hrstd="t" o:hr="t" fillcolor="#a0a0a0" stroked="f"/>
        </w:pict>
      </w:r>
    </w:p>
    <w:p w14:paraId="5C19628C" w14:textId="77777777" w:rsidR="00592199" w:rsidRPr="00592199" w:rsidRDefault="00592199" w:rsidP="00592199">
      <w:pPr>
        <w:rPr>
          <w:b/>
        </w:rPr>
      </w:pPr>
      <w:r w:rsidRPr="00592199">
        <w:rPr>
          <w:b/>
        </w:rPr>
        <w:t>B.2 Resonanzräume im FRZK</w:t>
      </w:r>
    </w:p>
    <w:p w14:paraId="54E67883" w14:textId="77777777" w:rsidR="00592199" w:rsidRPr="00592199" w:rsidRDefault="00592199" w:rsidP="00592199">
      <w:r w:rsidRPr="00592199">
        <w:t>Das FRZK erweitert diesen Gedanken um eine mathematisch-semantische Zustandsbeschreibung.</w:t>
      </w:r>
    </w:p>
    <w:p w14:paraId="28AA29C2" w14:textId="77777777" w:rsidR="00592199" w:rsidRPr="00592199" w:rsidRDefault="00592199" w:rsidP="00592199">
      <w:r w:rsidRPr="00592199">
        <w:t>Lehrkräfte und Teilnehmende werden hierbei als gekoppelte Zustandsräume beschrieben, deren Dynamik sich innerhalb eines gemeinsamen sieben-dimensionalen semantischen Raumes entfaltet.</w:t>
      </w:r>
    </w:p>
    <w:p w14:paraId="2310CE19" w14:textId="77777777" w:rsidR="00592199" w:rsidRPr="00592199" w:rsidRDefault="00592199" w:rsidP="00592199">
      <w:r w:rsidRPr="00592199">
        <w:t>Die Zustandsdimensionen umfassen:</w:t>
      </w:r>
    </w:p>
    <w:p w14:paraId="56BF47A8" w14:textId="77777777" w:rsidR="00592199" w:rsidRPr="00592199" w:rsidRDefault="00592199" w:rsidP="00592199">
      <w:pPr>
        <w:numPr>
          <w:ilvl w:val="0"/>
          <w:numId w:val="6"/>
        </w:numPr>
      </w:pPr>
      <w:r w:rsidRPr="00592199">
        <w:t>Kognition</w:t>
      </w:r>
    </w:p>
    <w:p w14:paraId="032CE92D" w14:textId="77777777" w:rsidR="00592199" w:rsidRPr="00592199" w:rsidRDefault="00592199" w:rsidP="00592199">
      <w:pPr>
        <w:numPr>
          <w:ilvl w:val="0"/>
          <w:numId w:val="6"/>
        </w:numPr>
      </w:pPr>
      <w:r w:rsidRPr="00592199">
        <w:lastRenderedPageBreak/>
        <w:t>Sozialität</w:t>
      </w:r>
    </w:p>
    <w:p w14:paraId="6CFA2176" w14:textId="77777777" w:rsidR="00592199" w:rsidRPr="00592199" w:rsidRDefault="00592199" w:rsidP="00592199">
      <w:pPr>
        <w:numPr>
          <w:ilvl w:val="0"/>
          <w:numId w:val="6"/>
        </w:numPr>
      </w:pPr>
      <w:r w:rsidRPr="00592199">
        <w:t>Affektivität</w:t>
      </w:r>
    </w:p>
    <w:p w14:paraId="52E29BF6" w14:textId="77777777" w:rsidR="00592199" w:rsidRPr="00592199" w:rsidRDefault="00592199" w:rsidP="00592199">
      <w:pPr>
        <w:numPr>
          <w:ilvl w:val="0"/>
          <w:numId w:val="6"/>
        </w:numPr>
      </w:pPr>
      <w:r w:rsidRPr="00592199">
        <w:t>Motivation</w:t>
      </w:r>
    </w:p>
    <w:p w14:paraId="5A861318" w14:textId="77777777" w:rsidR="00592199" w:rsidRPr="00592199" w:rsidRDefault="00592199" w:rsidP="00592199">
      <w:pPr>
        <w:numPr>
          <w:ilvl w:val="0"/>
          <w:numId w:val="6"/>
        </w:numPr>
      </w:pPr>
      <w:r w:rsidRPr="00592199">
        <w:t>Methodik</w:t>
      </w:r>
    </w:p>
    <w:p w14:paraId="64975AAE" w14:textId="77777777" w:rsidR="00592199" w:rsidRPr="00592199" w:rsidRDefault="00592199" w:rsidP="00592199">
      <w:pPr>
        <w:numPr>
          <w:ilvl w:val="0"/>
          <w:numId w:val="6"/>
        </w:numPr>
      </w:pPr>
      <w:r w:rsidRPr="00592199">
        <w:t>Performanz</w:t>
      </w:r>
    </w:p>
    <w:p w14:paraId="1D7EB2AF" w14:textId="77777777" w:rsidR="00592199" w:rsidRPr="00592199" w:rsidRDefault="00592199" w:rsidP="00592199">
      <w:pPr>
        <w:numPr>
          <w:ilvl w:val="0"/>
          <w:numId w:val="6"/>
        </w:numPr>
      </w:pPr>
      <w:r w:rsidRPr="00592199">
        <w:t>Regulation</w:t>
      </w:r>
    </w:p>
    <w:p w14:paraId="2099A583" w14:textId="77777777" w:rsidR="00592199" w:rsidRPr="00592199" w:rsidRDefault="00592199" w:rsidP="00592199">
      <w:r w:rsidRPr="00592199">
        <w:t>Innerhalb dieses Raumes entstehen Resonanzfelder, Attraktoren, Driftbewegungen und Stabilisierungseffekte.</w:t>
      </w:r>
    </w:p>
    <w:p w14:paraId="416F666F" w14:textId="77777777" w:rsidR="00592199" w:rsidRPr="00592199" w:rsidRDefault="00592199" w:rsidP="00592199">
      <w:r w:rsidRPr="00592199">
        <w:t xml:space="preserve">Die bisherige Validierung des Modells zeigte mehrfach außergewöhnlich hohe strukturelle Kopplungen zwischen Lehrkraft- und Teilnehmerzuständen. Insbesondere die globale Resonanzkopplung erreichte </w:t>
      </w:r>
      <w:proofErr w:type="spellStart"/>
      <w:r w:rsidRPr="00592199">
        <w:t>Kosinusähnlichkeiten</w:t>
      </w:r>
      <w:proofErr w:type="spellEnd"/>
      <w:r w:rsidRPr="00592199">
        <w:t xml:space="preserve"> im Bereich von etwa 0,93 bis 0,95 und deutet damit auf eine erhebliche strukturelle Nähe beider Zustandsräume hin [6].</w:t>
      </w:r>
    </w:p>
    <w:p w14:paraId="69B993FA" w14:textId="77777777" w:rsidR="00592199" w:rsidRPr="00592199" w:rsidRDefault="00592199" w:rsidP="00592199">
      <w:r w:rsidRPr="00592199">
        <w:pict w14:anchorId="2C7AD4E9">
          <v:rect id="_x0000_i1081" style="width:0;height:1.5pt" o:hralign="center" o:hrstd="t" o:hr="t" fillcolor="#a0a0a0" stroked="f"/>
        </w:pict>
      </w:r>
    </w:p>
    <w:p w14:paraId="0F6ECDFE" w14:textId="77777777" w:rsidR="00592199" w:rsidRPr="00592199" w:rsidRDefault="00592199" w:rsidP="00592199">
      <w:pPr>
        <w:rPr>
          <w:b/>
        </w:rPr>
      </w:pPr>
      <w:r w:rsidRPr="00592199">
        <w:rPr>
          <w:b/>
        </w:rPr>
        <w:t>C. Interpretation der Ergebnisse</w:t>
      </w:r>
    </w:p>
    <w:p w14:paraId="28E13987" w14:textId="77777777" w:rsidR="00592199" w:rsidRPr="00592199" w:rsidRDefault="00592199" w:rsidP="00592199">
      <w:pPr>
        <w:rPr>
          <w:b/>
        </w:rPr>
      </w:pPr>
      <w:r w:rsidRPr="00592199">
        <w:rPr>
          <w:b/>
        </w:rPr>
        <w:t>C.1 Die Lehrkraft als Resonanzträger</w:t>
      </w:r>
    </w:p>
    <w:p w14:paraId="6368C8FB" w14:textId="77777777" w:rsidR="00592199" w:rsidRPr="00592199" w:rsidRDefault="00592199" w:rsidP="00592199">
      <w:r w:rsidRPr="00592199">
        <w:t>Die Teilnehmeraussagen zeigen bemerkenswerte Übereinstimmungen.</w:t>
      </w:r>
    </w:p>
    <w:p w14:paraId="45F33653" w14:textId="77777777" w:rsidR="00592199" w:rsidRPr="00592199" w:rsidRDefault="00592199" w:rsidP="00592199">
      <w:r w:rsidRPr="00592199">
        <w:t>Wiederholt werden genannt:</w:t>
      </w:r>
    </w:p>
    <w:p w14:paraId="1E77F2A2" w14:textId="77777777" w:rsidR="00592199" w:rsidRPr="00592199" w:rsidRDefault="00592199" w:rsidP="00592199">
      <w:pPr>
        <w:numPr>
          <w:ilvl w:val="0"/>
          <w:numId w:val="7"/>
        </w:numPr>
      </w:pPr>
      <w:r w:rsidRPr="00592199">
        <w:t>Struktur</w:t>
      </w:r>
    </w:p>
    <w:p w14:paraId="7AA3FA94" w14:textId="77777777" w:rsidR="00592199" w:rsidRPr="00592199" w:rsidRDefault="00592199" w:rsidP="00592199">
      <w:pPr>
        <w:numPr>
          <w:ilvl w:val="0"/>
          <w:numId w:val="7"/>
        </w:numPr>
      </w:pPr>
      <w:r w:rsidRPr="00592199">
        <w:t>Stabilität</w:t>
      </w:r>
    </w:p>
    <w:p w14:paraId="7FD0F5C6" w14:textId="77777777" w:rsidR="00592199" w:rsidRPr="00592199" w:rsidRDefault="00592199" w:rsidP="00592199">
      <w:pPr>
        <w:numPr>
          <w:ilvl w:val="0"/>
          <w:numId w:val="7"/>
        </w:numPr>
      </w:pPr>
      <w:r w:rsidRPr="00592199">
        <w:t>Verlässlichkeit</w:t>
      </w:r>
    </w:p>
    <w:p w14:paraId="0E71B06F" w14:textId="77777777" w:rsidR="00592199" w:rsidRPr="00592199" w:rsidRDefault="00592199" w:rsidP="00592199">
      <w:pPr>
        <w:numPr>
          <w:ilvl w:val="0"/>
          <w:numId w:val="7"/>
        </w:numPr>
      </w:pPr>
      <w:r w:rsidRPr="00592199">
        <w:t>individuelle Vorbereitung</w:t>
      </w:r>
    </w:p>
    <w:p w14:paraId="3A8A3D69" w14:textId="77777777" w:rsidR="00592199" w:rsidRPr="00592199" w:rsidRDefault="00592199" w:rsidP="00592199">
      <w:pPr>
        <w:numPr>
          <w:ilvl w:val="0"/>
          <w:numId w:val="7"/>
        </w:numPr>
      </w:pPr>
      <w:r w:rsidRPr="00592199">
        <w:t>persönliche Zuwendung</w:t>
      </w:r>
    </w:p>
    <w:p w14:paraId="6462A9A1" w14:textId="77777777" w:rsidR="00592199" w:rsidRPr="00592199" w:rsidRDefault="00592199" w:rsidP="00592199">
      <w:pPr>
        <w:numPr>
          <w:ilvl w:val="0"/>
          <w:numId w:val="7"/>
        </w:numPr>
      </w:pPr>
      <w:r w:rsidRPr="00592199">
        <w:t>Reflexion</w:t>
      </w:r>
    </w:p>
    <w:p w14:paraId="38126014" w14:textId="77777777" w:rsidR="00592199" w:rsidRPr="00592199" w:rsidRDefault="00592199" w:rsidP="00592199">
      <w:pPr>
        <w:numPr>
          <w:ilvl w:val="0"/>
          <w:numId w:val="7"/>
        </w:numPr>
      </w:pPr>
      <w:r w:rsidRPr="00592199">
        <w:t>fachliche Sicherheit</w:t>
      </w:r>
    </w:p>
    <w:p w14:paraId="33FCA9E5" w14:textId="77777777" w:rsidR="00592199" w:rsidRPr="00592199" w:rsidRDefault="00592199" w:rsidP="00592199">
      <w:r w:rsidRPr="00592199">
        <w:t>Diese Merkmale entsprechen nahezu exakt denjenigen Zustandsdimensionen, die in den FRZK-Profilanalysen von Lehrkraft 1 als besonders ausgeprägt rekonstruiert wurden.</w:t>
      </w:r>
    </w:p>
    <w:p w14:paraId="7F0E8CBB" w14:textId="77777777" w:rsidR="00592199" w:rsidRPr="00592199" w:rsidRDefault="00592199" w:rsidP="00592199">
      <w:r w:rsidRPr="00592199">
        <w:t>Besonders bedeutsam erscheint hierbei die Kombination aus:</w:t>
      </w:r>
    </w:p>
    <w:p w14:paraId="6C39DA44" w14:textId="77777777" w:rsidR="00592199" w:rsidRPr="00592199" w:rsidRDefault="00592199" w:rsidP="00592199">
      <w:pPr>
        <w:numPr>
          <w:ilvl w:val="0"/>
          <w:numId w:val="8"/>
        </w:numPr>
      </w:pPr>
      <w:r w:rsidRPr="00592199">
        <w:t>hoher Methodik,</w:t>
      </w:r>
    </w:p>
    <w:p w14:paraId="0277581F" w14:textId="77777777" w:rsidR="00592199" w:rsidRPr="00592199" w:rsidRDefault="00592199" w:rsidP="00592199">
      <w:pPr>
        <w:numPr>
          <w:ilvl w:val="0"/>
          <w:numId w:val="8"/>
        </w:numPr>
      </w:pPr>
      <w:r w:rsidRPr="00592199">
        <w:t>hoher Regulation,</w:t>
      </w:r>
    </w:p>
    <w:p w14:paraId="377C42A7" w14:textId="77777777" w:rsidR="00592199" w:rsidRPr="00592199" w:rsidRDefault="00592199" w:rsidP="00592199">
      <w:pPr>
        <w:numPr>
          <w:ilvl w:val="0"/>
          <w:numId w:val="8"/>
        </w:numPr>
      </w:pPr>
      <w:r w:rsidRPr="00592199">
        <w:t>hoher Performanz sowie</w:t>
      </w:r>
    </w:p>
    <w:p w14:paraId="3515CCA6" w14:textId="77777777" w:rsidR="00592199" w:rsidRPr="00592199" w:rsidRDefault="00592199" w:rsidP="00592199">
      <w:pPr>
        <w:numPr>
          <w:ilvl w:val="0"/>
          <w:numId w:val="8"/>
        </w:numPr>
      </w:pPr>
      <w:r w:rsidRPr="00592199">
        <w:t>hoher Kognition.</w:t>
      </w:r>
    </w:p>
    <w:p w14:paraId="2058CDD4" w14:textId="77777777" w:rsidR="00592199" w:rsidRPr="00592199" w:rsidRDefault="00592199" w:rsidP="00592199">
      <w:r w:rsidRPr="00592199">
        <w:t>Die Teilnehmer beschreiben damit nicht lediglich einen fachlich kompetenten Nachhilfelehrer, sondern einen stabilisierenden Resonanzträger.</w:t>
      </w:r>
    </w:p>
    <w:p w14:paraId="09DD0979" w14:textId="77777777" w:rsidR="00592199" w:rsidRPr="00592199" w:rsidRDefault="00592199" w:rsidP="00592199">
      <w:r w:rsidRPr="00592199">
        <w:t>Methodisch betrachtet stellt dies eine bemerkenswerte Form externer Validierung dar, da die qualitativen Aussagen unabhängig von den mathematischen Rekonstruktionen entstanden sind und dennoch dieselben Strukturmerkmale sichtbar werden.</w:t>
      </w:r>
    </w:p>
    <w:p w14:paraId="7FC1170F" w14:textId="77777777" w:rsidR="00592199" w:rsidRPr="00592199" w:rsidRDefault="00592199" w:rsidP="00592199">
      <w:r w:rsidRPr="00592199">
        <w:pict w14:anchorId="7F46C961">
          <v:rect id="_x0000_i1082" style="width:0;height:1.5pt" o:hralign="center" o:hrstd="t" o:hr="t" fillcolor="#a0a0a0" stroked="f"/>
        </w:pict>
      </w:r>
    </w:p>
    <w:p w14:paraId="2D9E8BD1" w14:textId="77777777" w:rsidR="00592199" w:rsidRPr="00592199" w:rsidRDefault="00592199" w:rsidP="00592199">
      <w:pPr>
        <w:rPr>
          <w:b/>
        </w:rPr>
      </w:pPr>
      <w:r w:rsidRPr="00592199">
        <w:rPr>
          <w:b/>
        </w:rPr>
        <w:lastRenderedPageBreak/>
        <w:t>C.2 Die Bedeutung ritualisierter Reflexion</w:t>
      </w:r>
    </w:p>
    <w:p w14:paraId="3666A406" w14:textId="77777777" w:rsidR="00592199" w:rsidRPr="00592199" w:rsidRDefault="00592199" w:rsidP="00592199">
      <w:r w:rsidRPr="00592199">
        <w:t>Mehrere Teilnehmer beschreiben wiederkehrende Unterrichtsrituale:</w:t>
      </w:r>
    </w:p>
    <w:p w14:paraId="1AAF3E84" w14:textId="77777777" w:rsidR="00592199" w:rsidRPr="00592199" w:rsidRDefault="00592199" w:rsidP="00592199">
      <w:pPr>
        <w:numPr>
          <w:ilvl w:val="0"/>
          <w:numId w:val="9"/>
        </w:numPr>
      </w:pPr>
      <w:r w:rsidRPr="00592199">
        <w:t>Blitzlicht zu Beginn,</w:t>
      </w:r>
    </w:p>
    <w:p w14:paraId="4FFE1A9B" w14:textId="77777777" w:rsidR="00592199" w:rsidRPr="00592199" w:rsidRDefault="00592199" w:rsidP="00592199">
      <w:pPr>
        <w:numPr>
          <w:ilvl w:val="0"/>
          <w:numId w:val="9"/>
        </w:numPr>
      </w:pPr>
      <w:r w:rsidRPr="00592199">
        <w:t>emotionale Selbstbeschreibung,</w:t>
      </w:r>
    </w:p>
    <w:p w14:paraId="624F7F2D" w14:textId="77777777" w:rsidR="00592199" w:rsidRPr="00592199" w:rsidRDefault="00592199" w:rsidP="00592199">
      <w:pPr>
        <w:numPr>
          <w:ilvl w:val="0"/>
          <w:numId w:val="9"/>
        </w:numPr>
      </w:pPr>
      <w:r w:rsidRPr="00592199">
        <w:t>Reflexionsphase am Ende,</w:t>
      </w:r>
    </w:p>
    <w:p w14:paraId="1ECEDD82" w14:textId="77777777" w:rsidR="00592199" w:rsidRPr="00592199" w:rsidRDefault="00592199" w:rsidP="00592199">
      <w:pPr>
        <w:numPr>
          <w:ilvl w:val="0"/>
          <w:numId w:val="9"/>
        </w:numPr>
      </w:pPr>
      <w:r w:rsidRPr="00592199">
        <w:t>metakognitive Abschlussfragen.</w:t>
      </w:r>
    </w:p>
    <w:p w14:paraId="011476E2" w14:textId="77777777" w:rsidR="00592199" w:rsidRPr="00592199" w:rsidRDefault="00592199" w:rsidP="00592199">
      <w:r w:rsidRPr="00592199">
        <w:t>Diese Elemente besitzen aus Sicht des FRZK eine besondere Bedeutung.</w:t>
      </w:r>
    </w:p>
    <w:p w14:paraId="0921677D" w14:textId="77777777" w:rsidR="00592199" w:rsidRPr="00592199" w:rsidRDefault="00592199" w:rsidP="00592199">
      <w:r w:rsidRPr="00592199">
        <w:t>Sie wirken als rekursive Regulationsschleifen, welche die Selbstbeobachtung der Lernenden fördern und damit die Ausbildung stabiler Zustandsräume unterstützen.</w:t>
      </w:r>
    </w:p>
    <w:p w14:paraId="618BE067" w14:textId="77777777" w:rsidR="00592199" w:rsidRPr="00592199" w:rsidRDefault="00592199" w:rsidP="00592199">
      <w:r w:rsidRPr="00592199">
        <w:t>Die Arbeiten von Zimmerman zeigen, dass Selbstregulation einen der stärksten Prädiktoren nachhaltigen Lernerfolgs darstellt [7]. Die vorliegenden Teilnehmeraussagen legen nahe, dass diese regulatorische Ebene nicht zufällig entsteht, sondern systematisch in die Unterrichtsstruktur eingebettet wurde.</w:t>
      </w:r>
    </w:p>
    <w:p w14:paraId="4E2CCB63" w14:textId="77777777" w:rsidR="00592199" w:rsidRPr="00592199" w:rsidRDefault="00592199" w:rsidP="00592199">
      <w:r w:rsidRPr="00592199">
        <w:t>Didaktisch entsteht dadurch ein Lernraum, in dem nicht nur Inhalte vermittelt, sondern gleichzeitig metakognitive Kompetenzen aufgebaut werden.</w:t>
      </w:r>
    </w:p>
    <w:p w14:paraId="27836FC8" w14:textId="77777777" w:rsidR="00592199" w:rsidRPr="00592199" w:rsidRDefault="00592199" w:rsidP="00592199">
      <w:r w:rsidRPr="00592199">
        <w:pict w14:anchorId="59A88D2A">
          <v:rect id="_x0000_i1083" style="width:0;height:1.5pt" o:hralign="center" o:hrstd="t" o:hr="t" fillcolor="#a0a0a0" stroked="f"/>
        </w:pict>
      </w:r>
    </w:p>
    <w:p w14:paraId="786404D3" w14:textId="77777777" w:rsidR="00592199" w:rsidRPr="00592199" w:rsidRDefault="00592199" w:rsidP="00592199">
      <w:pPr>
        <w:rPr>
          <w:b/>
        </w:rPr>
      </w:pPr>
      <w:r w:rsidRPr="00592199">
        <w:rPr>
          <w:b/>
        </w:rPr>
        <w:t xml:space="preserve">C.3 Struktur versus </w:t>
      </w:r>
      <w:proofErr w:type="spellStart"/>
      <w:r w:rsidRPr="00592199">
        <w:rPr>
          <w:b/>
        </w:rPr>
        <w:t>Kumpelhaftigkeit</w:t>
      </w:r>
      <w:proofErr w:type="spellEnd"/>
    </w:p>
    <w:p w14:paraId="301A0332" w14:textId="77777777" w:rsidR="00592199" w:rsidRPr="00592199" w:rsidRDefault="00592199" w:rsidP="00592199">
      <w:r w:rsidRPr="00592199">
        <w:t>Besonders interessant erscheint die wiederholt geäußerte Gegenüberstellung zwischen einem „strukturierten“ und einem „kumpelhaften“ Unterrichtsstil.</w:t>
      </w:r>
    </w:p>
    <w:p w14:paraId="70F96868" w14:textId="77777777" w:rsidR="00592199" w:rsidRPr="00592199" w:rsidRDefault="00592199" w:rsidP="00592199">
      <w:r w:rsidRPr="00592199">
        <w:t>Die Teilnehmer beschreiben andere Lehrkräfte teilweise als:</w:t>
      </w:r>
    </w:p>
    <w:p w14:paraId="2B27566B" w14:textId="77777777" w:rsidR="00592199" w:rsidRPr="00592199" w:rsidRDefault="00592199" w:rsidP="00592199">
      <w:pPr>
        <w:numPr>
          <w:ilvl w:val="0"/>
          <w:numId w:val="10"/>
        </w:numPr>
      </w:pPr>
      <w:r w:rsidRPr="00592199">
        <w:t>spontaner,</w:t>
      </w:r>
    </w:p>
    <w:p w14:paraId="1F2B0B6F" w14:textId="77777777" w:rsidR="00592199" w:rsidRPr="00592199" w:rsidRDefault="00592199" w:rsidP="00592199">
      <w:pPr>
        <w:numPr>
          <w:ilvl w:val="0"/>
          <w:numId w:val="10"/>
        </w:numPr>
      </w:pPr>
      <w:r w:rsidRPr="00592199">
        <w:t>lockerer,</w:t>
      </w:r>
    </w:p>
    <w:p w14:paraId="51625C84" w14:textId="77777777" w:rsidR="00592199" w:rsidRPr="00592199" w:rsidRDefault="00592199" w:rsidP="00592199">
      <w:pPr>
        <w:numPr>
          <w:ilvl w:val="0"/>
          <w:numId w:val="10"/>
        </w:numPr>
      </w:pPr>
      <w:r w:rsidRPr="00592199">
        <w:t>weniger vorbereitet,</w:t>
      </w:r>
    </w:p>
    <w:p w14:paraId="458420D3" w14:textId="77777777" w:rsidR="00592199" w:rsidRPr="00592199" w:rsidRDefault="00592199" w:rsidP="00592199">
      <w:pPr>
        <w:numPr>
          <w:ilvl w:val="0"/>
          <w:numId w:val="10"/>
        </w:numPr>
      </w:pPr>
      <w:r w:rsidRPr="00592199">
        <w:t>stärker situationsorientiert.</w:t>
      </w:r>
    </w:p>
    <w:p w14:paraId="78EC1591" w14:textId="77777777" w:rsidR="00592199" w:rsidRPr="00592199" w:rsidRDefault="00592199" w:rsidP="00592199">
      <w:r w:rsidRPr="00592199">
        <w:t>Demgegenüber wird Lehrkraft 1 als:</w:t>
      </w:r>
    </w:p>
    <w:p w14:paraId="1404507E" w14:textId="77777777" w:rsidR="00592199" w:rsidRPr="00592199" w:rsidRDefault="00592199" w:rsidP="00592199">
      <w:pPr>
        <w:numPr>
          <w:ilvl w:val="0"/>
          <w:numId w:val="11"/>
        </w:numPr>
      </w:pPr>
      <w:r w:rsidRPr="00592199">
        <w:t>präziser,</w:t>
      </w:r>
    </w:p>
    <w:p w14:paraId="0490AC26" w14:textId="77777777" w:rsidR="00592199" w:rsidRPr="00592199" w:rsidRDefault="00592199" w:rsidP="00592199">
      <w:pPr>
        <w:numPr>
          <w:ilvl w:val="0"/>
          <w:numId w:val="11"/>
        </w:numPr>
      </w:pPr>
      <w:r w:rsidRPr="00592199">
        <w:t>stabiler,</w:t>
      </w:r>
    </w:p>
    <w:p w14:paraId="3D28CE06" w14:textId="77777777" w:rsidR="00592199" w:rsidRPr="00592199" w:rsidRDefault="00592199" w:rsidP="00592199">
      <w:pPr>
        <w:numPr>
          <w:ilvl w:val="0"/>
          <w:numId w:val="11"/>
        </w:numPr>
      </w:pPr>
      <w:r w:rsidRPr="00592199">
        <w:t>systematischer,</w:t>
      </w:r>
    </w:p>
    <w:p w14:paraId="61749A10" w14:textId="77777777" w:rsidR="00592199" w:rsidRPr="00592199" w:rsidRDefault="00592199" w:rsidP="00592199">
      <w:pPr>
        <w:numPr>
          <w:ilvl w:val="0"/>
          <w:numId w:val="11"/>
        </w:numPr>
      </w:pPr>
      <w:r w:rsidRPr="00592199">
        <w:t>zielgerichteter</w:t>
      </w:r>
    </w:p>
    <w:p w14:paraId="51474881" w14:textId="77777777" w:rsidR="00592199" w:rsidRPr="00592199" w:rsidRDefault="00592199" w:rsidP="00592199">
      <w:r w:rsidRPr="00592199">
        <w:t>wahrgenommen.</w:t>
      </w:r>
    </w:p>
    <w:p w14:paraId="36B55DE5" w14:textId="77777777" w:rsidR="00592199" w:rsidRPr="00592199" w:rsidRDefault="00592199" w:rsidP="00592199">
      <w:r w:rsidRPr="00592199">
        <w:t>Didaktisch deutet dies auf zwei unterschiedliche Formen pädagogischer Führung hin.</w:t>
      </w:r>
    </w:p>
    <w:p w14:paraId="66DFFCA5" w14:textId="77777777" w:rsidR="00592199" w:rsidRPr="00592199" w:rsidRDefault="00592199" w:rsidP="00592199">
      <w:r w:rsidRPr="00592199">
        <w:t xml:space="preserve">Während adaptive Ansätze stärker auf situative Flexibilität setzen, scheint das rekonstruierte Profil von Lehrkraft 1 stärker auf Stabilisierung, Strukturierung und </w:t>
      </w:r>
      <w:proofErr w:type="spellStart"/>
      <w:r w:rsidRPr="00592199">
        <w:t>Attraktorbildung</w:t>
      </w:r>
      <w:proofErr w:type="spellEnd"/>
      <w:r w:rsidRPr="00592199">
        <w:t xml:space="preserve"> ausgerichtet zu sein.</w:t>
      </w:r>
    </w:p>
    <w:p w14:paraId="39EC39B5" w14:textId="77777777" w:rsidR="00592199" w:rsidRPr="00592199" w:rsidRDefault="00592199" w:rsidP="00592199">
      <w:r w:rsidRPr="00592199">
        <w:t>Die Daten sprechen dafür, dass insbesondere langfristige Nachhilfeprozesse von solchen stabilen Attraktoren profitieren.</w:t>
      </w:r>
    </w:p>
    <w:p w14:paraId="366EA095" w14:textId="77777777" w:rsidR="00592199" w:rsidRPr="00592199" w:rsidRDefault="00592199" w:rsidP="00592199">
      <w:r w:rsidRPr="00592199">
        <w:pict w14:anchorId="323C7912">
          <v:rect id="_x0000_i1084" style="width:0;height:1.5pt" o:hralign="center" o:hrstd="t" o:hr="t" fillcolor="#a0a0a0" stroked="f"/>
        </w:pict>
      </w:r>
    </w:p>
    <w:p w14:paraId="4D134713" w14:textId="77777777" w:rsidR="00592199" w:rsidRPr="00592199" w:rsidRDefault="00592199" w:rsidP="00592199">
      <w:pPr>
        <w:rPr>
          <w:b/>
        </w:rPr>
      </w:pPr>
      <w:r w:rsidRPr="00592199">
        <w:rPr>
          <w:b/>
        </w:rPr>
        <w:lastRenderedPageBreak/>
        <w:t>D. Die Sonderrolle der Gruppe 4</w:t>
      </w:r>
    </w:p>
    <w:p w14:paraId="779A80A9" w14:textId="77777777" w:rsidR="00592199" w:rsidRPr="00592199" w:rsidRDefault="00592199" w:rsidP="00592199">
      <w:pPr>
        <w:rPr>
          <w:b/>
        </w:rPr>
      </w:pPr>
      <w:r w:rsidRPr="00592199">
        <w:rPr>
          <w:b/>
        </w:rPr>
        <w:t>D.1 Vulnerabilität und Resonanzverlust</w:t>
      </w:r>
    </w:p>
    <w:p w14:paraId="7D46CEA6" w14:textId="77777777" w:rsidR="00592199" w:rsidRPr="00592199" w:rsidRDefault="00592199" w:rsidP="00592199">
      <w:r w:rsidRPr="00592199">
        <w:t>Die FRZK-Daten identifizierten Gruppe 4 bereits vor dem Lehrkraftwechsel wiederholt als auffälliges System.</w:t>
      </w:r>
    </w:p>
    <w:p w14:paraId="2072AEDE" w14:textId="77777777" w:rsidR="00592199" w:rsidRPr="00592199" w:rsidRDefault="00592199" w:rsidP="00592199">
      <w:r w:rsidRPr="00592199">
        <w:t>Die Gruppe zeigte:</w:t>
      </w:r>
    </w:p>
    <w:p w14:paraId="6AAB382A" w14:textId="77777777" w:rsidR="00592199" w:rsidRPr="00592199" w:rsidRDefault="00592199" w:rsidP="00592199">
      <w:pPr>
        <w:numPr>
          <w:ilvl w:val="0"/>
          <w:numId w:val="12"/>
        </w:numPr>
      </w:pPr>
      <w:r w:rsidRPr="00592199">
        <w:t>erhöhte Drift,</w:t>
      </w:r>
    </w:p>
    <w:p w14:paraId="459681F8" w14:textId="77777777" w:rsidR="00592199" w:rsidRPr="00592199" w:rsidRDefault="00592199" w:rsidP="00592199">
      <w:pPr>
        <w:numPr>
          <w:ilvl w:val="0"/>
          <w:numId w:val="12"/>
        </w:numPr>
      </w:pPr>
      <w:r w:rsidRPr="00592199">
        <w:t>erhöhte Dynamik,</w:t>
      </w:r>
    </w:p>
    <w:p w14:paraId="3A04D159" w14:textId="77777777" w:rsidR="00592199" w:rsidRPr="00592199" w:rsidRDefault="00592199" w:rsidP="00592199">
      <w:pPr>
        <w:numPr>
          <w:ilvl w:val="0"/>
          <w:numId w:val="12"/>
        </w:numPr>
      </w:pPr>
      <w:r w:rsidRPr="00592199">
        <w:t>geringere Stabilität,</w:t>
      </w:r>
    </w:p>
    <w:p w14:paraId="65E01D65" w14:textId="77777777" w:rsidR="00592199" w:rsidRPr="00592199" w:rsidRDefault="00592199" w:rsidP="00592199">
      <w:pPr>
        <w:numPr>
          <w:ilvl w:val="0"/>
          <w:numId w:val="12"/>
        </w:numPr>
      </w:pPr>
      <w:r w:rsidRPr="00592199">
        <w:t>stärkere Schwankungen.</w:t>
      </w:r>
    </w:p>
    <w:p w14:paraId="61D49244" w14:textId="77777777" w:rsidR="00592199" w:rsidRPr="00592199" w:rsidRDefault="00592199" w:rsidP="00592199">
      <w:r w:rsidRPr="00592199">
        <w:t>Die qualitativen Beobachtungen erweitern diese Interpretation.</w:t>
      </w:r>
    </w:p>
    <w:p w14:paraId="32FC2E18" w14:textId="77777777" w:rsidR="00592199" w:rsidRPr="00592199" w:rsidRDefault="00592199" w:rsidP="00592199">
      <w:r w:rsidRPr="00592199">
        <w:t>Mehrfach wird dokumentiert, dass Teilnehmer der Gruppe den Vertretungslehrer unmittelbar mit Herrn Thiele verglichen und diesem „keine Chance“ gaben.</w:t>
      </w:r>
    </w:p>
    <w:p w14:paraId="0F811E12" w14:textId="77777777" w:rsidR="00592199" w:rsidRPr="00592199" w:rsidRDefault="00592199" w:rsidP="00592199">
      <w:r w:rsidRPr="00592199">
        <w:t>Aus Sicht der Resonanztheorie kann dies als Verlust einer etablierten Resonanzachse interpretiert werden [5].</w:t>
      </w:r>
    </w:p>
    <w:p w14:paraId="676B59B9" w14:textId="77777777" w:rsidR="00592199" w:rsidRPr="00592199" w:rsidRDefault="00592199" w:rsidP="00592199">
      <w:r w:rsidRPr="00592199">
        <w:t>Die Eskalation erscheint dadurch nicht mehr ausschließlich als Folge gruppeninterner Probleme.</w:t>
      </w:r>
    </w:p>
    <w:p w14:paraId="1C5E0F76" w14:textId="77777777" w:rsidR="00592199" w:rsidRPr="00592199" w:rsidRDefault="00592199" w:rsidP="00592199">
      <w:r w:rsidRPr="00592199">
        <w:t>Ebenso wenig kann sie allein durch den Lehrkraftwechsel erklärt werden.</w:t>
      </w:r>
    </w:p>
    <w:p w14:paraId="5F83E201" w14:textId="77777777" w:rsidR="00592199" w:rsidRPr="00592199" w:rsidRDefault="00592199" w:rsidP="00592199">
      <w:r w:rsidRPr="00592199">
        <w:t>Wahrscheinlicher ist eine Wechselwirkung zwischen:</w:t>
      </w:r>
    </w:p>
    <w:p w14:paraId="61822CC8" w14:textId="77777777" w:rsidR="00592199" w:rsidRPr="00592199" w:rsidRDefault="00592199" w:rsidP="00592199">
      <w:pPr>
        <w:numPr>
          <w:ilvl w:val="0"/>
          <w:numId w:val="13"/>
        </w:numPr>
      </w:pPr>
      <w:r w:rsidRPr="00592199">
        <w:t>bereits vorhandener Vulnerabilität,</w:t>
      </w:r>
    </w:p>
    <w:p w14:paraId="59FCEE7D" w14:textId="77777777" w:rsidR="00592199" w:rsidRPr="00592199" w:rsidRDefault="00592199" w:rsidP="00592199">
      <w:pPr>
        <w:numPr>
          <w:ilvl w:val="0"/>
          <w:numId w:val="13"/>
        </w:numPr>
      </w:pPr>
      <w:r w:rsidRPr="00592199">
        <w:t>hoher Bindung an den bestehenden Resonanzraum,</w:t>
      </w:r>
    </w:p>
    <w:p w14:paraId="57561896" w14:textId="77777777" w:rsidR="00592199" w:rsidRPr="00592199" w:rsidRDefault="00592199" w:rsidP="00592199">
      <w:pPr>
        <w:numPr>
          <w:ilvl w:val="0"/>
          <w:numId w:val="13"/>
        </w:numPr>
      </w:pPr>
      <w:r w:rsidRPr="00592199">
        <w:t>Wegfall dieses Resonanzraumes.</w:t>
      </w:r>
    </w:p>
    <w:p w14:paraId="1CFA10E8" w14:textId="77777777" w:rsidR="00592199" w:rsidRPr="00592199" w:rsidRDefault="00592199" w:rsidP="00592199">
      <w:r w:rsidRPr="00592199">
        <w:pict w14:anchorId="54FD8832">
          <v:rect id="_x0000_i1085" style="width:0;height:1.5pt" o:hralign="center" o:hrstd="t" o:hr="t" fillcolor="#a0a0a0" stroked="f"/>
        </w:pict>
      </w:r>
    </w:p>
    <w:p w14:paraId="406742AA" w14:textId="77777777" w:rsidR="00592199" w:rsidRPr="00592199" w:rsidRDefault="00592199" w:rsidP="00592199">
      <w:pPr>
        <w:rPr>
          <w:b/>
        </w:rPr>
      </w:pPr>
      <w:r w:rsidRPr="00592199">
        <w:rPr>
          <w:b/>
        </w:rPr>
        <w:t>D.2 Die Rolle pädagogischer Kontinuität</w:t>
      </w:r>
    </w:p>
    <w:p w14:paraId="547537F1" w14:textId="77777777" w:rsidR="00592199" w:rsidRPr="00592199" w:rsidRDefault="00592199" w:rsidP="00592199">
      <w:r w:rsidRPr="00592199">
        <w:t>Die Ergebnisse legen nahe, dass pädagogische Kontinuität im Nachhilfekontext eine deutlich größere Rolle spielt als häufig angenommen.</w:t>
      </w:r>
    </w:p>
    <w:p w14:paraId="2FEFFDA1" w14:textId="77777777" w:rsidR="00592199" w:rsidRPr="00592199" w:rsidRDefault="00592199" w:rsidP="00592199">
      <w:r w:rsidRPr="00592199">
        <w:t>Während im schulischen Regelunterricht Lehrkraftwechsel häufig kompensiert werden können, scheint die Bindung in kleinen Nachhilfegruppen deutlich stärker ausgeprägt zu sein.</w:t>
      </w:r>
    </w:p>
    <w:p w14:paraId="24E1E49A" w14:textId="77777777" w:rsidR="00592199" w:rsidRPr="00592199" w:rsidRDefault="00592199" w:rsidP="00592199">
      <w:r w:rsidRPr="00592199">
        <w:t>Die hohe Interaktionsdichte, die langfristige Zusammenarbeit sowie die individuelle Förderung begünstigen die Ausbildung stabiler Resonanzräume.</w:t>
      </w:r>
    </w:p>
    <w:p w14:paraId="090BBCFE" w14:textId="77777777" w:rsidR="00592199" w:rsidRPr="00592199" w:rsidRDefault="00592199" w:rsidP="00592199">
      <w:r w:rsidRPr="00592199">
        <w:t>Der Wegfall einer zentralen Bezugsperson kann daher erheblich stärkere Auswirkungen besitzen als in größeren Unterrichtssystemen.</w:t>
      </w:r>
    </w:p>
    <w:p w14:paraId="225E15F8" w14:textId="77777777" w:rsidR="00592199" w:rsidRPr="00592199" w:rsidRDefault="00592199" w:rsidP="00592199">
      <w:r w:rsidRPr="00592199">
        <w:pict w14:anchorId="1D5ECC25">
          <v:rect id="_x0000_i1086" style="width:0;height:1.5pt" o:hralign="center" o:hrstd="t" o:hr="t" fillcolor="#a0a0a0" stroked="f"/>
        </w:pict>
      </w:r>
    </w:p>
    <w:p w14:paraId="0E7D9FB1" w14:textId="77777777" w:rsidR="00592199" w:rsidRPr="00592199" w:rsidRDefault="00592199" w:rsidP="00592199">
      <w:pPr>
        <w:rPr>
          <w:b/>
        </w:rPr>
      </w:pPr>
      <w:r w:rsidRPr="00592199">
        <w:rPr>
          <w:b/>
        </w:rPr>
        <w:t>E. Konsequenzen für die Bildungsforschung</w:t>
      </w:r>
    </w:p>
    <w:p w14:paraId="0463FF8E" w14:textId="77777777" w:rsidR="00592199" w:rsidRPr="00592199" w:rsidRDefault="00592199" w:rsidP="00592199">
      <w:r w:rsidRPr="00592199">
        <w:t>Die Ergebnisse besitzen mehrere Konsequenzen.</w:t>
      </w:r>
    </w:p>
    <w:p w14:paraId="0B4F8B2F" w14:textId="77777777" w:rsidR="00592199" w:rsidRPr="00592199" w:rsidRDefault="00592199" w:rsidP="00592199">
      <w:r w:rsidRPr="00592199">
        <w:t>Erstens unterstützen sie die Annahme, dass Unterricht nicht ausschließlich als Vermittlung von Fachwissen verstanden werden kann.</w:t>
      </w:r>
    </w:p>
    <w:p w14:paraId="059B3E14" w14:textId="77777777" w:rsidR="00592199" w:rsidRPr="00592199" w:rsidRDefault="00592199" w:rsidP="00592199">
      <w:r w:rsidRPr="00592199">
        <w:lastRenderedPageBreak/>
        <w:t>Zweitens sprechen sie dafür, Lernen stärker als dynamischen Resonanzprozess zu modellieren.</w:t>
      </w:r>
    </w:p>
    <w:p w14:paraId="2FA93AFE" w14:textId="77777777" w:rsidR="00592199" w:rsidRPr="00592199" w:rsidRDefault="00592199" w:rsidP="00592199">
      <w:r w:rsidRPr="00592199">
        <w:t>Drittens legen sie nahe, dass die Stabilität pädagogischer Systeme nicht allein durch Gruppenmerkmale oder Unterrichtsmethoden erklärt werden kann, sondern wesentlich von der Qualität der Beziehungen innerhalb des Systems abhängt.</w:t>
      </w:r>
    </w:p>
    <w:p w14:paraId="0A48DED2" w14:textId="77777777" w:rsidR="00592199" w:rsidRPr="00592199" w:rsidRDefault="00592199" w:rsidP="00592199">
      <w:r w:rsidRPr="00592199">
        <w:t>Viertens liefern die Ergebnisse Hinweise darauf, dass semantische Zustandsmodelle wie das FRZK tatsächlich reale pädagogische Dynamiken rekonstruieren können.</w:t>
      </w:r>
    </w:p>
    <w:p w14:paraId="2898C8C6" w14:textId="77777777" w:rsidR="00592199" w:rsidRPr="00592199" w:rsidRDefault="00592199" w:rsidP="00592199">
      <w:r w:rsidRPr="00592199">
        <w:t>Die bemerkenswerte Übereinstimmung zwischen mathematischen Zustandsprofilen und unabhängigen Teilnehmeraussagen stellt hierfür einen wichtigen empirischen Hinweis dar.</w:t>
      </w:r>
    </w:p>
    <w:p w14:paraId="085B2D66" w14:textId="77777777" w:rsidR="00592199" w:rsidRPr="00592199" w:rsidRDefault="00592199" w:rsidP="00592199">
      <w:r w:rsidRPr="00592199">
        <w:pict w14:anchorId="58CA6315">
          <v:rect id="_x0000_i1087" style="width:0;height:1.5pt" o:hralign="center" o:hrstd="t" o:hr="t" fillcolor="#a0a0a0" stroked="f"/>
        </w:pict>
      </w:r>
    </w:p>
    <w:p w14:paraId="2CE950E3" w14:textId="77777777" w:rsidR="00592199" w:rsidRPr="00592199" w:rsidRDefault="00592199" w:rsidP="00592199">
      <w:pPr>
        <w:rPr>
          <w:b/>
        </w:rPr>
      </w:pPr>
      <w:r w:rsidRPr="00592199">
        <w:rPr>
          <w:b/>
        </w:rPr>
        <w:t>F. Fazit</w:t>
      </w:r>
    </w:p>
    <w:p w14:paraId="0DD0DC1A" w14:textId="77777777" w:rsidR="00592199" w:rsidRPr="00592199" w:rsidRDefault="00592199" w:rsidP="00592199">
      <w:r w:rsidRPr="00592199">
        <w:t>Die vorliegenden Ergebnisse sprechen dafür, dass erfolgreiche Nachhilfe nicht ausschließlich durch fachliche Kompetenz erklärt werden kann. Vielmehr scheint sich im Verlauf langfristiger Nachhilfeprozesse ein stabiler Resonanzraum auszubilden, der Struktur, Beziehung, Reflexion und individuelle Förderung miteinander verbindet.</w:t>
      </w:r>
    </w:p>
    <w:p w14:paraId="20987770" w14:textId="77777777" w:rsidR="00592199" w:rsidRPr="00592199" w:rsidRDefault="00592199" w:rsidP="00592199">
      <w:r w:rsidRPr="00592199">
        <w:t>Die Teilnehmeraussagen bestätigen in bemerkenswerter Weise die zuvor rekonstruierten semantischen Profile von Lehrkraft 1. Dadurch entsteht eine zusätzliche externe Validierung der FRZK-Analysen.</w:t>
      </w:r>
    </w:p>
    <w:p w14:paraId="142ABAB0" w14:textId="77777777" w:rsidR="00592199" w:rsidRPr="00592199" w:rsidRDefault="00592199" w:rsidP="00592199">
      <w:r w:rsidRPr="00592199">
        <w:t>Besonders die Entwicklungen in Gruppe 4 legen nahe, dass pädagogische Stabilität weder ausschließlich gruppenintern noch ausschließlich lehrkraftbedingt verstanden werden kann. Wahrscheinlicher ist eine dynamische Wechselwirkung zwischen Gruppenstruktur, individueller Vulnerabilität und der Stabilität bestehender Resonanzräume.</w:t>
      </w:r>
    </w:p>
    <w:p w14:paraId="4648B1DA" w14:textId="77777777" w:rsidR="00592199" w:rsidRPr="00592199" w:rsidRDefault="00592199" w:rsidP="00592199">
      <w:r w:rsidRPr="00592199">
        <w:t>Die Ergebnisse unterstützen damit die zentrale FRZK-Annahme, dass Lernen als rekursiver Prozess innerhalb gekoppelter semantischer Zustandsräume verstanden werden kann und dass die Lehrkraft hierbei nicht nur Wissensvermittler, sondern Träger eines stabilisierenden pädagogischen Resonanzfeldes ist.</w:t>
      </w:r>
    </w:p>
    <w:p w14:paraId="6DDBCFB6" w14:textId="77777777" w:rsidR="00592199" w:rsidRPr="00592199" w:rsidRDefault="00592199" w:rsidP="00592199">
      <w:pPr>
        <w:rPr>
          <w:b/>
        </w:rPr>
      </w:pPr>
      <w:r w:rsidRPr="00592199">
        <w:rPr>
          <w:b/>
        </w:rPr>
        <w:t>Literaturverzeichnis</w:t>
      </w:r>
    </w:p>
    <w:p w14:paraId="24BC58F4" w14:textId="77777777" w:rsidR="00592199" w:rsidRPr="00592199" w:rsidRDefault="00592199" w:rsidP="00592199">
      <w:r w:rsidRPr="00592199">
        <w:t xml:space="preserve">[1] Helmke, A. (2022). </w:t>
      </w:r>
      <w:r w:rsidRPr="00592199">
        <w:rPr>
          <w:i/>
          <w:iCs/>
        </w:rPr>
        <w:t>Unterrichtsqualität und Lehrerprofessionalität</w:t>
      </w:r>
      <w:r w:rsidRPr="00592199">
        <w:t>. Klett-Kallmeyer.</w:t>
      </w:r>
    </w:p>
    <w:p w14:paraId="68AD4867" w14:textId="77777777" w:rsidR="00592199" w:rsidRPr="00592199" w:rsidRDefault="00592199" w:rsidP="00592199">
      <w:r w:rsidRPr="00592199">
        <w:t xml:space="preserve">[2] Hattie, J. (2023). </w:t>
      </w:r>
      <w:r w:rsidRPr="00592199">
        <w:rPr>
          <w:i/>
          <w:iCs/>
        </w:rPr>
        <w:t>Visible Learning: The Sequel</w:t>
      </w:r>
      <w:r w:rsidRPr="00592199">
        <w:t>. Routledge.</w:t>
      </w:r>
    </w:p>
    <w:p w14:paraId="5ABF875C" w14:textId="77777777" w:rsidR="00592199" w:rsidRPr="00592199" w:rsidRDefault="00592199" w:rsidP="00592199">
      <w:r w:rsidRPr="00592199">
        <w:t xml:space="preserve">[3] </w:t>
      </w:r>
      <w:proofErr w:type="spellStart"/>
      <w:r w:rsidRPr="00592199">
        <w:t>Biesta</w:t>
      </w:r>
      <w:proofErr w:type="spellEnd"/>
      <w:r w:rsidRPr="00592199">
        <w:t xml:space="preserve">, G. (2020). </w:t>
      </w:r>
      <w:proofErr w:type="spellStart"/>
      <w:r w:rsidRPr="00592199">
        <w:rPr>
          <w:i/>
          <w:iCs/>
        </w:rPr>
        <w:t>Risking</w:t>
      </w:r>
      <w:proofErr w:type="spellEnd"/>
      <w:r w:rsidRPr="00592199">
        <w:rPr>
          <w:i/>
          <w:iCs/>
        </w:rPr>
        <w:t xml:space="preserve"> </w:t>
      </w:r>
      <w:proofErr w:type="spellStart"/>
      <w:r w:rsidRPr="00592199">
        <w:rPr>
          <w:i/>
          <w:iCs/>
        </w:rPr>
        <w:t>Ourselves</w:t>
      </w:r>
      <w:proofErr w:type="spellEnd"/>
      <w:r w:rsidRPr="00592199">
        <w:rPr>
          <w:i/>
          <w:iCs/>
        </w:rPr>
        <w:t xml:space="preserve"> in Education</w:t>
      </w:r>
      <w:r w:rsidRPr="00592199">
        <w:t>. Routledge.</w:t>
      </w:r>
    </w:p>
    <w:p w14:paraId="00B8BC80" w14:textId="77777777" w:rsidR="00592199" w:rsidRPr="00592199" w:rsidRDefault="00592199" w:rsidP="00592199">
      <w:r w:rsidRPr="00592199">
        <w:t xml:space="preserve">[4] Wenger, E. (1998). </w:t>
      </w:r>
      <w:r w:rsidRPr="00592199">
        <w:rPr>
          <w:i/>
          <w:iCs/>
        </w:rPr>
        <w:t xml:space="preserve">Communities </w:t>
      </w:r>
      <w:proofErr w:type="spellStart"/>
      <w:r w:rsidRPr="00592199">
        <w:rPr>
          <w:i/>
          <w:iCs/>
        </w:rPr>
        <w:t>of</w:t>
      </w:r>
      <w:proofErr w:type="spellEnd"/>
      <w:r w:rsidRPr="00592199">
        <w:rPr>
          <w:i/>
          <w:iCs/>
        </w:rPr>
        <w:t xml:space="preserve"> Practice</w:t>
      </w:r>
      <w:r w:rsidRPr="00592199">
        <w:t>. Cambridge University Press.</w:t>
      </w:r>
    </w:p>
    <w:p w14:paraId="4A243971" w14:textId="77777777" w:rsidR="00592199" w:rsidRPr="00592199" w:rsidRDefault="00592199" w:rsidP="00592199">
      <w:r w:rsidRPr="00592199">
        <w:t xml:space="preserve">[5] Rosa, H. (2020). </w:t>
      </w:r>
      <w:r w:rsidRPr="00592199">
        <w:rPr>
          <w:i/>
          <w:iCs/>
        </w:rPr>
        <w:t>Resonanz. Eine Soziologie der Weltbeziehung</w:t>
      </w:r>
      <w:r w:rsidRPr="00592199">
        <w:t>. Suhrkamp.</w:t>
      </w:r>
    </w:p>
    <w:p w14:paraId="6ABC6DB4" w14:textId="77777777" w:rsidR="00592199" w:rsidRPr="00592199" w:rsidRDefault="00592199" w:rsidP="00592199">
      <w:r w:rsidRPr="00592199">
        <w:t>[6] Thiele, O. (FRZK-Datenauswertung). Ergebnisse der globalen Resonanzkopplung, perspektivischen Zustandskohärenz und regulatorischen Stabilisierung zwischen Lehrkraft- und Teilnehmerraum.</w:t>
      </w:r>
    </w:p>
    <w:p w14:paraId="59C98CE6" w14:textId="77777777" w:rsidR="00592199" w:rsidRPr="00592199" w:rsidRDefault="00592199" w:rsidP="00592199">
      <w:r w:rsidRPr="00592199">
        <w:t xml:space="preserve">[7] Zimmerman, B. J. (2008). </w:t>
      </w:r>
      <w:proofErr w:type="spellStart"/>
      <w:r w:rsidRPr="00592199">
        <w:t>Investigating</w:t>
      </w:r>
      <w:proofErr w:type="spellEnd"/>
      <w:r w:rsidRPr="00592199">
        <w:t xml:space="preserve"> Self-Regulation and Motivation. </w:t>
      </w:r>
      <w:r w:rsidRPr="00592199">
        <w:rPr>
          <w:i/>
          <w:iCs/>
        </w:rPr>
        <w:t>American Educational Research Journal</w:t>
      </w:r>
      <w:r w:rsidRPr="00592199">
        <w:t>, 45(1), 166–183.</w:t>
      </w:r>
    </w:p>
    <w:p w14:paraId="242F2CB9" w14:textId="77777777" w:rsidR="00592199" w:rsidRPr="00592199" w:rsidRDefault="00592199" w:rsidP="00592199">
      <w:r w:rsidRPr="00592199">
        <w:t xml:space="preserve">[8] Deci, E. L., &amp; Ryan, R. M. (2017). </w:t>
      </w:r>
      <w:r w:rsidRPr="00592199">
        <w:rPr>
          <w:i/>
          <w:iCs/>
        </w:rPr>
        <w:t>Self-Determination Theory</w:t>
      </w:r>
      <w:r w:rsidRPr="00592199">
        <w:t>. Guilford Press.</w:t>
      </w:r>
    </w:p>
    <w:p w14:paraId="40D36E87" w14:textId="77777777" w:rsidR="00592199" w:rsidRPr="00592199" w:rsidRDefault="00592199" w:rsidP="00592199">
      <w:r w:rsidRPr="00592199">
        <w:t xml:space="preserve">[9] Pekrun, R. (2018). </w:t>
      </w:r>
      <w:r w:rsidRPr="00592199">
        <w:rPr>
          <w:i/>
          <w:iCs/>
        </w:rPr>
        <w:t>Emotion, Motivation and Self-Regulation</w:t>
      </w:r>
      <w:r w:rsidRPr="00592199">
        <w:t>. Routledge.</w:t>
      </w:r>
    </w:p>
    <w:p w14:paraId="0A44092A" w14:textId="77777777" w:rsidR="00592199" w:rsidRPr="00592199" w:rsidRDefault="00592199" w:rsidP="00592199">
      <w:r w:rsidRPr="00592199">
        <w:t xml:space="preserve">[10] Davis, B., &amp; </w:t>
      </w:r>
      <w:proofErr w:type="spellStart"/>
      <w:r w:rsidRPr="00592199">
        <w:t>Sumara</w:t>
      </w:r>
      <w:proofErr w:type="spellEnd"/>
      <w:r w:rsidRPr="00592199">
        <w:t xml:space="preserve">, D. (2006). </w:t>
      </w:r>
      <w:proofErr w:type="spellStart"/>
      <w:r w:rsidRPr="00592199">
        <w:rPr>
          <w:i/>
          <w:iCs/>
        </w:rPr>
        <w:t>Complexity</w:t>
      </w:r>
      <w:proofErr w:type="spellEnd"/>
      <w:r w:rsidRPr="00592199">
        <w:rPr>
          <w:i/>
          <w:iCs/>
        </w:rPr>
        <w:t xml:space="preserve"> and Education</w:t>
      </w:r>
      <w:r w:rsidRPr="00592199">
        <w:t>. Lawrence Erlbaum.</w:t>
      </w:r>
    </w:p>
    <w:p w14:paraId="6F2034BF" w14:textId="77777777" w:rsidR="00592199" w:rsidRPr="00592199" w:rsidRDefault="00592199" w:rsidP="00592199">
      <w:r w:rsidRPr="00592199">
        <w:lastRenderedPageBreak/>
        <w:t xml:space="preserve">[11] Byrne, D., &amp; Callaghan, G. (2014). </w:t>
      </w:r>
      <w:proofErr w:type="spellStart"/>
      <w:r w:rsidRPr="00592199">
        <w:rPr>
          <w:i/>
          <w:iCs/>
        </w:rPr>
        <w:t>Complexity</w:t>
      </w:r>
      <w:proofErr w:type="spellEnd"/>
      <w:r w:rsidRPr="00592199">
        <w:rPr>
          <w:i/>
          <w:iCs/>
        </w:rPr>
        <w:t xml:space="preserve"> Theory and </w:t>
      </w:r>
      <w:proofErr w:type="spellStart"/>
      <w:r w:rsidRPr="00592199">
        <w:rPr>
          <w:i/>
          <w:iCs/>
        </w:rPr>
        <w:t>the</w:t>
      </w:r>
      <w:proofErr w:type="spellEnd"/>
      <w:r w:rsidRPr="00592199">
        <w:rPr>
          <w:i/>
          <w:iCs/>
        </w:rPr>
        <w:t xml:space="preserve"> </w:t>
      </w:r>
      <w:proofErr w:type="spellStart"/>
      <w:r w:rsidRPr="00592199">
        <w:rPr>
          <w:i/>
          <w:iCs/>
        </w:rPr>
        <w:t>Social</w:t>
      </w:r>
      <w:proofErr w:type="spellEnd"/>
      <w:r w:rsidRPr="00592199">
        <w:rPr>
          <w:i/>
          <w:iCs/>
        </w:rPr>
        <w:t xml:space="preserve"> Sciences</w:t>
      </w:r>
      <w:r w:rsidRPr="00592199">
        <w:t>. Routledge.</w:t>
      </w:r>
    </w:p>
    <w:p w14:paraId="41946ED6" w14:textId="77777777" w:rsidR="00592199" w:rsidRPr="00592199" w:rsidRDefault="00592199" w:rsidP="00592199">
      <w:r w:rsidRPr="00592199">
        <w:t xml:space="preserve">[12] Sawyer, R. K. (2017). </w:t>
      </w:r>
      <w:r w:rsidRPr="00592199">
        <w:rPr>
          <w:i/>
          <w:iCs/>
        </w:rPr>
        <w:t>Group Genius</w:t>
      </w:r>
      <w:r w:rsidRPr="00592199">
        <w:t>. Basic Books.</w:t>
      </w:r>
    </w:p>
    <w:p w14:paraId="766CCD7F"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901C0"/>
    <w:multiLevelType w:val="multilevel"/>
    <w:tmpl w:val="C19C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F264F43"/>
    <w:multiLevelType w:val="multilevel"/>
    <w:tmpl w:val="F5AA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85118"/>
    <w:multiLevelType w:val="multilevel"/>
    <w:tmpl w:val="92C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F41A7"/>
    <w:multiLevelType w:val="multilevel"/>
    <w:tmpl w:val="B1AE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C1272"/>
    <w:multiLevelType w:val="multilevel"/>
    <w:tmpl w:val="A10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447353"/>
    <w:multiLevelType w:val="multilevel"/>
    <w:tmpl w:val="1532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A046E"/>
    <w:multiLevelType w:val="multilevel"/>
    <w:tmpl w:val="24D4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F955CD0"/>
    <w:multiLevelType w:val="multilevel"/>
    <w:tmpl w:val="B12E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1"/>
  </w:num>
  <w:num w:numId="2" w16cid:durableId="250164984">
    <w:abstractNumId w:val="2"/>
  </w:num>
  <w:num w:numId="3" w16cid:durableId="66727205">
    <w:abstractNumId w:val="7"/>
  </w:num>
  <w:num w:numId="4" w16cid:durableId="998769572">
    <w:abstractNumId w:val="10"/>
  </w:num>
  <w:num w:numId="5" w16cid:durableId="15216999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620439">
    <w:abstractNumId w:val="4"/>
  </w:num>
  <w:num w:numId="7" w16cid:durableId="422267108">
    <w:abstractNumId w:val="6"/>
  </w:num>
  <w:num w:numId="8" w16cid:durableId="400564829">
    <w:abstractNumId w:val="5"/>
  </w:num>
  <w:num w:numId="9" w16cid:durableId="198671316">
    <w:abstractNumId w:val="11"/>
  </w:num>
  <w:num w:numId="10" w16cid:durableId="1585407811">
    <w:abstractNumId w:val="9"/>
  </w:num>
  <w:num w:numId="11" w16cid:durableId="1045913956">
    <w:abstractNumId w:val="8"/>
  </w:num>
  <w:num w:numId="12" w16cid:durableId="530193679">
    <w:abstractNumId w:val="0"/>
  </w:num>
  <w:num w:numId="13" w16cid:durableId="1273320997">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199"/>
    <w:rsid w:val="00003048"/>
    <w:rsid w:val="000467F2"/>
    <w:rsid w:val="00082214"/>
    <w:rsid w:val="000B0C4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92199"/>
    <w:rsid w:val="005B5EFD"/>
    <w:rsid w:val="005E4CED"/>
    <w:rsid w:val="006016DC"/>
    <w:rsid w:val="006B3395"/>
    <w:rsid w:val="00706409"/>
    <w:rsid w:val="007115B7"/>
    <w:rsid w:val="00795695"/>
    <w:rsid w:val="007A3369"/>
    <w:rsid w:val="007B7DE7"/>
    <w:rsid w:val="007E333F"/>
    <w:rsid w:val="00852D2E"/>
    <w:rsid w:val="008871CF"/>
    <w:rsid w:val="008B0C43"/>
    <w:rsid w:val="008C4935"/>
    <w:rsid w:val="009032D7"/>
    <w:rsid w:val="00997246"/>
    <w:rsid w:val="009D04D3"/>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D59A2"/>
  <w15:chartTrackingRefBased/>
  <w15:docId w15:val="{A7A1E618-6A1B-4C71-A03A-920DE2E11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09026032">
      <w:bodyDiv w:val="1"/>
      <w:marLeft w:val="0"/>
      <w:marRight w:val="0"/>
      <w:marTop w:val="0"/>
      <w:marBottom w:val="0"/>
      <w:divBdr>
        <w:top w:val="none" w:sz="0" w:space="0" w:color="auto"/>
        <w:left w:val="none" w:sz="0" w:space="0" w:color="auto"/>
        <w:bottom w:val="none" w:sz="0" w:space="0" w:color="auto"/>
        <w:right w:val="none" w:sz="0" w:space="0" w:color="auto"/>
      </w:divBdr>
      <w:divsChild>
        <w:div w:id="202467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2044213155">
      <w:bodyDiv w:val="1"/>
      <w:marLeft w:val="0"/>
      <w:marRight w:val="0"/>
      <w:marTop w:val="0"/>
      <w:marBottom w:val="0"/>
      <w:divBdr>
        <w:top w:val="none" w:sz="0" w:space="0" w:color="auto"/>
        <w:left w:val="none" w:sz="0" w:space="0" w:color="auto"/>
        <w:bottom w:val="none" w:sz="0" w:space="0" w:color="auto"/>
        <w:right w:val="none" w:sz="0" w:space="0" w:color="auto"/>
      </w:divBdr>
      <w:divsChild>
        <w:div w:id="1678968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6</Pages>
  <Words>1413</Words>
  <Characters>8907</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2026-06-03T04:26:00Z</dcterms:created>
  <dcterms:modified xsi:type="dcterms:W3CDTF">2026-06-03T04:26:00Z</dcterms:modified>
</cp:coreProperties>
</file>