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C19F5" w14:textId="77777777" w:rsidR="004120DC" w:rsidRPr="004120DC" w:rsidRDefault="004120DC" w:rsidP="004120DC">
      <w:pPr>
        <w:rPr>
          <w:b/>
        </w:rPr>
      </w:pPr>
      <w:r w:rsidRPr="004120DC">
        <w:rPr>
          <w:b/>
        </w:rPr>
        <w:t>Methodisch-didaktische Anlage zu 6.x.10 Emergente Gruppenmuster zwischen Lehrkraftsicht und Teilnehmersicht im FRZK</w:t>
      </w:r>
    </w:p>
    <w:p w14:paraId="605CA5D7" w14:textId="77777777" w:rsidR="004120DC" w:rsidRPr="004120DC" w:rsidRDefault="004120DC" w:rsidP="004120DC">
      <w:pPr>
        <w:rPr>
          <w:b/>
        </w:rPr>
      </w:pPr>
      <w:r w:rsidRPr="004120DC">
        <w:rPr>
          <w:b/>
        </w:rPr>
        <w:t>1. Einleitung</w:t>
      </w:r>
    </w:p>
    <w:p w14:paraId="5D532124" w14:textId="77777777" w:rsidR="004120DC" w:rsidRPr="004120DC" w:rsidRDefault="004120DC" w:rsidP="004120DC">
      <w:r w:rsidRPr="004120DC">
        <w:t>Die Analyse emergenter Gruppenmuster stellt innerhalb der Lehrkraft-Teilnehmer-Korrelationsanalysen einen besonderen Untersuchungsbereich dar. Während die vorherigen Analysen primär dyadische Beziehungen zwischen Lehrkraftzuständen und Teilnehmerzuständen untersucht haben, richtet sich der Fokus nun auf die Gruppenebene. Im Zentrum steht die Frage, ob sich innerhalb pädagogischer Systeme kollektive semantische Zustände identifizieren lassen, die über die Summe individueller Zustände hinausgehen.</w:t>
      </w:r>
    </w:p>
    <w:p w14:paraId="592B3B77" w14:textId="77777777" w:rsidR="004120DC" w:rsidRPr="004120DC" w:rsidRDefault="004120DC" w:rsidP="004120DC">
      <w:r w:rsidRPr="004120DC">
        <w:t xml:space="preserve">Die theoretische Grundlage dieser Untersuchung bildet die Annahme des FRZK, dass pädagogische Interaktionen nicht ausschließlich zwischen einzelnen Personen stattfinden, sondern dass durch rekursive Resonanzprozesse eigenständige semantische Gruppenräume entstehen können. Solche Gruppenräume würden sich durch wiederkehrende Dominanzachsen, stabile </w:t>
      </w:r>
      <w:proofErr w:type="spellStart"/>
      <w:r w:rsidRPr="004120DC">
        <w:t>Attraktorstrukturen</w:t>
      </w:r>
      <w:proofErr w:type="spellEnd"/>
      <w:r w:rsidRPr="004120DC">
        <w:t>, gemeinsame Driftmuster und kollektive Emotionscluster auszeichnen. Die Untersuchung emergenter Gruppenmuster dient damit unmittelbar der Überprüfung einer zentralen Vorhersage des FRZK: der Existenz selbstorganisierter semantischer Gesamtsysteme innerhalb pädagogischer Gruppen [1][2][3].</w:t>
      </w:r>
    </w:p>
    <w:p w14:paraId="6A9538D1" w14:textId="77777777" w:rsidR="004120DC" w:rsidRPr="004120DC" w:rsidRDefault="004120DC" w:rsidP="004120DC">
      <w:r w:rsidRPr="004120DC">
        <w:pict w14:anchorId="685E4742">
          <v:rect id="_x0000_i1121" style="width:0;height:1.5pt" o:hralign="center" o:hrstd="t" o:hr="t" fillcolor="#a0a0a0" stroked="f"/>
        </w:pict>
      </w:r>
    </w:p>
    <w:p w14:paraId="79B19C0A" w14:textId="77777777" w:rsidR="004120DC" w:rsidRPr="004120DC" w:rsidRDefault="004120DC" w:rsidP="004120DC">
      <w:pPr>
        <w:rPr>
          <w:b/>
        </w:rPr>
      </w:pPr>
      <w:r w:rsidRPr="004120DC">
        <w:rPr>
          <w:b/>
        </w:rPr>
        <w:t>2. Theoretische Grundlagen emergenter Gruppenstrukturen</w:t>
      </w:r>
    </w:p>
    <w:p w14:paraId="2DBC1DFA" w14:textId="77777777" w:rsidR="004120DC" w:rsidRPr="004120DC" w:rsidRDefault="004120DC" w:rsidP="004120DC">
      <w:r w:rsidRPr="004120DC">
        <w:t xml:space="preserve">Der </w:t>
      </w:r>
      <w:proofErr w:type="spellStart"/>
      <w:r w:rsidRPr="004120DC">
        <w:t>Emergenzbegriff</w:t>
      </w:r>
      <w:proofErr w:type="spellEnd"/>
      <w:r w:rsidRPr="004120DC">
        <w:t xml:space="preserve"> besitzt in den Komplexitätswissenschaften eine lange Tradition. Emergenz beschreibt das Auftreten neuer Systemeigenschaften, die nicht unmittelbar aus den Eigenschaften einzelner Komponenten ableitbar sind [4][5]. Entscheidend ist dabei, dass sich durch Interaktion neue Organisationsformen entwickeln, die auf die beteiligten Elemente zurückwirken.</w:t>
      </w:r>
    </w:p>
    <w:p w14:paraId="24D6BA7E" w14:textId="77777777" w:rsidR="004120DC" w:rsidRPr="004120DC" w:rsidRDefault="004120DC" w:rsidP="004120DC">
      <w:r w:rsidRPr="004120DC">
        <w:t>Für pädagogische Systeme wurde dieser Gedanke insbesondere durch sozialkonstruktivistische und komplexitätstheoretische Ansätze aufgegriffen. Lernen wird dort nicht ausschließlich als individueller Prozess verstanden, sondern als Ergebnis kollektiver Aushandlungs- und Resonanzprozesse innerhalb sozialer Systeme [6][7].</w:t>
      </w:r>
    </w:p>
    <w:p w14:paraId="5CBD2FDD" w14:textId="77777777" w:rsidR="004120DC" w:rsidRPr="004120DC" w:rsidRDefault="004120DC" w:rsidP="004120DC">
      <w:r w:rsidRPr="004120DC">
        <w:t>Im FRZK wird diese Perspektive um eine semantische Zustandsbeschreibung erweitert. Gruppen werden als gemeinsame Resonanzräume modelliert, innerhalb derer individuelle Bedeutungszustände miteinander gekoppelt werden. Entstehen dabei über längere Zeiträume stabile semantische Strukturen, können diese als emergente Gruppenattraktoren interpretiert werden.</w:t>
      </w:r>
    </w:p>
    <w:p w14:paraId="60E2250C" w14:textId="77777777" w:rsidR="004120DC" w:rsidRPr="004120DC" w:rsidRDefault="004120DC" w:rsidP="004120DC">
      <w:r w:rsidRPr="004120DC">
        <w:pict w14:anchorId="03E08D8A">
          <v:rect id="_x0000_i1122" style="width:0;height:1.5pt" o:hralign="center" o:hrstd="t" o:hr="t" fillcolor="#a0a0a0" stroked="f"/>
        </w:pict>
      </w:r>
    </w:p>
    <w:p w14:paraId="5EB42F8C" w14:textId="77777777" w:rsidR="004120DC" w:rsidRPr="004120DC" w:rsidRDefault="004120DC" w:rsidP="004120DC">
      <w:pPr>
        <w:rPr>
          <w:b/>
        </w:rPr>
      </w:pPr>
      <w:r w:rsidRPr="004120DC">
        <w:rPr>
          <w:b/>
        </w:rPr>
        <w:t>3. Methodisches Vorgehen</w:t>
      </w:r>
    </w:p>
    <w:p w14:paraId="4191072B" w14:textId="77777777" w:rsidR="004120DC" w:rsidRPr="004120DC" w:rsidRDefault="004120DC" w:rsidP="004120DC">
      <w:pPr>
        <w:rPr>
          <w:b/>
        </w:rPr>
      </w:pPr>
      <w:r w:rsidRPr="004120DC">
        <w:rPr>
          <w:b/>
        </w:rPr>
        <w:t>3.1 Datenbasis</w:t>
      </w:r>
    </w:p>
    <w:p w14:paraId="73CCD961" w14:textId="77777777" w:rsidR="004120DC" w:rsidRPr="004120DC" w:rsidRDefault="004120DC" w:rsidP="004120DC">
      <w:r w:rsidRPr="004120DC">
        <w:t xml:space="preserve">Die Analyse basiert auf den gekoppelten Lehrkraft-Teilnehmer-Datensätzen der View </w:t>
      </w:r>
      <w:proofErr w:type="spellStart"/>
      <w:r w:rsidRPr="004120DC">
        <w:t>match_tn_daten_analyze_lehrkraft</w:t>
      </w:r>
      <w:proofErr w:type="spellEnd"/>
      <w:r w:rsidRPr="004120DC">
        <w:t>. Diese kombiniert Teilnehmerfeedback, aggregierte Lehrkraftzustände sowie die vollständigen 7D-Semantikvektoren der Lehrkraftsicht.</w:t>
      </w:r>
    </w:p>
    <w:p w14:paraId="14BC5980" w14:textId="77777777" w:rsidR="004120DC" w:rsidRPr="004120DC" w:rsidRDefault="004120DC" w:rsidP="004120DC">
      <w:r w:rsidRPr="004120DC">
        <w:t>Zusätzlich wurden die Emotionsprojektionen aus _</w:t>
      </w:r>
      <w:proofErr w:type="spellStart"/>
      <w:r w:rsidRPr="004120DC">
        <w:t>mtr_emotionen</w:t>
      </w:r>
      <w:proofErr w:type="spellEnd"/>
      <w:r w:rsidRPr="004120DC">
        <w:t xml:space="preserve"> zur Bestimmung gruppenspezifischer Emotionscluster verwendet.</w:t>
      </w:r>
    </w:p>
    <w:p w14:paraId="18C22F56" w14:textId="77777777" w:rsidR="004120DC" w:rsidRPr="004120DC" w:rsidRDefault="004120DC" w:rsidP="004120DC">
      <w:r w:rsidRPr="004120DC">
        <w:lastRenderedPageBreak/>
        <w:t>Die Auswertung umfasst zehn Gruppen und mehrere hundert gekoppelte Lehrkraft-Teilnehmer-Beobachtungen.</w:t>
      </w:r>
    </w:p>
    <w:p w14:paraId="6C9EB3AE" w14:textId="77777777" w:rsidR="004120DC" w:rsidRPr="004120DC" w:rsidRDefault="004120DC" w:rsidP="004120DC">
      <w:r w:rsidRPr="004120DC">
        <w:pict w14:anchorId="58A2A373">
          <v:rect id="_x0000_i1123" style="width:0;height:1.5pt" o:hralign="center" o:hrstd="t" o:hr="t" fillcolor="#a0a0a0" stroked="f"/>
        </w:pict>
      </w:r>
    </w:p>
    <w:p w14:paraId="1F601851" w14:textId="77777777" w:rsidR="004120DC" w:rsidRPr="004120DC" w:rsidRDefault="004120DC" w:rsidP="004120DC">
      <w:pPr>
        <w:rPr>
          <w:b/>
        </w:rPr>
      </w:pPr>
      <w:r w:rsidRPr="004120DC">
        <w:rPr>
          <w:b/>
        </w:rPr>
        <w:t>3.2 Operationalisierung emergenter Gruppenmuster</w:t>
      </w:r>
    </w:p>
    <w:p w14:paraId="4491A9E0" w14:textId="77777777" w:rsidR="004120DC" w:rsidRPr="004120DC" w:rsidRDefault="004120DC" w:rsidP="004120DC">
      <w:r w:rsidRPr="004120DC">
        <w:t xml:space="preserve">Die </w:t>
      </w:r>
      <w:proofErr w:type="spellStart"/>
      <w:r w:rsidRPr="004120DC">
        <w:t>Emergenzanalyse</w:t>
      </w:r>
      <w:proofErr w:type="spellEnd"/>
      <w:r w:rsidRPr="004120DC">
        <w:t xml:space="preserve"> erfolgte anhand von vier FRZK-Kernindikatoren:</w:t>
      </w:r>
    </w:p>
    <w:p w14:paraId="232ED709" w14:textId="77777777" w:rsidR="004120DC" w:rsidRPr="004120DC" w:rsidRDefault="004120DC" w:rsidP="004120DC">
      <w:pPr>
        <w:rPr>
          <w:b/>
        </w:rPr>
      </w:pPr>
      <w:r w:rsidRPr="004120DC">
        <w:rPr>
          <w:b/>
        </w:rPr>
        <w:t>Dominanzachsen</w:t>
      </w:r>
    </w:p>
    <w:p w14:paraId="56FC33E2" w14:textId="77777777" w:rsidR="004120DC" w:rsidRPr="004120DC" w:rsidRDefault="004120DC" w:rsidP="004120DC">
      <w:r w:rsidRPr="004120DC">
        <w:t>Für jede Gruppe wurde die dominante semantische Dimension bestimmt:</w:t>
      </w:r>
    </w:p>
    <w:p w14:paraId="245F471C" w14:textId="77777777" w:rsidR="004120DC" w:rsidRPr="004120DC" w:rsidRDefault="004120DC" w:rsidP="004120DC">
      <w:pPr>
        <w:numPr>
          <w:ilvl w:val="0"/>
          <w:numId w:val="6"/>
        </w:numPr>
      </w:pPr>
      <w:r w:rsidRPr="004120DC">
        <w:t xml:space="preserve">Kognition </w:t>
      </w:r>
    </w:p>
    <w:p w14:paraId="7637C720" w14:textId="77777777" w:rsidR="004120DC" w:rsidRPr="004120DC" w:rsidRDefault="004120DC" w:rsidP="004120DC">
      <w:pPr>
        <w:numPr>
          <w:ilvl w:val="0"/>
          <w:numId w:val="6"/>
        </w:numPr>
      </w:pPr>
      <w:r w:rsidRPr="004120DC">
        <w:t xml:space="preserve">Sozial </w:t>
      </w:r>
    </w:p>
    <w:p w14:paraId="54DEFB2E" w14:textId="77777777" w:rsidR="004120DC" w:rsidRPr="004120DC" w:rsidRDefault="004120DC" w:rsidP="004120DC">
      <w:pPr>
        <w:numPr>
          <w:ilvl w:val="0"/>
          <w:numId w:val="6"/>
        </w:numPr>
      </w:pPr>
      <w:r w:rsidRPr="004120DC">
        <w:t xml:space="preserve">Affektiv </w:t>
      </w:r>
    </w:p>
    <w:p w14:paraId="0956E490" w14:textId="77777777" w:rsidR="004120DC" w:rsidRPr="004120DC" w:rsidRDefault="004120DC" w:rsidP="004120DC">
      <w:pPr>
        <w:numPr>
          <w:ilvl w:val="0"/>
          <w:numId w:val="6"/>
        </w:numPr>
      </w:pPr>
      <w:r w:rsidRPr="004120DC">
        <w:t xml:space="preserve">Motivation </w:t>
      </w:r>
    </w:p>
    <w:p w14:paraId="658B1B69" w14:textId="77777777" w:rsidR="004120DC" w:rsidRPr="004120DC" w:rsidRDefault="004120DC" w:rsidP="004120DC">
      <w:pPr>
        <w:numPr>
          <w:ilvl w:val="0"/>
          <w:numId w:val="6"/>
        </w:numPr>
      </w:pPr>
      <w:r w:rsidRPr="004120DC">
        <w:t xml:space="preserve">Methodik </w:t>
      </w:r>
    </w:p>
    <w:p w14:paraId="24A786B4" w14:textId="77777777" w:rsidR="004120DC" w:rsidRPr="004120DC" w:rsidRDefault="004120DC" w:rsidP="004120DC">
      <w:pPr>
        <w:numPr>
          <w:ilvl w:val="0"/>
          <w:numId w:val="6"/>
        </w:numPr>
      </w:pPr>
      <w:r w:rsidRPr="004120DC">
        <w:t xml:space="preserve">Performanz </w:t>
      </w:r>
    </w:p>
    <w:p w14:paraId="49E76F06" w14:textId="77777777" w:rsidR="004120DC" w:rsidRPr="004120DC" w:rsidRDefault="004120DC" w:rsidP="004120DC">
      <w:pPr>
        <w:numPr>
          <w:ilvl w:val="0"/>
          <w:numId w:val="6"/>
        </w:numPr>
      </w:pPr>
      <w:r w:rsidRPr="004120DC">
        <w:t xml:space="preserve">Regulation </w:t>
      </w:r>
    </w:p>
    <w:p w14:paraId="4E9B0588" w14:textId="77777777" w:rsidR="004120DC" w:rsidRPr="004120DC" w:rsidRDefault="004120DC" w:rsidP="004120DC">
      <w:r w:rsidRPr="004120DC">
        <w:t>Die Dominanzachse beschreibt den bevorzugten semantischen Organisationsraum einer Gruppe.</w:t>
      </w:r>
    </w:p>
    <w:p w14:paraId="2C300FC5" w14:textId="77777777" w:rsidR="004120DC" w:rsidRPr="004120DC" w:rsidRDefault="004120DC" w:rsidP="004120DC">
      <w:r w:rsidRPr="004120DC">
        <w:pict w14:anchorId="72655515">
          <v:rect id="_x0000_i1124" style="width:0;height:1.5pt" o:hralign="center" o:hrstd="t" o:hr="t" fillcolor="#a0a0a0" stroked="f"/>
        </w:pict>
      </w:r>
    </w:p>
    <w:p w14:paraId="4AD9B87B" w14:textId="77777777" w:rsidR="004120DC" w:rsidRPr="004120DC" w:rsidRDefault="004120DC" w:rsidP="004120DC">
      <w:pPr>
        <w:rPr>
          <w:b/>
        </w:rPr>
      </w:pPr>
      <w:proofErr w:type="spellStart"/>
      <w:r w:rsidRPr="004120DC">
        <w:rPr>
          <w:b/>
        </w:rPr>
        <w:t>Attraktoranteile</w:t>
      </w:r>
      <w:proofErr w:type="spellEnd"/>
    </w:p>
    <w:p w14:paraId="1D871E34" w14:textId="77777777" w:rsidR="004120DC" w:rsidRPr="004120DC" w:rsidRDefault="004120DC" w:rsidP="004120DC">
      <w:r w:rsidRPr="004120DC">
        <w:t>Attraktoren wurden über wiederkehrende Zustandskonfigurationen identifiziert.</w:t>
      </w:r>
    </w:p>
    <w:p w14:paraId="639E6A5C" w14:textId="77777777" w:rsidR="004120DC" w:rsidRPr="004120DC" w:rsidRDefault="004120DC" w:rsidP="004120DC">
      <w:r w:rsidRPr="004120DC">
        <w:t xml:space="preserve">Hohe </w:t>
      </w:r>
      <w:proofErr w:type="spellStart"/>
      <w:r w:rsidRPr="004120DC">
        <w:t>Attraktoranteile</w:t>
      </w:r>
      <w:proofErr w:type="spellEnd"/>
      <w:r w:rsidRPr="004120DC">
        <w:t xml:space="preserve"> bedeuten:</w:t>
      </w:r>
    </w:p>
    <w:p w14:paraId="4F633179" w14:textId="77777777" w:rsidR="004120DC" w:rsidRPr="004120DC" w:rsidRDefault="004120DC" w:rsidP="004120DC">
      <w:pPr>
        <w:numPr>
          <w:ilvl w:val="0"/>
          <w:numId w:val="7"/>
        </w:numPr>
      </w:pPr>
      <w:r w:rsidRPr="004120DC">
        <w:t xml:space="preserve">geringe Zustandsstreuung </w:t>
      </w:r>
    </w:p>
    <w:p w14:paraId="2B6DD7EF" w14:textId="77777777" w:rsidR="004120DC" w:rsidRPr="004120DC" w:rsidRDefault="004120DC" w:rsidP="004120DC">
      <w:pPr>
        <w:numPr>
          <w:ilvl w:val="0"/>
          <w:numId w:val="7"/>
        </w:numPr>
      </w:pPr>
      <w:r w:rsidRPr="004120DC">
        <w:t xml:space="preserve">hohe Reproduzierbarkeit </w:t>
      </w:r>
    </w:p>
    <w:p w14:paraId="3001B1A9" w14:textId="77777777" w:rsidR="004120DC" w:rsidRPr="004120DC" w:rsidRDefault="004120DC" w:rsidP="004120DC">
      <w:pPr>
        <w:numPr>
          <w:ilvl w:val="0"/>
          <w:numId w:val="7"/>
        </w:numPr>
      </w:pPr>
      <w:r w:rsidRPr="004120DC">
        <w:t xml:space="preserve">stabile Gruppenidentität </w:t>
      </w:r>
    </w:p>
    <w:p w14:paraId="4C095EF6" w14:textId="77777777" w:rsidR="004120DC" w:rsidRPr="004120DC" w:rsidRDefault="004120DC" w:rsidP="004120DC">
      <w:r w:rsidRPr="004120DC">
        <w:t>Niedrige Werte deuten dagegen auf instabile oder wechselnde Gruppenorganisationen hin.</w:t>
      </w:r>
    </w:p>
    <w:p w14:paraId="1E8CD08C" w14:textId="77777777" w:rsidR="004120DC" w:rsidRPr="004120DC" w:rsidRDefault="004120DC" w:rsidP="004120DC">
      <w:r w:rsidRPr="004120DC">
        <w:pict w14:anchorId="347DEC75">
          <v:rect id="_x0000_i1125" style="width:0;height:1.5pt" o:hralign="center" o:hrstd="t" o:hr="t" fillcolor="#a0a0a0" stroked="f"/>
        </w:pict>
      </w:r>
    </w:p>
    <w:p w14:paraId="1B2941C9" w14:textId="77777777" w:rsidR="004120DC" w:rsidRPr="004120DC" w:rsidRDefault="004120DC" w:rsidP="004120DC">
      <w:pPr>
        <w:rPr>
          <w:b/>
        </w:rPr>
      </w:pPr>
      <w:r w:rsidRPr="004120DC">
        <w:rPr>
          <w:b/>
        </w:rPr>
        <w:t>Driftverhalten</w:t>
      </w:r>
    </w:p>
    <w:p w14:paraId="18CD74F8" w14:textId="77777777" w:rsidR="004120DC" w:rsidRPr="004120DC" w:rsidRDefault="004120DC" w:rsidP="004120DC">
      <w:r w:rsidRPr="004120DC">
        <w:t>Zur Bestimmung kollektiver Dynamik wurde die mittlere euklidische Distanz zwischen aufeinanderfolgenden Gruppenzuständen berechnet.</w:t>
      </w:r>
    </w:p>
    <w:p w14:paraId="1D0D035F" w14:textId="77777777" w:rsidR="004120DC" w:rsidRPr="004120DC" w:rsidRDefault="004120DC" w:rsidP="004120DC">
      <w:r w:rsidRPr="004120DC">
        <w:t>Hohe Driftwerte zeigen:</w:t>
      </w:r>
    </w:p>
    <w:p w14:paraId="17470C9C" w14:textId="77777777" w:rsidR="004120DC" w:rsidRPr="004120DC" w:rsidRDefault="004120DC" w:rsidP="004120DC">
      <w:pPr>
        <w:numPr>
          <w:ilvl w:val="0"/>
          <w:numId w:val="8"/>
        </w:numPr>
      </w:pPr>
      <w:r w:rsidRPr="004120DC">
        <w:t xml:space="preserve">starke Exploration </w:t>
      </w:r>
    </w:p>
    <w:p w14:paraId="1BBB7FE3" w14:textId="77777777" w:rsidR="004120DC" w:rsidRPr="004120DC" w:rsidRDefault="004120DC" w:rsidP="004120DC">
      <w:pPr>
        <w:numPr>
          <w:ilvl w:val="0"/>
          <w:numId w:val="8"/>
        </w:numPr>
      </w:pPr>
      <w:r w:rsidRPr="004120DC">
        <w:t xml:space="preserve">hohe Dynamik </w:t>
      </w:r>
    </w:p>
    <w:p w14:paraId="0325D852" w14:textId="77777777" w:rsidR="004120DC" w:rsidRPr="004120DC" w:rsidRDefault="004120DC" w:rsidP="004120DC">
      <w:pPr>
        <w:numPr>
          <w:ilvl w:val="0"/>
          <w:numId w:val="8"/>
        </w:numPr>
      </w:pPr>
      <w:r w:rsidRPr="004120DC">
        <w:t xml:space="preserve">häufige Rekonfiguration </w:t>
      </w:r>
    </w:p>
    <w:p w14:paraId="5DE885BF" w14:textId="77777777" w:rsidR="004120DC" w:rsidRPr="004120DC" w:rsidRDefault="004120DC" w:rsidP="004120DC">
      <w:r w:rsidRPr="004120DC">
        <w:t>Niedrige Driftwerte sprechen für:</w:t>
      </w:r>
    </w:p>
    <w:p w14:paraId="3C5FE6ED" w14:textId="77777777" w:rsidR="004120DC" w:rsidRPr="004120DC" w:rsidRDefault="004120DC" w:rsidP="004120DC">
      <w:pPr>
        <w:numPr>
          <w:ilvl w:val="0"/>
          <w:numId w:val="9"/>
        </w:numPr>
      </w:pPr>
      <w:r w:rsidRPr="004120DC">
        <w:t xml:space="preserve">Stabilisierung </w:t>
      </w:r>
    </w:p>
    <w:p w14:paraId="462AEA37" w14:textId="77777777" w:rsidR="004120DC" w:rsidRPr="004120DC" w:rsidRDefault="004120DC" w:rsidP="004120DC">
      <w:pPr>
        <w:numPr>
          <w:ilvl w:val="0"/>
          <w:numId w:val="9"/>
        </w:numPr>
      </w:pPr>
      <w:r w:rsidRPr="004120DC">
        <w:t xml:space="preserve">Routinisierung </w:t>
      </w:r>
    </w:p>
    <w:p w14:paraId="77680AD5" w14:textId="77777777" w:rsidR="004120DC" w:rsidRPr="004120DC" w:rsidRDefault="004120DC" w:rsidP="004120DC">
      <w:pPr>
        <w:numPr>
          <w:ilvl w:val="0"/>
          <w:numId w:val="9"/>
        </w:numPr>
      </w:pPr>
      <w:proofErr w:type="spellStart"/>
      <w:r w:rsidRPr="004120DC">
        <w:lastRenderedPageBreak/>
        <w:t>Attraktorbindung</w:t>
      </w:r>
      <w:proofErr w:type="spellEnd"/>
      <w:r w:rsidRPr="004120DC">
        <w:t xml:space="preserve"> </w:t>
      </w:r>
    </w:p>
    <w:p w14:paraId="6D7478D3" w14:textId="77777777" w:rsidR="004120DC" w:rsidRPr="004120DC" w:rsidRDefault="004120DC" w:rsidP="004120DC">
      <w:r w:rsidRPr="004120DC">
        <w:pict w14:anchorId="5DE518A6">
          <v:rect id="_x0000_i1126" style="width:0;height:1.5pt" o:hralign="center" o:hrstd="t" o:hr="t" fillcolor="#a0a0a0" stroked="f"/>
        </w:pict>
      </w:r>
    </w:p>
    <w:p w14:paraId="284C22C7" w14:textId="77777777" w:rsidR="004120DC" w:rsidRPr="004120DC" w:rsidRDefault="004120DC" w:rsidP="004120DC">
      <w:pPr>
        <w:rPr>
          <w:b/>
        </w:rPr>
      </w:pPr>
      <w:r w:rsidRPr="004120DC">
        <w:rPr>
          <w:b/>
        </w:rPr>
        <w:t>Emotionscluster</w:t>
      </w:r>
    </w:p>
    <w:p w14:paraId="0BDEE3F8" w14:textId="77777777" w:rsidR="004120DC" w:rsidRPr="004120DC" w:rsidRDefault="004120DC" w:rsidP="004120DC">
      <w:r w:rsidRPr="004120DC">
        <w:t>Die Gruppenemotionen wurden anhand der gemittelten Valenz- und Aktivierungswerte aller gemeldeten Emotionen bestimmt.</w:t>
      </w:r>
    </w:p>
    <w:p w14:paraId="00DC5300" w14:textId="77777777" w:rsidR="004120DC" w:rsidRPr="004120DC" w:rsidRDefault="004120DC" w:rsidP="004120DC">
      <w:r w:rsidRPr="004120DC">
        <w:t>Dadurch konnten gruppenspezifische affektive Resonanzfelder rekonstruiert werden.</w:t>
      </w:r>
    </w:p>
    <w:p w14:paraId="1F68D96E" w14:textId="77777777" w:rsidR="004120DC" w:rsidRPr="004120DC" w:rsidRDefault="004120DC" w:rsidP="004120DC">
      <w:r w:rsidRPr="004120DC">
        <w:pict w14:anchorId="38EF7178">
          <v:rect id="_x0000_i1127" style="width:0;height:1.5pt" o:hralign="center" o:hrstd="t" o:hr="t" fillcolor="#a0a0a0" stroked="f"/>
        </w:pict>
      </w:r>
    </w:p>
    <w:p w14:paraId="146A0DCF" w14:textId="77777777" w:rsidR="004120DC" w:rsidRPr="004120DC" w:rsidRDefault="004120DC" w:rsidP="004120DC">
      <w:pPr>
        <w:rPr>
          <w:b/>
        </w:rPr>
      </w:pPr>
      <w:r w:rsidRPr="004120DC">
        <w:rPr>
          <w:b/>
        </w:rPr>
        <w:t>4. Methodische Interpretation der Ergebnisse</w:t>
      </w:r>
    </w:p>
    <w:p w14:paraId="43A069B2" w14:textId="77777777" w:rsidR="004120DC" w:rsidRPr="004120DC" w:rsidRDefault="004120DC" w:rsidP="004120DC">
      <w:r w:rsidRPr="004120DC">
        <w:t>Die Auswertung zeigt drei klar voneinander unterscheidbare Gruppentypen.</w:t>
      </w:r>
    </w:p>
    <w:p w14:paraId="7C03A94A" w14:textId="77777777" w:rsidR="004120DC" w:rsidRPr="004120DC" w:rsidRDefault="004120DC" w:rsidP="004120DC">
      <w:pPr>
        <w:rPr>
          <w:b/>
        </w:rPr>
      </w:pPr>
      <w:r w:rsidRPr="004120DC">
        <w:rPr>
          <w:b/>
        </w:rPr>
        <w:t xml:space="preserve">4.1 Regulatorische </w:t>
      </w:r>
      <w:proofErr w:type="spellStart"/>
      <w:r w:rsidRPr="004120DC">
        <w:rPr>
          <w:b/>
        </w:rPr>
        <w:t>Attraktorsysteme</w:t>
      </w:r>
      <w:proofErr w:type="spellEnd"/>
    </w:p>
    <w:p w14:paraId="33827950" w14:textId="77777777" w:rsidR="004120DC" w:rsidRPr="004120DC" w:rsidRDefault="004120DC" w:rsidP="004120DC">
      <w:r w:rsidRPr="004120DC">
        <w:t>Die Gruppen 0 und 3 werden durch Regulation dominiert.</w:t>
      </w:r>
    </w:p>
    <w:p w14:paraId="2F74CE9A" w14:textId="77777777" w:rsidR="004120DC" w:rsidRPr="004120DC" w:rsidRDefault="004120DC" w:rsidP="004120DC">
      <w:r w:rsidRPr="004120DC">
        <w:t>Kennzeichnend sind:</w:t>
      </w:r>
    </w:p>
    <w:p w14:paraId="2F26A9EF" w14:textId="77777777" w:rsidR="004120DC" w:rsidRPr="004120DC" w:rsidRDefault="004120DC" w:rsidP="004120DC">
      <w:pPr>
        <w:numPr>
          <w:ilvl w:val="0"/>
          <w:numId w:val="10"/>
        </w:numPr>
      </w:pPr>
      <w:r w:rsidRPr="004120DC">
        <w:t xml:space="preserve">minimale Drift </w:t>
      </w:r>
    </w:p>
    <w:p w14:paraId="7952144E" w14:textId="77777777" w:rsidR="004120DC" w:rsidRPr="004120DC" w:rsidRDefault="004120DC" w:rsidP="004120DC">
      <w:pPr>
        <w:numPr>
          <w:ilvl w:val="0"/>
          <w:numId w:val="10"/>
        </w:numPr>
      </w:pPr>
      <w:r w:rsidRPr="004120DC">
        <w:t xml:space="preserve">hohe </w:t>
      </w:r>
      <w:proofErr w:type="spellStart"/>
      <w:r w:rsidRPr="004120DC">
        <w:t>Attraktoranteile</w:t>
      </w:r>
      <w:proofErr w:type="spellEnd"/>
      <w:r w:rsidRPr="004120DC">
        <w:t xml:space="preserve"> </w:t>
      </w:r>
    </w:p>
    <w:p w14:paraId="5CE1F669" w14:textId="77777777" w:rsidR="004120DC" w:rsidRPr="004120DC" w:rsidRDefault="004120DC" w:rsidP="004120DC">
      <w:pPr>
        <w:numPr>
          <w:ilvl w:val="0"/>
          <w:numId w:val="10"/>
        </w:numPr>
      </w:pPr>
      <w:r w:rsidRPr="004120DC">
        <w:t xml:space="preserve">starke Selbststabilisierung </w:t>
      </w:r>
    </w:p>
    <w:p w14:paraId="63B70092" w14:textId="77777777" w:rsidR="004120DC" w:rsidRPr="004120DC" w:rsidRDefault="004120DC" w:rsidP="004120DC">
      <w:r w:rsidRPr="004120DC">
        <w:t>Diese Gruppen besitzen eine hohe Fähigkeit zur autonomen Aufrechterhaltung ihrer Zustandsstruktur. Aus Sicht des FRZK stellen sie die robustesten Systeme dar.</w:t>
      </w:r>
    </w:p>
    <w:p w14:paraId="7E9DC67D" w14:textId="77777777" w:rsidR="004120DC" w:rsidRPr="004120DC" w:rsidRDefault="004120DC" w:rsidP="004120DC">
      <w:r w:rsidRPr="004120DC">
        <w:t>Didaktisch spricht dies für ausgeprägte Selbststeuerungskompetenzen der Lernenden sowie für etablierte Arbeitsroutinen [8][9].</w:t>
      </w:r>
    </w:p>
    <w:p w14:paraId="05D4A75E" w14:textId="77777777" w:rsidR="004120DC" w:rsidRPr="004120DC" w:rsidRDefault="004120DC" w:rsidP="004120DC">
      <w:r w:rsidRPr="004120DC">
        <w:pict w14:anchorId="54E0E847">
          <v:rect id="_x0000_i1128" style="width:0;height:1.5pt" o:hralign="center" o:hrstd="t" o:hr="t" fillcolor="#a0a0a0" stroked="f"/>
        </w:pict>
      </w:r>
    </w:p>
    <w:p w14:paraId="4A2581A9" w14:textId="77777777" w:rsidR="004120DC" w:rsidRPr="004120DC" w:rsidRDefault="004120DC" w:rsidP="004120DC">
      <w:pPr>
        <w:rPr>
          <w:b/>
        </w:rPr>
      </w:pPr>
      <w:r w:rsidRPr="004120DC">
        <w:rPr>
          <w:b/>
        </w:rPr>
        <w:t xml:space="preserve">4.2 </w:t>
      </w:r>
      <w:proofErr w:type="spellStart"/>
      <w:r w:rsidRPr="004120DC">
        <w:rPr>
          <w:b/>
        </w:rPr>
        <w:t>Performanzdominierte</w:t>
      </w:r>
      <w:proofErr w:type="spellEnd"/>
      <w:r w:rsidRPr="004120DC">
        <w:rPr>
          <w:b/>
        </w:rPr>
        <w:t xml:space="preserve"> Resonanzräume</w:t>
      </w:r>
    </w:p>
    <w:p w14:paraId="1BEC194C" w14:textId="77777777" w:rsidR="004120DC" w:rsidRPr="004120DC" w:rsidRDefault="004120DC" w:rsidP="004120DC">
      <w:r w:rsidRPr="004120DC">
        <w:t xml:space="preserve">Die Gruppen 1, 4, 5, 6, 7 und 8 zeigen eine deutliche </w:t>
      </w:r>
      <w:proofErr w:type="spellStart"/>
      <w:r w:rsidRPr="004120DC">
        <w:t>Performanzdominanz</w:t>
      </w:r>
      <w:proofErr w:type="spellEnd"/>
      <w:r w:rsidRPr="004120DC">
        <w:t>.</w:t>
      </w:r>
    </w:p>
    <w:p w14:paraId="4B933779" w14:textId="77777777" w:rsidR="004120DC" w:rsidRPr="004120DC" w:rsidRDefault="004120DC" w:rsidP="004120DC">
      <w:r w:rsidRPr="004120DC">
        <w:t>Diese Gruppen zeichnen sich aus durch:</w:t>
      </w:r>
    </w:p>
    <w:p w14:paraId="69C40601" w14:textId="77777777" w:rsidR="004120DC" w:rsidRPr="004120DC" w:rsidRDefault="004120DC" w:rsidP="004120DC">
      <w:pPr>
        <w:numPr>
          <w:ilvl w:val="0"/>
          <w:numId w:val="11"/>
        </w:numPr>
      </w:pPr>
      <w:r w:rsidRPr="004120DC">
        <w:t xml:space="preserve">hohe Leistungsorientierung </w:t>
      </w:r>
    </w:p>
    <w:p w14:paraId="20274788" w14:textId="77777777" w:rsidR="004120DC" w:rsidRPr="004120DC" w:rsidRDefault="004120DC" w:rsidP="004120DC">
      <w:pPr>
        <w:numPr>
          <w:ilvl w:val="0"/>
          <w:numId w:val="11"/>
        </w:numPr>
      </w:pPr>
      <w:r w:rsidRPr="004120DC">
        <w:t xml:space="preserve">geringe Drift </w:t>
      </w:r>
    </w:p>
    <w:p w14:paraId="1DEFE6DA" w14:textId="77777777" w:rsidR="004120DC" w:rsidRPr="004120DC" w:rsidRDefault="004120DC" w:rsidP="004120DC">
      <w:pPr>
        <w:numPr>
          <w:ilvl w:val="0"/>
          <w:numId w:val="11"/>
        </w:numPr>
      </w:pPr>
      <w:r w:rsidRPr="004120DC">
        <w:t xml:space="preserve">starke </w:t>
      </w:r>
      <w:proofErr w:type="spellStart"/>
      <w:r w:rsidRPr="004120DC">
        <w:t>Attraktorbindung</w:t>
      </w:r>
      <w:proofErr w:type="spellEnd"/>
      <w:r w:rsidRPr="004120DC">
        <w:t xml:space="preserve"> </w:t>
      </w:r>
    </w:p>
    <w:p w14:paraId="177806C0" w14:textId="77777777" w:rsidR="004120DC" w:rsidRPr="004120DC" w:rsidRDefault="004120DC" w:rsidP="004120DC">
      <w:r w:rsidRPr="004120DC">
        <w:t>Besonders interessant erscheint hierbei die Gruppe 4. Trotz hoher Stabilität entwickelte sie in späteren Analysen eine ausgeprägte Krisendynamik nach dem Lehrkraftwechsel.</w:t>
      </w:r>
    </w:p>
    <w:p w14:paraId="72A7A726" w14:textId="77777777" w:rsidR="004120DC" w:rsidRPr="004120DC" w:rsidRDefault="004120DC" w:rsidP="004120DC">
      <w:r w:rsidRPr="004120DC">
        <w:t>Aus FRZK-Sicht deutet dies auf eine performative Stabilisierung ohne ausreichende regulatorische Absicherung hin.</w:t>
      </w:r>
    </w:p>
    <w:p w14:paraId="24C44DE0" w14:textId="77777777" w:rsidR="004120DC" w:rsidRPr="004120DC" w:rsidRDefault="004120DC" w:rsidP="004120DC">
      <w:r w:rsidRPr="004120DC">
        <w:t>Die Gruppe war stabil, aber nicht resilient.</w:t>
      </w:r>
    </w:p>
    <w:p w14:paraId="19EC419A" w14:textId="77777777" w:rsidR="004120DC" w:rsidRPr="004120DC" w:rsidRDefault="004120DC" w:rsidP="004120DC">
      <w:r w:rsidRPr="004120DC">
        <w:t>Gerade diese Unterscheidung stellt einen wesentlichen Beitrag des FRZK dar.</w:t>
      </w:r>
    </w:p>
    <w:p w14:paraId="179D5F67" w14:textId="77777777" w:rsidR="004120DC" w:rsidRPr="004120DC" w:rsidRDefault="004120DC" w:rsidP="004120DC">
      <w:r w:rsidRPr="004120DC">
        <w:pict w14:anchorId="533BC3E8">
          <v:rect id="_x0000_i1129" style="width:0;height:1.5pt" o:hralign="center" o:hrstd="t" o:hr="t" fillcolor="#a0a0a0" stroked="f"/>
        </w:pict>
      </w:r>
    </w:p>
    <w:p w14:paraId="0B61BD93" w14:textId="77777777" w:rsidR="004120DC" w:rsidRPr="004120DC" w:rsidRDefault="004120DC" w:rsidP="004120DC">
      <w:pPr>
        <w:rPr>
          <w:b/>
        </w:rPr>
      </w:pPr>
      <w:r w:rsidRPr="004120DC">
        <w:rPr>
          <w:b/>
        </w:rPr>
        <w:t>4.3 Kognitiv-epistemische Explorationsräume</w:t>
      </w:r>
    </w:p>
    <w:p w14:paraId="3FB26AFF" w14:textId="77777777" w:rsidR="004120DC" w:rsidRPr="004120DC" w:rsidRDefault="004120DC" w:rsidP="004120DC">
      <w:r w:rsidRPr="004120DC">
        <w:t>Die Gruppen 2 und 9 weisen eine dominante Kognitionsachse auf.</w:t>
      </w:r>
    </w:p>
    <w:p w14:paraId="3ABF9420" w14:textId="77777777" w:rsidR="004120DC" w:rsidRPr="004120DC" w:rsidRDefault="004120DC" w:rsidP="004120DC">
      <w:r w:rsidRPr="004120DC">
        <w:t>Gleichzeitig zeigen sie:</w:t>
      </w:r>
    </w:p>
    <w:p w14:paraId="62A26125" w14:textId="77777777" w:rsidR="004120DC" w:rsidRPr="004120DC" w:rsidRDefault="004120DC" w:rsidP="004120DC">
      <w:pPr>
        <w:numPr>
          <w:ilvl w:val="0"/>
          <w:numId w:val="12"/>
        </w:numPr>
      </w:pPr>
      <w:r w:rsidRPr="004120DC">
        <w:lastRenderedPageBreak/>
        <w:t xml:space="preserve">hohe positive Emotionsvalenzen </w:t>
      </w:r>
    </w:p>
    <w:p w14:paraId="0A75BA43" w14:textId="77777777" w:rsidR="004120DC" w:rsidRPr="004120DC" w:rsidRDefault="004120DC" w:rsidP="004120DC">
      <w:pPr>
        <w:numPr>
          <w:ilvl w:val="0"/>
          <w:numId w:val="12"/>
        </w:numPr>
      </w:pPr>
      <w:r w:rsidRPr="004120DC">
        <w:t xml:space="preserve">erhöhte Drift </w:t>
      </w:r>
    </w:p>
    <w:p w14:paraId="61774C71" w14:textId="77777777" w:rsidR="004120DC" w:rsidRPr="004120DC" w:rsidRDefault="004120DC" w:rsidP="004120DC">
      <w:pPr>
        <w:numPr>
          <w:ilvl w:val="0"/>
          <w:numId w:val="12"/>
        </w:numPr>
      </w:pPr>
      <w:r w:rsidRPr="004120DC">
        <w:t xml:space="preserve">hohe </w:t>
      </w:r>
      <w:proofErr w:type="spellStart"/>
      <w:r w:rsidRPr="004120DC">
        <w:t>Attraktorstabilität</w:t>
      </w:r>
      <w:proofErr w:type="spellEnd"/>
      <w:r w:rsidRPr="004120DC">
        <w:t xml:space="preserve"> </w:t>
      </w:r>
    </w:p>
    <w:p w14:paraId="38BC7C6B" w14:textId="77777777" w:rsidR="004120DC" w:rsidRPr="004120DC" w:rsidRDefault="004120DC" w:rsidP="004120DC">
      <w:r w:rsidRPr="004120DC">
        <w:t>Dieses Muster spricht für epistemische Exploration.</w:t>
      </w:r>
    </w:p>
    <w:p w14:paraId="31FDE7E5" w14:textId="77777777" w:rsidR="004120DC" w:rsidRPr="004120DC" w:rsidRDefault="004120DC" w:rsidP="004120DC">
      <w:r w:rsidRPr="004120DC">
        <w:t>Die Gruppen verändern ihre Zustände häufiger, verbleiben jedoch innerhalb eines gemeinsamen semantischen Resonanzraumes.</w:t>
      </w:r>
    </w:p>
    <w:p w14:paraId="74B5F98E" w14:textId="77777777" w:rsidR="004120DC" w:rsidRPr="004120DC" w:rsidRDefault="004120DC" w:rsidP="004120DC">
      <w:r w:rsidRPr="004120DC">
        <w:t>Didaktisch entsprechen solche Gruppen idealen Bedingungen für konzeptuelles Lernen und Transferprozesse [10][11].</w:t>
      </w:r>
    </w:p>
    <w:p w14:paraId="0433B3BA" w14:textId="77777777" w:rsidR="004120DC" w:rsidRPr="004120DC" w:rsidRDefault="004120DC" w:rsidP="004120DC">
      <w:r w:rsidRPr="004120DC">
        <w:pict w14:anchorId="36D78C80">
          <v:rect id="_x0000_i1130" style="width:0;height:1.5pt" o:hralign="center" o:hrstd="t" o:hr="t" fillcolor="#a0a0a0" stroked="f"/>
        </w:pict>
      </w:r>
    </w:p>
    <w:p w14:paraId="4E8292DA" w14:textId="77777777" w:rsidR="004120DC" w:rsidRPr="004120DC" w:rsidRDefault="004120DC" w:rsidP="004120DC">
      <w:pPr>
        <w:rPr>
          <w:b/>
        </w:rPr>
      </w:pPr>
      <w:r w:rsidRPr="004120DC">
        <w:rPr>
          <w:b/>
        </w:rPr>
        <w:t>5. Didaktische Konsequenzen</w:t>
      </w:r>
    </w:p>
    <w:p w14:paraId="02489C73" w14:textId="77777777" w:rsidR="004120DC" w:rsidRPr="004120DC" w:rsidRDefault="004120DC" w:rsidP="004120DC">
      <w:r w:rsidRPr="004120DC">
        <w:t>Die Ergebnisse legen nahe, dass Gruppen nicht ausschließlich über individuelle Leistungsmerkmale beschrieben werden sollten.</w:t>
      </w:r>
    </w:p>
    <w:p w14:paraId="36A6A6CB" w14:textId="77777777" w:rsidR="004120DC" w:rsidRPr="004120DC" w:rsidRDefault="004120DC" w:rsidP="004120DC">
      <w:r w:rsidRPr="004120DC">
        <w:t>Vielmehr entstehen eigenständige kollektive Dynamiken.</w:t>
      </w:r>
    </w:p>
    <w:p w14:paraId="32598A5F" w14:textId="77777777" w:rsidR="004120DC" w:rsidRPr="004120DC" w:rsidRDefault="004120DC" w:rsidP="004120DC">
      <w:r w:rsidRPr="004120DC">
        <w:t>Hieraus ergeben sich mehrere didaktische Konsequenzen:</w:t>
      </w:r>
    </w:p>
    <w:p w14:paraId="301E3A13" w14:textId="77777777" w:rsidR="004120DC" w:rsidRPr="004120DC" w:rsidRDefault="004120DC" w:rsidP="004120DC">
      <w:pPr>
        <w:rPr>
          <w:b/>
        </w:rPr>
      </w:pPr>
      <w:r w:rsidRPr="004120DC">
        <w:rPr>
          <w:b/>
        </w:rPr>
        <w:t>Erstens</w:t>
      </w:r>
    </w:p>
    <w:p w14:paraId="12A6C365" w14:textId="77777777" w:rsidR="004120DC" w:rsidRPr="004120DC" w:rsidRDefault="004120DC" w:rsidP="004120DC">
      <w:r w:rsidRPr="004120DC">
        <w:t>Lehrkräfte beeinflussen nicht nur einzelne Lernende, sondern ganze Resonanzräume.</w:t>
      </w:r>
    </w:p>
    <w:p w14:paraId="22A2C106" w14:textId="77777777" w:rsidR="004120DC" w:rsidRPr="004120DC" w:rsidRDefault="004120DC" w:rsidP="004120DC">
      <w:r w:rsidRPr="004120DC">
        <w:t>Unterricht wirkt daher immer zugleich auf individueller und kollektiver Ebene.</w:t>
      </w:r>
    </w:p>
    <w:p w14:paraId="58D3DA05" w14:textId="77777777" w:rsidR="004120DC" w:rsidRPr="004120DC" w:rsidRDefault="004120DC" w:rsidP="004120DC">
      <w:r w:rsidRPr="004120DC">
        <w:pict w14:anchorId="0635CF96">
          <v:rect id="_x0000_i1131" style="width:0;height:1.5pt" o:hralign="center" o:hrstd="t" o:hr="t" fillcolor="#a0a0a0" stroked="f"/>
        </w:pict>
      </w:r>
    </w:p>
    <w:p w14:paraId="525FDFA9" w14:textId="77777777" w:rsidR="004120DC" w:rsidRPr="004120DC" w:rsidRDefault="004120DC" w:rsidP="004120DC">
      <w:pPr>
        <w:rPr>
          <w:b/>
        </w:rPr>
      </w:pPr>
      <w:r w:rsidRPr="004120DC">
        <w:rPr>
          <w:b/>
        </w:rPr>
        <w:t>Zweitens</w:t>
      </w:r>
    </w:p>
    <w:p w14:paraId="43143B2C" w14:textId="77777777" w:rsidR="004120DC" w:rsidRPr="004120DC" w:rsidRDefault="004120DC" w:rsidP="004120DC">
      <w:proofErr w:type="spellStart"/>
      <w:r w:rsidRPr="004120DC">
        <w:t>Performanzorientierte</w:t>
      </w:r>
      <w:proofErr w:type="spellEnd"/>
      <w:r w:rsidRPr="004120DC">
        <w:t xml:space="preserve"> Gruppen sind nicht automatisch stabile Gruppen.</w:t>
      </w:r>
    </w:p>
    <w:p w14:paraId="7A2EEC95" w14:textId="77777777" w:rsidR="004120DC" w:rsidRPr="004120DC" w:rsidRDefault="004120DC" w:rsidP="004120DC">
      <w:r w:rsidRPr="004120DC">
        <w:t>Fehlt eine ausreichende regulatorische Basis, können solche Systeme gegenüber Störungen besonders anfällig sein.</w:t>
      </w:r>
    </w:p>
    <w:p w14:paraId="75371C04" w14:textId="77777777" w:rsidR="004120DC" w:rsidRPr="004120DC" w:rsidRDefault="004120DC" w:rsidP="004120DC">
      <w:r w:rsidRPr="004120DC">
        <w:pict w14:anchorId="59697319">
          <v:rect id="_x0000_i1132" style="width:0;height:1.5pt" o:hralign="center" o:hrstd="t" o:hr="t" fillcolor="#a0a0a0" stroked="f"/>
        </w:pict>
      </w:r>
    </w:p>
    <w:p w14:paraId="5E3ACA73" w14:textId="77777777" w:rsidR="004120DC" w:rsidRPr="004120DC" w:rsidRDefault="004120DC" w:rsidP="004120DC">
      <w:pPr>
        <w:rPr>
          <w:b/>
        </w:rPr>
      </w:pPr>
      <w:r w:rsidRPr="004120DC">
        <w:rPr>
          <w:b/>
        </w:rPr>
        <w:t>Drittens</w:t>
      </w:r>
    </w:p>
    <w:p w14:paraId="10758781" w14:textId="77777777" w:rsidR="004120DC" w:rsidRPr="004120DC" w:rsidRDefault="004120DC" w:rsidP="004120DC">
      <w:r w:rsidRPr="004120DC">
        <w:t>Kognitive Explorationsräume besitzen ein hohes Lernpotenzial.</w:t>
      </w:r>
    </w:p>
    <w:p w14:paraId="07DC1EA8" w14:textId="77777777" w:rsidR="004120DC" w:rsidRPr="004120DC" w:rsidRDefault="004120DC" w:rsidP="004120DC">
      <w:r w:rsidRPr="004120DC">
        <w:t>Erhöhte Driftwerte sollten deshalb nicht grundsätzlich als problematisch interpretiert werden.</w:t>
      </w:r>
    </w:p>
    <w:p w14:paraId="2290CEC0" w14:textId="77777777" w:rsidR="004120DC" w:rsidRPr="004120DC" w:rsidRDefault="004120DC" w:rsidP="004120DC">
      <w:r w:rsidRPr="004120DC">
        <w:t>Unter bestimmten Bedingungen können sie vielmehr Ausdruck produktiver Lernprozesse sein.</w:t>
      </w:r>
    </w:p>
    <w:p w14:paraId="28586CAD" w14:textId="77777777" w:rsidR="004120DC" w:rsidRPr="004120DC" w:rsidRDefault="004120DC" w:rsidP="004120DC">
      <w:r w:rsidRPr="004120DC">
        <w:pict w14:anchorId="3D717C78">
          <v:rect id="_x0000_i1133" style="width:0;height:1.5pt" o:hralign="center" o:hrstd="t" o:hr="t" fillcolor="#a0a0a0" stroked="f"/>
        </w:pict>
      </w:r>
    </w:p>
    <w:p w14:paraId="634DE2EA" w14:textId="77777777" w:rsidR="004120DC" w:rsidRPr="004120DC" w:rsidRDefault="004120DC" w:rsidP="004120DC">
      <w:pPr>
        <w:rPr>
          <w:b/>
        </w:rPr>
      </w:pPr>
      <w:r w:rsidRPr="004120DC">
        <w:rPr>
          <w:b/>
        </w:rPr>
        <w:t>Viertens</w:t>
      </w:r>
    </w:p>
    <w:p w14:paraId="3E072272" w14:textId="77777777" w:rsidR="004120DC" w:rsidRPr="004120DC" w:rsidRDefault="004120DC" w:rsidP="004120DC">
      <w:r w:rsidRPr="004120DC">
        <w:t>Regulationsdominierte Gruppen besitzen die höchste Robustheit gegenüber externen Veränderungen.</w:t>
      </w:r>
    </w:p>
    <w:p w14:paraId="32C1376C" w14:textId="77777777" w:rsidR="004120DC" w:rsidRPr="004120DC" w:rsidRDefault="004120DC" w:rsidP="004120DC">
      <w:r w:rsidRPr="004120DC">
        <w:t>Die Förderung von Selbstregulation erscheint daher als zentrale didaktische Zielgröße.</w:t>
      </w:r>
    </w:p>
    <w:p w14:paraId="3977F311" w14:textId="77777777" w:rsidR="004120DC" w:rsidRPr="004120DC" w:rsidRDefault="004120DC" w:rsidP="004120DC">
      <w:r w:rsidRPr="004120DC">
        <w:pict w14:anchorId="45C0E122">
          <v:rect id="_x0000_i1134" style="width:0;height:1.5pt" o:hralign="center" o:hrstd="t" o:hr="t" fillcolor="#a0a0a0" stroked="f"/>
        </w:pict>
      </w:r>
    </w:p>
    <w:p w14:paraId="49B49BEE" w14:textId="77777777" w:rsidR="004120DC" w:rsidRPr="004120DC" w:rsidRDefault="004120DC" w:rsidP="004120DC">
      <w:pPr>
        <w:rPr>
          <w:b/>
        </w:rPr>
      </w:pPr>
      <w:r w:rsidRPr="004120DC">
        <w:rPr>
          <w:b/>
        </w:rPr>
        <w:t>6. Bedeutung für die Bildungsforschung</w:t>
      </w:r>
    </w:p>
    <w:p w14:paraId="30CEE19D" w14:textId="77777777" w:rsidR="004120DC" w:rsidRPr="004120DC" w:rsidRDefault="004120DC" w:rsidP="004120DC">
      <w:r w:rsidRPr="004120DC">
        <w:lastRenderedPageBreak/>
        <w:t>Die Ergebnisse besitzen erhebliche Relevanz für die Erforschung komplexer Lernsysteme.</w:t>
      </w:r>
    </w:p>
    <w:p w14:paraId="0BB209F2" w14:textId="77777777" w:rsidR="004120DC" w:rsidRPr="004120DC" w:rsidRDefault="004120DC" w:rsidP="004120DC">
      <w:r w:rsidRPr="004120DC">
        <w:t>Traditionelle Unterrichtsforschung untersucht häufig:</w:t>
      </w:r>
    </w:p>
    <w:p w14:paraId="48344E73" w14:textId="77777777" w:rsidR="004120DC" w:rsidRPr="004120DC" w:rsidRDefault="004120DC" w:rsidP="004120DC">
      <w:pPr>
        <w:numPr>
          <w:ilvl w:val="0"/>
          <w:numId w:val="13"/>
        </w:numPr>
      </w:pPr>
      <w:r w:rsidRPr="004120DC">
        <w:t xml:space="preserve">individuelle Leistungen </w:t>
      </w:r>
    </w:p>
    <w:p w14:paraId="19B25AD6" w14:textId="77777777" w:rsidR="004120DC" w:rsidRPr="004120DC" w:rsidRDefault="004120DC" w:rsidP="004120DC">
      <w:pPr>
        <w:numPr>
          <w:ilvl w:val="0"/>
          <w:numId w:val="13"/>
        </w:numPr>
      </w:pPr>
      <w:r w:rsidRPr="004120DC">
        <w:t xml:space="preserve">Motivation </w:t>
      </w:r>
    </w:p>
    <w:p w14:paraId="6A537B09" w14:textId="77777777" w:rsidR="004120DC" w:rsidRPr="004120DC" w:rsidRDefault="004120DC" w:rsidP="004120DC">
      <w:pPr>
        <w:numPr>
          <w:ilvl w:val="0"/>
          <w:numId w:val="13"/>
        </w:numPr>
      </w:pPr>
      <w:r w:rsidRPr="004120DC">
        <w:t xml:space="preserve">Emotionen </w:t>
      </w:r>
    </w:p>
    <w:p w14:paraId="1FA40A6C" w14:textId="77777777" w:rsidR="004120DC" w:rsidRPr="004120DC" w:rsidRDefault="004120DC" w:rsidP="004120DC">
      <w:pPr>
        <w:numPr>
          <w:ilvl w:val="0"/>
          <w:numId w:val="13"/>
        </w:numPr>
      </w:pPr>
      <w:r w:rsidRPr="004120DC">
        <w:t xml:space="preserve">Lehrermerkmale </w:t>
      </w:r>
    </w:p>
    <w:p w14:paraId="73309843" w14:textId="77777777" w:rsidR="004120DC" w:rsidRPr="004120DC" w:rsidRDefault="004120DC" w:rsidP="004120DC">
      <w:r w:rsidRPr="004120DC">
        <w:t>Die vorliegende Analyse erweitert diese Perspektive um die Ebene kollektiver semantischer Zustände.</w:t>
      </w:r>
    </w:p>
    <w:p w14:paraId="2A4E4A09" w14:textId="77777777" w:rsidR="004120DC" w:rsidRPr="004120DC" w:rsidRDefault="004120DC" w:rsidP="004120DC">
      <w:r w:rsidRPr="004120DC">
        <w:t>Dadurch wird erstmals sichtbar, dass Gruppen selbst zu eigenständigen Analyseobjekten werden können.</w:t>
      </w:r>
    </w:p>
    <w:p w14:paraId="187B1350" w14:textId="77777777" w:rsidR="004120DC" w:rsidRPr="004120DC" w:rsidRDefault="004120DC" w:rsidP="004120DC">
      <w:r w:rsidRPr="004120DC">
        <w:t>Besonders die Identifikation latenter Kipppunktgruppen eröffnet neue Möglichkeiten für die Früherkennung pädagogischer Risiken.</w:t>
      </w:r>
    </w:p>
    <w:p w14:paraId="44A0A7F3" w14:textId="77777777" w:rsidR="004120DC" w:rsidRPr="004120DC" w:rsidRDefault="004120DC" w:rsidP="004120DC">
      <w:r w:rsidRPr="004120DC">
        <w:t xml:space="preserve">Damit verbindet das </w:t>
      </w:r>
      <w:proofErr w:type="gramStart"/>
      <w:r w:rsidRPr="004120DC">
        <w:t>FRZK Aspekte</w:t>
      </w:r>
      <w:proofErr w:type="gramEnd"/>
      <w:r w:rsidRPr="004120DC">
        <w:t xml:space="preserve"> der Unterrichtsforschung, der Lernpsychologie, der Komplexitätstheorie und der Bildungsinformatik innerhalb eines gemeinsamen Analysemodells.</w:t>
      </w:r>
    </w:p>
    <w:p w14:paraId="6257DE7B" w14:textId="77777777" w:rsidR="004120DC" w:rsidRPr="004120DC" w:rsidRDefault="004120DC" w:rsidP="004120DC">
      <w:r w:rsidRPr="004120DC">
        <w:pict w14:anchorId="1389B184">
          <v:rect id="_x0000_i1135" style="width:0;height:1.5pt" o:hralign="center" o:hrstd="t" o:hr="t" fillcolor="#a0a0a0" stroked="f"/>
        </w:pict>
      </w:r>
    </w:p>
    <w:p w14:paraId="5FFF0047" w14:textId="77777777" w:rsidR="004120DC" w:rsidRPr="004120DC" w:rsidRDefault="004120DC" w:rsidP="004120DC">
      <w:pPr>
        <w:rPr>
          <w:b/>
        </w:rPr>
      </w:pPr>
      <w:r w:rsidRPr="004120DC">
        <w:rPr>
          <w:b/>
        </w:rPr>
        <w:t>7. Fazit</w:t>
      </w:r>
    </w:p>
    <w:p w14:paraId="54BA9DB3" w14:textId="77777777" w:rsidR="004120DC" w:rsidRPr="004120DC" w:rsidRDefault="004120DC" w:rsidP="004120DC">
      <w:r w:rsidRPr="004120DC">
        <w:t xml:space="preserve">Die Untersuchung emergenter Gruppenmuster liefert deutliche Hinweise darauf, dass pädagogische Gruppen eigenständige semantische Organisationsformen ausbilden. Wiederkehrende Dominanzachsen, hohe </w:t>
      </w:r>
      <w:proofErr w:type="spellStart"/>
      <w:r w:rsidRPr="004120DC">
        <w:t>Attraktoranteile</w:t>
      </w:r>
      <w:proofErr w:type="spellEnd"/>
      <w:r w:rsidRPr="004120DC">
        <w:t>, gruppenspezifische Emotionscluster und stabile Driftmuster sprechen dafür, dass Gruppen nicht lediglich aus individuellen Zuständen bestehen, sondern kollektive Resonanzräume entwickeln.</w:t>
      </w:r>
    </w:p>
    <w:p w14:paraId="1640CA2D" w14:textId="77777777" w:rsidR="004120DC" w:rsidRPr="004120DC" w:rsidRDefault="004120DC" w:rsidP="004120DC">
      <w:r w:rsidRPr="004120DC">
        <w:t>Aus meiner Sicht gehört dieser Befund zu den theoretisch wichtigsten Ergebnissen der Lehrkraft-Teilnehmer-Korrelationsanalysen. Während Resonanz, Kohärenz und Stabilisierung bereits auf dyadischer Ebene sichtbar werden, zeigt sich hier erstmals die Ausbildung einer eigenständigen Systemebene. Die Gruppe erscheint damit nicht mehr als bloße Summe ihrer Mitglieder, sondern als emergentes semantisches Gesamtsystem. Genau diese Beobachtung entspricht einer zentralen Vorhersage des FRZK und stellt zugleich einen möglichen Beitrag zur Weiterentwicklung komplexitätsorientierter Bildungsforschung dar.</w:t>
      </w:r>
    </w:p>
    <w:p w14:paraId="4E98D446" w14:textId="77777777" w:rsidR="004120DC" w:rsidRPr="004120DC" w:rsidRDefault="004120DC" w:rsidP="004120DC">
      <w:r w:rsidRPr="004120DC">
        <w:pict w14:anchorId="246BD877">
          <v:rect id="_x0000_i1136" style="width:0;height:1.5pt" o:hralign="center" o:hrstd="t" o:hr="t" fillcolor="#a0a0a0" stroked="f"/>
        </w:pict>
      </w:r>
    </w:p>
    <w:p w14:paraId="5814568C" w14:textId="77777777" w:rsidR="004120DC" w:rsidRPr="004120DC" w:rsidRDefault="004120DC" w:rsidP="004120DC">
      <w:pPr>
        <w:rPr>
          <w:b/>
        </w:rPr>
      </w:pPr>
      <w:r w:rsidRPr="004120DC">
        <w:rPr>
          <w:b/>
        </w:rPr>
        <w:t>Literaturverzeichnis</w:t>
      </w:r>
    </w:p>
    <w:p w14:paraId="1F491FE3" w14:textId="77777777" w:rsidR="004120DC" w:rsidRPr="004120DC" w:rsidRDefault="004120DC" w:rsidP="004120DC">
      <w:r w:rsidRPr="004120DC">
        <w:t>[1] Thiele, O. (2026). Funktionales Raum-Zeit-Kohärenzsystem (FRZK). Unveröffentlichtes Dissertationsmanuskript.</w:t>
      </w:r>
    </w:p>
    <w:p w14:paraId="535917F0" w14:textId="77777777" w:rsidR="004120DC" w:rsidRPr="004120DC" w:rsidRDefault="004120DC" w:rsidP="004120DC">
      <w:r w:rsidRPr="004120DC">
        <w:t xml:space="preserve">[2] Rosa, H. (2016). </w:t>
      </w:r>
      <w:r w:rsidRPr="004120DC">
        <w:rPr>
          <w:i/>
          <w:iCs/>
        </w:rPr>
        <w:t>Resonanz. Eine Soziologie der Weltbeziehung</w:t>
      </w:r>
      <w:r w:rsidRPr="004120DC">
        <w:t>. Suhrkamp.</w:t>
      </w:r>
    </w:p>
    <w:p w14:paraId="1BF82F2D" w14:textId="77777777" w:rsidR="004120DC" w:rsidRPr="004120DC" w:rsidRDefault="004120DC" w:rsidP="004120DC">
      <w:r w:rsidRPr="004120DC">
        <w:t xml:space="preserve">[3] Davis, B., &amp; </w:t>
      </w:r>
      <w:proofErr w:type="spellStart"/>
      <w:r w:rsidRPr="004120DC">
        <w:t>Sumara</w:t>
      </w:r>
      <w:proofErr w:type="spellEnd"/>
      <w:r w:rsidRPr="004120DC">
        <w:t xml:space="preserve">, D. (2006). </w:t>
      </w:r>
      <w:proofErr w:type="spellStart"/>
      <w:r w:rsidRPr="004120DC">
        <w:rPr>
          <w:i/>
          <w:iCs/>
        </w:rPr>
        <w:t>Complexity</w:t>
      </w:r>
      <w:proofErr w:type="spellEnd"/>
      <w:r w:rsidRPr="004120DC">
        <w:rPr>
          <w:i/>
          <w:iCs/>
        </w:rPr>
        <w:t xml:space="preserve"> and Education</w:t>
      </w:r>
      <w:r w:rsidRPr="004120DC">
        <w:t>. Lawrence Erlbaum.</w:t>
      </w:r>
    </w:p>
    <w:p w14:paraId="1B3694C9" w14:textId="77777777" w:rsidR="004120DC" w:rsidRPr="004120DC" w:rsidRDefault="004120DC" w:rsidP="004120DC">
      <w:r w:rsidRPr="004120DC">
        <w:t xml:space="preserve">[4] Holland, J. H. (2014). </w:t>
      </w:r>
      <w:proofErr w:type="spellStart"/>
      <w:r w:rsidRPr="004120DC">
        <w:rPr>
          <w:i/>
          <w:iCs/>
        </w:rPr>
        <w:t>Complexity</w:t>
      </w:r>
      <w:proofErr w:type="spellEnd"/>
      <w:r w:rsidRPr="004120DC">
        <w:rPr>
          <w:i/>
          <w:iCs/>
        </w:rPr>
        <w:t xml:space="preserve">: A Very Short </w:t>
      </w:r>
      <w:proofErr w:type="spellStart"/>
      <w:r w:rsidRPr="004120DC">
        <w:rPr>
          <w:i/>
          <w:iCs/>
        </w:rPr>
        <w:t>Introduction</w:t>
      </w:r>
      <w:proofErr w:type="spellEnd"/>
      <w:r w:rsidRPr="004120DC">
        <w:t>. Oxford University Press.</w:t>
      </w:r>
    </w:p>
    <w:p w14:paraId="17F6A8C8" w14:textId="77777777" w:rsidR="004120DC" w:rsidRPr="004120DC" w:rsidRDefault="004120DC" w:rsidP="004120DC">
      <w:r w:rsidRPr="004120DC">
        <w:t xml:space="preserve">[5] Mitchell, M. (2009). </w:t>
      </w:r>
      <w:proofErr w:type="spellStart"/>
      <w:r w:rsidRPr="004120DC">
        <w:rPr>
          <w:i/>
          <w:iCs/>
        </w:rPr>
        <w:t>Complexity</w:t>
      </w:r>
      <w:proofErr w:type="spellEnd"/>
      <w:r w:rsidRPr="004120DC">
        <w:rPr>
          <w:i/>
          <w:iCs/>
        </w:rPr>
        <w:t xml:space="preserve">: A </w:t>
      </w:r>
      <w:proofErr w:type="spellStart"/>
      <w:r w:rsidRPr="004120DC">
        <w:rPr>
          <w:i/>
          <w:iCs/>
        </w:rPr>
        <w:t>Guided</w:t>
      </w:r>
      <w:proofErr w:type="spellEnd"/>
      <w:r w:rsidRPr="004120DC">
        <w:rPr>
          <w:i/>
          <w:iCs/>
        </w:rPr>
        <w:t xml:space="preserve"> Tour</w:t>
      </w:r>
      <w:r w:rsidRPr="004120DC">
        <w:t>. Oxford University Press.</w:t>
      </w:r>
    </w:p>
    <w:p w14:paraId="6CB5B840" w14:textId="77777777" w:rsidR="004120DC" w:rsidRPr="004120DC" w:rsidRDefault="004120DC" w:rsidP="004120DC">
      <w:r w:rsidRPr="004120DC">
        <w:t xml:space="preserve">[6] </w:t>
      </w:r>
      <w:proofErr w:type="spellStart"/>
      <w:r w:rsidRPr="004120DC">
        <w:t>Vygotsky</w:t>
      </w:r>
      <w:proofErr w:type="spellEnd"/>
      <w:r w:rsidRPr="004120DC">
        <w:t xml:space="preserve">, L. S. (1978). </w:t>
      </w:r>
      <w:proofErr w:type="spellStart"/>
      <w:r w:rsidRPr="004120DC">
        <w:rPr>
          <w:i/>
          <w:iCs/>
        </w:rPr>
        <w:t>Mind</w:t>
      </w:r>
      <w:proofErr w:type="spellEnd"/>
      <w:r w:rsidRPr="004120DC">
        <w:rPr>
          <w:i/>
          <w:iCs/>
        </w:rPr>
        <w:t xml:space="preserve"> in Society</w:t>
      </w:r>
      <w:r w:rsidRPr="004120DC">
        <w:t>. Harvard University Press.</w:t>
      </w:r>
    </w:p>
    <w:p w14:paraId="126A66EA" w14:textId="77777777" w:rsidR="004120DC" w:rsidRPr="004120DC" w:rsidRDefault="004120DC" w:rsidP="004120DC">
      <w:r w:rsidRPr="004120DC">
        <w:t xml:space="preserve">[7] Wenger, E. (1998). </w:t>
      </w:r>
      <w:r w:rsidRPr="004120DC">
        <w:rPr>
          <w:i/>
          <w:iCs/>
        </w:rPr>
        <w:t xml:space="preserve">Communities </w:t>
      </w:r>
      <w:proofErr w:type="spellStart"/>
      <w:r w:rsidRPr="004120DC">
        <w:rPr>
          <w:i/>
          <w:iCs/>
        </w:rPr>
        <w:t>of</w:t>
      </w:r>
      <w:proofErr w:type="spellEnd"/>
      <w:r w:rsidRPr="004120DC">
        <w:rPr>
          <w:i/>
          <w:iCs/>
        </w:rPr>
        <w:t xml:space="preserve"> Practice</w:t>
      </w:r>
      <w:r w:rsidRPr="004120DC">
        <w:t>. Cambridge University Press.</w:t>
      </w:r>
    </w:p>
    <w:p w14:paraId="16FAD5A2" w14:textId="77777777" w:rsidR="004120DC" w:rsidRPr="004120DC" w:rsidRDefault="004120DC" w:rsidP="004120DC">
      <w:r w:rsidRPr="004120DC">
        <w:lastRenderedPageBreak/>
        <w:t xml:space="preserve">[8] Zimmerman, B. J. (2000). </w:t>
      </w:r>
      <w:proofErr w:type="spellStart"/>
      <w:r w:rsidRPr="004120DC">
        <w:t>Attaining</w:t>
      </w:r>
      <w:proofErr w:type="spellEnd"/>
      <w:r w:rsidRPr="004120DC">
        <w:t xml:space="preserve"> Self-Regulation. In: </w:t>
      </w:r>
      <w:r w:rsidRPr="004120DC">
        <w:rPr>
          <w:i/>
          <w:iCs/>
        </w:rPr>
        <w:t xml:space="preserve">Handbook </w:t>
      </w:r>
      <w:proofErr w:type="spellStart"/>
      <w:r w:rsidRPr="004120DC">
        <w:rPr>
          <w:i/>
          <w:iCs/>
        </w:rPr>
        <w:t>of</w:t>
      </w:r>
      <w:proofErr w:type="spellEnd"/>
      <w:r w:rsidRPr="004120DC">
        <w:rPr>
          <w:i/>
          <w:iCs/>
        </w:rPr>
        <w:t xml:space="preserve"> Self-Regulation</w:t>
      </w:r>
      <w:r w:rsidRPr="004120DC">
        <w:t>. Academic Press.</w:t>
      </w:r>
    </w:p>
    <w:p w14:paraId="2FE26B4A" w14:textId="77777777" w:rsidR="004120DC" w:rsidRPr="004120DC" w:rsidRDefault="004120DC" w:rsidP="004120DC">
      <w:r w:rsidRPr="004120DC">
        <w:t xml:space="preserve">[9] Bandura, A. (1991). </w:t>
      </w:r>
      <w:proofErr w:type="spellStart"/>
      <w:r w:rsidRPr="004120DC">
        <w:t>Social</w:t>
      </w:r>
      <w:proofErr w:type="spellEnd"/>
      <w:r w:rsidRPr="004120DC">
        <w:t xml:space="preserve"> </w:t>
      </w:r>
      <w:proofErr w:type="spellStart"/>
      <w:r w:rsidRPr="004120DC">
        <w:t>Cognitive</w:t>
      </w:r>
      <w:proofErr w:type="spellEnd"/>
      <w:r w:rsidRPr="004120DC">
        <w:t xml:space="preserve"> Theory </w:t>
      </w:r>
      <w:proofErr w:type="spellStart"/>
      <w:r w:rsidRPr="004120DC">
        <w:t>of</w:t>
      </w:r>
      <w:proofErr w:type="spellEnd"/>
      <w:r w:rsidRPr="004120DC">
        <w:t xml:space="preserve"> Self-Regulation. </w:t>
      </w:r>
      <w:r w:rsidRPr="004120DC">
        <w:rPr>
          <w:i/>
          <w:iCs/>
        </w:rPr>
        <w:t xml:space="preserve">Organizational </w:t>
      </w:r>
      <w:proofErr w:type="spellStart"/>
      <w:r w:rsidRPr="004120DC">
        <w:rPr>
          <w:i/>
          <w:iCs/>
        </w:rPr>
        <w:t>Behavior</w:t>
      </w:r>
      <w:proofErr w:type="spellEnd"/>
      <w:r w:rsidRPr="004120DC">
        <w:rPr>
          <w:i/>
          <w:iCs/>
        </w:rPr>
        <w:t xml:space="preserve"> and Human </w:t>
      </w:r>
      <w:proofErr w:type="spellStart"/>
      <w:r w:rsidRPr="004120DC">
        <w:rPr>
          <w:i/>
          <w:iCs/>
        </w:rPr>
        <w:t>Decision</w:t>
      </w:r>
      <w:proofErr w:type="spellEnd"/>
      <w:r w:rsidRPr="004120DC">
        <w:rPr>
          <w:i/>
          <w:iCs/>
        </w:rPr>
        <w:t xml:space="preserve"> </w:t>
      </w:r>
      <w:proofErr w:type="spellStart"/>
      <w:r w:rsidRPr="004120DC">
        <w:rPr>
          <w:i/>
          <w:iCs/>
        </w:rPr>
        <w:t>Processes</w:t>
      </w:r>
      <w:proofErr w:type="spellEnd"/>
      <w:r w:rsidRPr="004120DC">
        <w:t>, 50, 248–287.</w:t>
      </w:r>
    </w:p>
    <w:p w14:paraId="1C3ABBA5" w14:textId="77777777" w:rsidR="004120DC" w:rsidRPr="004120DC" w:rsidRDefault="004120DC" w:rsidP="004120DC">
      <w:r w:rsidRPr="004120DC">
        <w:t xml:space="preserve">[10] Bransford, J., Brown, A., &amp; </w:t>
      </w:r>
      <w:proofErr w:type="spellStart"/>
      <w:r w:rsidRPr="004120DC">
        <w:t>Cocking</w:t>
      </w:r>
      <w:proofErr w:type="spellEnd"/>
      <w:r w:rsidRPr="004120DC">
        <w:t xml:space="preserve">, R. (2000). </w:t>
      </w:r>
      <w:proofErr w:type="spellStart"/>
      <w:r w:rsidRPr="004120DC">
        <w:rPr>
          <w:i/>
          <w:iCs/>
        </w:rPr>
        <w:t>How</w:t>
      </w:r>
      <w:proofErr w:type="spellEnd"/>
      <w:r w:rsidRPr="004120DC">
        <w:rPr>
          <w:i/>
          <w:iCs/>
        </w:rPr>
        <w:t xml:space="preserve"> People </w:t>
      </w:r>
      <w:proofErr w:type="spellStart"/>
      <w:r w:rsidRPr="004120DC">
        <w:rPr>
          <w:i/>
          <w:iCs/>
        </w:rPr>
        <w:t>Learn</w:t>
      </w:r>
      <w:proofErr w:type="spellEnd"/>
      <w:r w:rsidRPr="004120DC">
        <w:t>. National Academy Press.</w:t>
      </w:r>
    </w:p>
    <w:p w14:paraId="143D608B" w14:textId="77777777" w:rsidR="004120DC" w:rsidRPr="004120DC" w:rsidRDefault="004120DC" w:rsidP="004120DC">
      <w:r w:rsidRPr="004120DC">
        <w:t xml:space="preserve">[11] Chi, M. T. H. (2009). </w:t>
      </w:r>
      <w:proofErr w:type="spellStart"/>
      <w:r w:rsidRPr="004120DC">
        <w:t>Active</w:t>
      </w:r>
      <w:proofErr w:type="spellEnd"/>
      <w:r w:rsidRPr="004120DC">
        <w:t>-</w:t>
      </w:r>
      <w:proofErr w:type="spellStart"/>
      <w:r w:rsidRPr="004120DC">
        <w:t>Constructive</w:t>
      </w:r>
      <w:proofErr w:type="spellEnd"/>
      <w:r w:rsidRPr="004120DC">
        <w:t xml:space="preserve">-Interactive Learning. </w:t>
      </w:r>
      <w:r w:rsidRPr="004120DC">
        <w:rPr>
          <w:i/>
          <w:iCs/>
        </w:rPr>
        <w:t xml:space="preserve">Topics in </w:t>
      </w:r>
      <w:proofErr w:type="spellStart"/>
      <w:r w:rsidRPr="004120DC">
        <w:rPr>
          <w:i/>
          <w:iCs/>
        </w:rPr>
        <w:t>Cognitive</w:t>
      </w:r>
      <w:proofErr w:type="spellEnd"/>
      <w:r w:rsidRPr="004120DC">
        <w:rPr>
          <w:i/>
          <w:iCs/>
        </w:rPr>
        <w:t xml:space="preserve"> Science</w:t>
      </w:r>
      <w:r w:rsidRPr="004120DC">
        <w:t>, 1(1), 73–105.</w:t>
      </w:r>
    </w:p>
    <w:p w14:paraId="41A7A25B"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83B01"/>
    <w:multiLevelType w:val="multilevel"/>
    <w:tmpl w:val="BFB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06A5B36"/>
    <w:multiLevelType w:val="multilevel"/>
    <w:tmpl w:val="E19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83EDB"/>
    <w:multiLevelType w:val="multilevel"/>
    <w:tmpl w:val="4DB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B6242"/>
    <w:multiLevelType w:val="multilevel"/>
    <w:tmpl w:val="7B2A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D1597"/>
    <w:multiLevelType w:val="multilevel"/>
    <w:tmpl w:val="F6E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E5BA6"/>
    <w:multiLevelType w:val="multilevel"/>
    <w:tmpl w:val="806A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506D8"/>
    <w:multiLevelType w:val="multilevel"/>
    <w:tmpl w:val="6E50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572C8"/>
    <w:multiLevelType w:val="multilevel"/>
    <w:tmpl w:val="7090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1"/>
  </w:num>
  <w:num w:numId="2" w16cid:durableId="250164984">
    <w:abstractNumId w:val="2"/>
  </w:num>
  <w:num w:numId="3" w16cid:durableId="66727205">
    <w:abstractNumId w:val="6"/>
  </w:num>
  <w:num w:numId="4" w16cid:durableId="998769572">
    <w:abstractNumId w:val="11"/>
  </w:num>
  <w:num w:numId="5" w16cid:durableId="15216999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4407101">
    <w:abstractNumId w:val="9"/>
  </w:num>
  <w:num w:numId="7" w16cid:durableId="1238249311">
    <w:abstractNumId w:val="7"/>
  </w:num>
  <w:num w:numId="8" w16cid:durableId="1021928861">
    <w:abstractNumId w:val="3"/>
  </w:num>
  <w:num w:numId="9" w16cid:durableId="38555423">
    <w:abstractNumId w:val="0"/>
  </w:num>
  <w:num w:numId="10" w16cid:durableId="2014601483">
    <w:abstractNumId w:val="4"/>
  </w:num>
  <w:num w:numId="11" w16cid:durableId="700714827">
    <w:abstractNumId w:val="5"/>
  </w:num>
  <w:num w:numId="12" w16cid:durableId="1287201215">
    <w:abstractNumId w:val="10"/>
  </w:num>
  <w:num w:numId="13" w16cid:durableId="471681626">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DC"/>
    <w:rsid w:val="00003048"/>
    <w:rsid w:val="000467F2"/>
    <w:rsid w:val="00082214"/>
    <w:rsid w:val="000B0C44"/>
    <w:rsid w:val="00103784"/>
    <w:rsid w:val="00106528"/>
    <w:rsid w:val="001830F2"/>
    <w:rsid w:val="0019229D"/>
    <w:rsid w:val="002B03D4"/>
    <w:rsid w:val="002D20FA"/>
    <w:rsid w:val="002D4202"/>
    <w:rsid w:val="00324306"/>
    <w:rsid w:val="004120DC"/>
    <w:rsid w:val="00433ECB"/>
    <w:rsid w:val="00436FC4"/>
    <w:rsid w:val="0044266C"/>
    <w:rsid w:val="00446557"/>
    <w:rsid w:val="00500020"/>
    <w:rsid w:val="005454E6"/>
    <w:rsid w:val="00560B17"/>
    <w:rsid w:val="005B5EFD"/>
    <w:rsid w:val="005E4CED"/>
    <w:rsid w:val="006016DC"/>
    <w:rsid w:val="006B3395"/>
    <w:rsid w:val="00706409"/>
    <w:rsid w:val="007115B7"/>
    <w:rsid w:val="00795695"/>
    <w:rsid w:val="007A3369"/>
    <w:rsid w:val="007B7DE7"/>
    <w:rsid w:val="007E333F"/>
    <w:rsid w:val="00852D2E"/>
    <w:rsid w:val="008871CF"/>
    <w:rsid w:val="008B0C43"/>
    <w:rsid w:val="008C4935"/>
    <w:rsid w:val="009032D7"/>
    <w:rsid w:val="00997246"/>
    <w:rsid w:val="009D04D3"/>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3236D"/>
  <w15:chartTrackingRefBased/>
  <w15:docId w15:val="{3014F797-992D-4F78-A079-05B32A8BB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18588477">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1755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6</Pages>
  <Words>1330</Words>
  <Characters>8380</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2026-06-01T13:14:00Z</dcterms:created>
  <dcterms:modified xsi:type="dcterms:W3CDTF">2026-06-01T13:17:00Z</dcterms:modified>
</cp:coreProperties>
</file>