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6370E" w14:textId="77777777" w:rsidR="00153B05" w:rsidRPr="00153B05" w:rsidRDefault="00153B05" w:rsidP="00153B05">
      <w:pPr>
        <w:rPr>
          <w:b/>
        </w:rPr>
      </w:pPr>
      <w:r w:rsidRPr="00153B05">
        <w:rPr>
          <w:b/>
        </w:rPr>
        <w:t>Anlage 6.x.4</w:t>
      </w:r>
    </w:p>
    <w:p w14:paraId="300AE5FC" w14:textId="77777777" w:rsidR="00153B05" w:rsidRPr="00153B05" w:rsidRDefault="00153B05" w:rsidP="00153B05">
      <w:pPr>
        <w:rPr>
          <w:b/>
        </w:rPr>
      </w:pPr>
      <w:r w:rsidRPr="00153B05">
        <w:rPr>
          <w:b/>
        </w:rPr>
        <w:t>Methodisch-didaktische Analyse der globalen semantischen Resonanzkopplung zwischen Lehrkraftsicht und Teilnehmersicht im FRZK</w:t>
      </w:r>
    </w:p>
    <w:p w14:paraId="2D25BC7B" w14:textId="77777777" w:rsidR="00153B05" w:rsidRPr="00153B05" w:rsidRDefault="00153B05" w:rsidP="00153B05">
      <w:pPr>
        <w:rPr>
          <w:b/>
        </w:rPr>
      </w:pPr>
      <w:r w:rsidRPr="00153B05">
        <w:rPr>
          <w:b/>
        </w:rPr>
        <w:t>6.x.4.A Zielsetzung der Analyse</w:t>
      </w:r>
    </w:p>
    <w:p w14:paraId="1BBC7C8C" w14:textId="77777777" w:rsidR="00153B05" w:rsidRPr="00153B05" w:rsidRDefault="00153B05" w:rsidP="00153B05">
      <w:r w:rsidRPr="00153B05">
        <w:t>Die Analyse der globalen semantischen Resonanzkopplung verfolgt das Ziel, die zentrale Grundannahme des Funktionalen Raum-Zeit-Kohärenzsystems (FRZK) empirisch zu überprüfen. Diese Annahme besagt, dass Lehrkraft- und Teilnehmerzustände nicht als voneinander unabhängige Systeme verstanden werden können, sondern als rekursiv gekoppelte semantische Zustandsräume innerhalb eines gemeinsamen pädagogischen Resonanzfeldes entstehen. Während klassische Unterrichtsforschung häufig einzelne Merkmale wie Motivation, Leistung oder Unterrichtsqualität isoliert untersucht, betrachtet das FRZK den Unterricht als dynamisches Gesamtsystem aus kognitiven, motivationalen, affektiven, methodischen, performativen, sozialen und regulatorischen Zustandsdimensionen [1][2].</w:t>
      </w:r>
    </w:p>
    <w:p w14:paraId="2902D3BD" w14:textId="77777777" w:rsidR="00153B05" w:rsidRPr="00153B05" w:rsidRDefault="00153B05" w:rsidP="00153B05">
      <w:r w:rsidRPr="00153B05">
        <w:t>Die vorliegende Analyse untersucht daher nicht die Übereinstimmung einzelner Merkmale, sondern die strukturelle Ähnlichkeit vollständiger semantischer Zustandsvektoren zwischen Lehrkraft- und Teilnehmerperspektive. Die zentrale Forschungsfrage lautet:</w:t>
      </w:r>
    </w:p>
    <w:p w14:paraId="6C81BB12" w14:textId="77777777" w:rsidR="00153B05" w:rsidRPr="00153B05" w:rsidRDefault="00153B05" w:rsidP="00153B05">
      <w:r w:rsidRPr="00153B05">
        <w:t>Entstehen Teilnehmerzustände unabhängig von der Lehrkraft oder lassen sich beide Perspektiven als gekoppelte semantische Resonanzräume beschreiben?</w:t>
      </w:r>
    </w:p>
    <w:p w14:paraId="47F29155" w14:textId="77777777" w:rsidR="00153B05" w:rsidRPr="00153B05" w:rsidRDefault="00153B05" w:rsidP="00153B05">
      <w:r w:rsidRPr="00153B05">
        <w:pict w14:anchorId="5DD530C7">
          <v:rect id="_x0000_i1079" style="width:0;height:1.5pt" o:hralign="center" o:hrstd="t" o:hr="t" fillcolor="#a0a0a0" stroked="f"/>
        </w:pict>
      </w:r>
    </w:p>
    <w:p w14:paraId="3FBE4405" w14:textId="77777777" w:rsidR="00153B05" w:rsidRPr="00153B05" w:rsidRDefault="00153B05" w:rsidP="00153B05">
      <w:pPr>
        <w:rPr>
          <w:b/>
        </w:rPr>
      </w:pPr>
      <w:r w:rsidRPr="00153B05">
        <w:rPr>
          <w:b/>
        </w:rPr>
        <w:t>6.x.4.B Datenbasis</w:t>
      </w:r>
    </w:p>
    <w:p w14:paraId="01443B01" w14:textId="77777777" w:rsidR="00153B05" w:rsidRPr="00153B05" w:rsidRDefault="00153B05" w:rsidP="00153B05">
      <w:r w:rsidRPr="00153B05">
        <w:t xml:space="preserve">Grundlage der Untersuchung bildet die View </w:t>
      </w:r>
      <w:proofErr w:type="spellStart"/>
      <w:r w:rsidRPr="00153B05">
        <w:t>match_tn_daten_analyze_lehrkraft</w:t>
      </w:r>
      <w:proofErr w:type="spellEnd"/>
      <w:r w:rsidRPr="00153B05">
        <w:t xml:space="preserve">, welche Teilnehmerfeedback, aggregierte Lehrkraftdaten und die semantischen Gesamtvektoren aus </w:t>
      </w:r>
      <w:proofErr w:type="spellStart"/>
      <w:r w:rsidRPr="00153B05">
        <w:t>frzk_semantische_dichte_lehrer_gesamt</w:t>
      </w:r>
      <w:proofErr w:type="spellEnd"/>
      <w:r w:rsidRPr="00153B05">
        <w:t xml:space="preserve"> zusammenführt.</w:t>
      </w:r>
    </w:p>
    <w:p w14:paraId="319837E8" w14:textId="77777777" w:rsidR="00153B05" w:rsidRPr="00153B05" w:rsidRDefault="00153B05" w:rsidP="00153B05">
      <w:r w:rsidRPr="00153B05">
        <w:t>Insgesamt konnten 282 valide Lehrkraft-Teilnehmer-Matches identifiziert werden.</w:t>
      </w:r>
    </w:p>
    <w:p w14:paraId="37A58F02" w14:textId="77777777" w:rsidR="00153B05" w:rsidRPr="00153B05" w:rsidRDefault="00153B05" w:rsidP="00153B05">
      <w:r w:rsidRPr="00153B05">
        <w:t>Die Analyse basiert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6"/>
        <w:gridCol w:w="3153"/>
      </w:tblGrid>
      <w:tr w:rsidR="00153B05" w:rsidRPr="00153B05" w14:paraId="569213FC" w14:textId="77777777" w:rsidTr="00153B05">
        <w:trPr>
          <w:tblHeader/>
          <w:tblCellSpacing w:w="15" w:type="dxa"/>
        </w:trPr>
        <w:tc>
          <w:tcPr>
            <w:tcW w:w="0" w:type="auto"/>
            <w:vAlign w:val="center"/>
            <w:hideMark/>
          </w:tcPr>
          <w:p w14:paraId="656C08E4" w14:textId="77777777" w:rsidR="00153B05" w:rsidRPr="00153B05" w:rsidRDefault="00153B05" w:rsidP="00153B05">
            <w:pPr>
              <w:rPr>
                <w:b/>
              </w:rPr>
            </w:pPr>
            <w:r w:rsidRPr="00153B05">
              <w:rPr>
                <w:b/>
              </w:rPr>
              <w:t>Datenquelle</w:t>
            </w:r>
          </w:p>
        </w:tc>
        <w:tc>
          <w:tcPr>
            <w:tcW w:w="0" w:type="auto"/>
            <w:vAlign w:val="center"/>
            <w:hideMark/>
          </w:tcPr>
          <w:p w14:paraId="7C9E0E28" w14:textId="77777777" w:rsidR="00153B05" w:rsidRPr="00153B05" w:rsidRDefault="00153B05" w:rsidP="00153B05">
            <w:pPr>
              <w:rPr>
                <w:b/>
              </w:rPr>
            </w:pPr>
            <w:r w:rsidRPr="00153B05">
              <w:rPr>
                <w:b/>
              </w:rPr>
              <w:t>Inhalt</w:t>
            </w:r>
          </w:p>
        </w:tc>
      </w:tr>
      <w:tr w:rsidR="00153B05" w:rsidRPr="00153B05" w14:paraId="5B79CB22" w14:textId="77777777" w:rsidTr="00153B05">
        <w:trPr>
          <w:tblCellSpacing w:w="15" w:type="dxa"/>
        </w:trPr>
        <w:tc>
          <w:tcPr>
            <w:tcW w:w="0" w:type="auto"/>
            <w:vAlign w:val="center"/>
            <w:hideMark/>
          </w:tcPr>
          <w:p w14:paraId="3D158356" w14:textId="77777777" w:rsidR="00153B05" w:rsidRPr="00153B05" w:rsidRDefault="00153B05" w:rsidP="00153B05">
            <w:proofErr w:type="spellStart"/>
            <w:r w:rsidRPr="00153B05">
              <w:t>frzk_semantische_dichte_lehrer_gesamt</w:t>
            </w:r>
            <w:proofErr w:type="spellEnd"/>
          </w:p>
        </w:tc>
        <w:tc>
          <w:tcPr>
            <w:tcW w:w="0" w:type="auto"/>
            <w:vAlign w:val="center"/>
            <w:hideMark/>
          </w:tcPr>
          <w:p w14:paraId="7D5C5D72" w14:textId="77777777" w:rsidR="00153B05" w:rsidRPr="00153B05" w:rsidRDefault="00153B05" w:rsidP="00153B05">
            <w:r w:rsidRPr="00153B05">
              <w:t>7D-Lehrkraftvektoren</w:t>
            </w:r>
          </w:p>
        </w:tc>
      </w:tr>
      <w:tr w:rsidR="00153B05" w:rsidRPr="00153B05" w14:paraId="4E78F9DB" w14:textId="77777777" w:rsidTr="00153B05">
        <w:trPr>
          <w:tblCellSpacing w:w="15" w:type="dxa"/>
        </w:trPr>
        <w:tc>
          <w:tcPr>
            <w:tcW w:w="0" w:type="auto"/>
            <w:vAlign w:val="center"/>
            <w:hideMark/>
          </w:tcPr>
          <w:p w14:paraId="6A72C6C5" w14:textId="77777777" w:rsidR="00153B05" w:rsidRPr="00153B05" w:rsidRDefault="00153B05" w:rsidP="00153B05">
            <w:proofErr w:type="spellStart"/>
            <w:r w:rsidRPr="00153B05">
              <w:t>analyze_lehrkraftdaten</w:t>
            </w:r>
            <w:proofErr w:type="spellEnd"/>
          </w:p>
        </w:tc>
        <w:tc>
          <w:tcPr>
            <w:tcW w:w="0" w:type="auto"/>
            <w:vAlign w:val="center"/>
            <w:hideMark/>
          </w:tcPr>
          <w:p w14:paraId="5040513A" w14:textId="77777777" w:rsidR="00153B05" w:rsidRPr="00153B05" w:rsidRDefault="00153B05" w:rsidP="00153B05">
            <w:r w:rsidRPr="00153B05">
              <w:t>aggregierte Zustandsparameter</w:t>
            </w:r>
          </w:p>
        </w:tc>
      </w:tr>
      <w:tr w:rsidR="00153B05" w:rsidRPr="00153B05" w14:paraId="7703406B" w14:textId="77777777" w:rsidTr="00153B05">
        <w:trPr>
          <w:tblCellSpacing w:w="15" w:type="dxa"/>
        </w:trPr>
        <w:tc>
          <w:tcPr>
            <w:tcW w:w="0" w:type="auto"/>
            <w:vAlign w:val="center"/>
            <w:hideMark/>
          </w:tcPr>
          <w:p w14:paraId="121633F5" w14:textId="77777777" w:rsidR="00153B05" w:rsidRPr="00153B05" w:rsidRDefault="00153B05" w:rsidP="00153B05">
            <w:proofErr w:type="spellStart"/>
            <w:r w:rsidRPr="00153B05">
              <w:t>match_tn_daten_analyze_lehrkraft</w:t>
            </w:r>
            <w:proofErr w:type="spellEnd"/>
          </w:p>
        </w:tc>
        <w:tc>
          <w:tcPr>
            <w:tcW w:w="0" w:type="auto"/>
            <w:vAlign w:val="center"/>
            <w:hideMark/>
          </w:tcPr>
          <w:p w14:paraId="78D3F8F8" w14:textId="77777777" w:rsidR="00153B05" w:rsidRPr="00153B05" w:rsidRDefault="00153B05" w:rsidP="00153B05">
            <w:proofErr w:type="spellStart"/>
            <w:r w:rsidRPr="00153B05">
              <w:t>Matchingstruktur</w:t>
            </w:r>
            <w:proofErr w:type="spellEnd"/>
          </w:p>
        </w:tc>
      </w:tr>
      <w:tr w:rsidR="00153B05" w:rsidRPr="00153B05" w14:paraId="73C8C5AA" w14:textId="77777777" w:rsidTr="00153B05">
        <w:trPr>
          <w:tblCellSpacing w:w="15" w:type="dxa"/>
        </w:trPr>
        <w:tc>
          <w:tcPr>
            <w:tcW w:w="0" w:type="auto"/>
            <w:vAlign w:val="center"/>
            <w:hideMark/>
          </w:tcPr>
          <w:p w14:paraId="52CB52AA" w14:textId="77777777" w:rsidR="00153B05" w:rsidRPr="00153B05" w:rsidRDefault="00153B05" w:rsidP="00153B05">
            <w:proofErr w:type="spellStart"/>
            <w:r w:rsidRPr="00153B05">
              <w:t>mtr_rueckkopplung_teilnehmer</w:t>
            </w:r>
            <w:proofErr w:type="spellEnd"/>
          </w:p>
        </w:tc>
        <w:tc>
          <w:tcPr>
            <w:tcW w:w="0" w:type="auto"/>
            <w:vAlign w:val="center"/>
            <w:hideMark/>
          </w:tcPr>
          <w:p w14:paraId="5D2F1F18" w14:textId="77777777" w:rsidR="00153B05" w:rsidRPr="00153B05" w:rsidRDefault="00153B05" w:rsidP="00153B05">
            <w:r w:rsidRPr="00153B05">
              <w:t>Teilnehmerfeedback</w:t>
            </w:r>
          </w:p>
        </w:tc>
      </w:tr>
    </w:tbl>
    <w:p w14:paraId="785404D0" w14:textId="77777777" w:rsidR="00153B05" w:rsidRPr="00153B05" w:rsidRDefault="00153B05" w:rsidP="00153B05">
      <w:r w:rsidRPr="00153B05">
        <w:t>Die semantischen Zustände werden im FRZK durch sieben Dimensionen beschrieben:</w:t>
      </w:r>
    </w:p>
    <w:p w14:paraId="4A499BB8" w14:textId="77777777" w:rsidR="00153B05" w:rsidRPr="00153B05" w:rsidRDefault="00153B05" w:rsidP="00153B05">
      <w:pPr>
        <w:numPr>
          <w:ilvl w:val="0"/>
          <w:numId w:val="6"/>
        </w:numPr>
      </w:pPr>
      <w:r w:rsidRPr="00153B05">
        <w:t xml:space="preserve">Kognition </w:t>
      </w:r>
    </w:p>
    <w:p w14:paraId="04E7BAF0" w14:textId="77777777" w:rsidR="00153B05" w:rsidRPr="00153B05" w:rsidRDefault="00153B05" w:rsidP="00153B05">
      <w:pPr>
        <w:numPr>
          <w:ilvl w:val="0"/>
          <w:numId w:val="6"/>
        </w:numPr>
      </w:pPr>
      <w:r w:rsidRPr="00153B05">
        <w:t xml:space="preserve">Sozial </w:t>
      </w:r>
    </w:p>
    <w:p w14:paraId="48FB3B8A" w14:textId="77777777" w:rsidR="00153B05" w:rsidRPr="00153B05" w:rsidRDefault="00153B05" w:rsidP="00153B05">
      <w:pPr>
        <w:numPr>
          <w:ilvl w:val="0"/>
          <w:numId w:val="6"/>
        </w:numPr>
      </w:pPr>
      <w:r w:rsidRPr="00153B05">
        <w:t xml:space="preserve">Affektiv </w:t>
      </w:r>
    </w:p>
    <w:p w14:paraId="6927F95E" w14:textId="77777777" w:rsidR="00153B05" w:rsidRPr="00153B05" w:rsidRDefault="00153B05" w:rsidP="00153B05">
      <w:pPr>
        <w:numPr>
          <w:ilvl w:val="0"/>
          <w:numId w:val="6"/>
        </w:numPr>
      </w:pPr>
      <w:r w:rsidRPr="00153B05">
        <w:t xml:space="preserve">Motivation </w:t>
      </w:r>
    </w:p>
    <w:p w14:paraId="3D967BFE" w14:textId="77777777" w:rsidR="00153B05" w:rsidRPr="00153B05" w:rsidRDefault="00153B05" w:rsidP="00153B05">
      <w:pPr>
        <w:numPr>
          <w:ilvl w:val="0"/>
          <w:numId w:val="6"/>
        </w:numPr>
      </w:pPr>
      <w:r w:rsidRPr="00153B05">
        <w:t xml:space="preserve">Methodik </w:t>
      </w:r>
    </w:p>
    <w:p w14:paraId="511F87E1" w14:textId="77777777" w:rsidR="00153B05" w:rsidRPr="00153B05" w:rsidRDefault="00153B05" w:rsidP="00153B05">
      <w:pPr>
        <w:numPr>
          <w:ilvl w:val="0"/>
          <w:numId w:val="6"/>
        </w:numPr>
      </w:pPr>
      <w:r w:rsidRPr="00153B05">
        <w:t xml:space="preserve">Performanz </w:t>
      </w:r>
    </w:p>
    <w:p w14:paraId="41AC9CF4" w14:textId="77777777" w:rsidR="00153B05" w:rsidRPr="00153B05" w:rsidRDefault="00153B05" w:rsidP="00153B05">
      <w:pPr>
        <w:numPr>
          <w:ilvl w:val="0"/>
          <w:numId w:val="6"/>
        </w:numPr>
      </w:pPr>
      <w:r w:rsidRPr="00153B05">
        <w:lastRenderedPageBreak/>
        <w:t xml:space="preserve">Regulation </w:t>
      </w:r>
    </w:p>
    <w:p w14:paraId="160E0ACB" w14:textId="77777777" w:rsidR="00153B05" w:rsidRPr="00153B05" w:rsidRDefault="00153B05" w:rsidP="00153B05">
      <w:r w:rsidRPr="00153B05">
        <w:pict w14:anchorId="56BD3D06">
          <v:rect id="_x0000_i1080" style="width:0;height:1.5pt" o:hralign="center" o:hrstd="t" o:hr="t" fillcolor="#a0a0a0" stroked="f"/>
        </w:pict>
      </w:r>
    </w:p>
    <w:p w14:paraId="33C0D288" w14:textId="77777777" w:rsidR="00153B05" w:rsidRPr="00153B05" w:rsidRDefault="00153B05" w:rsidP="00153B05">
      <w:pPr>
        <w:rPr>
          <w:b/>
        </w:rPr>
      </w:pPr>
      <w:r w:rsidRPr="00153B05">
        <w:rPr>
          <w:b/>
        </w:rPr>
        <w:t>6.x.4.C Methodik</w:t>
      </w:r>
    </w:p>
    <w:p w14:paraId="07597B82" w14:textId="77777777" w:rsidR="00153B05" w:rsidRPr="00153B05" w:rsidRDefault="00153B05" w:rsidP="00153B05">
      <w:pPr>
        <w:rPr>
          <w:b/>
        </w:rPr>
      </w:pPr>
      <w:r w:rsidRPr="00153B05">
        <w:rPr>
          <w:b/>
        </w:rPr>
        <w:t>6.x.4.C.1 Resonanzmaß</w:t>
      </w:r>
    </w:p>
    <w:p w14:paraId="0EE3E460" w14:textId="77777777" w:rsidR="00153B05" w:rsidRPr="00153B05" w:rsidRDefault="00153B05" w:rsidP="00153B05">
      <w:r w:rsidRPr="00153B05">
        <w:t xml:space="preserve">Zur Bestimmung der globalen Resonanz wurde die </w:t>
      </w:r>
      <w:proofErr w:type="spellStart"/>
      <w:r w:rsidRPr="00153B05">
        <w:t>Kosinusähnlichkeit</w:t>
      </w:r>
      <w:proofErr w:type="spellEnd"/>
      <w:r w:rsidRPr="00153B05">
        <w:t xml:space="preserve"> zwischen den semantischen Zustandsvektoren berechnet.</w:t>
      </w:r>
    </w:p>
    <w:p w14:paraId="57BCE88D" w14:textId="77777777" w:rsidR="00153B05" w:rsidRPr="00153B05" w:rsidRDefault="00153B05" w:rsidP="00153B05">
      <w:r w:rsidRPr="00153B05">
        <w:t>Dabei gilt:</w:t>
      </w:r>
    </w:p>
    <w:p w14:paraId="0532537A" w14:textId="0E1EBDC5" w:rsidR="00153B05" w:rsidRPr="00153B05" w:rsidRDefault="00B25075" w:rsidP="00153B05">
      <m:oMathPara>
        <m:oMath>
          <m:r>
            <m:rPr>
              <m:sty m:val="b"/>
            </m:rPr>
            <w:rPr>
              <w:rFonts w:ascii="Cambria Math" w:hAnsi="Cambria Math"/>
            </w:rPr>
            <m:t>co</m:t>
          </m:r>
          <m:func>
            <m:funcPr>
              <m:ctrlPr>
                <w:rPr>
                  <w:rFonts w:ascii="Cambria Math" w:hAnsi="Cambria Math"/>
                  <w:b/>
                </w:rPr>
              </m:ctrlPr>
            </m:funcPr>
            <m:fName>
              <m:r>
                <m:rPr>
                  <m:sty m:val="b"/>
                </m:rPr>
                <w:rPr>
                  <w:rFonts w:ascii="Cambria Math" w:hAnsi="Cambria Math"/>
                </w:rPr>
                <m:t>s</m:t>
              </m:r>
            </m:fName>
            <m:e>
              <m:d>
                <m:dPr>
                  <m:ctrlPr>
                    <w:rPr>
                      <w:rFonts w:ascii="Cambria Math" w:hAnsi="Cambria Math"/>
                      <w:b/>
                      <w:i/>
                    </w:rPr>
                  </m:ctrlPr>
                </m:dPr>
                <m:e>
                  <m:r>
                    <m:rPr>
                      <m:sty m:val="b"/>
                    </m:rPr>
                    <w:rPr>
                      <w:rFonts w:ascii="Cambria Math" w:hAnsi="Cambria Math"/>
                    </w:rPr>
                    <m:t>θ</m:t>
                  </m:r>
                </m:e>
              </m:d>
            </m:e>
          </m:func>
          <m:r>
            <m:rPr>
              <m:sty m:val="bi"/>
            </m:rPr>
            <w:rPr>
              <w:rFonts w:ascii="Cambria Math" w:hAnsi="Cambria Math"/>
            </w:rPr>
            <m:t>=</m:t>
          </m:r>
          <m:f>
            <m:fPr>
              <m:ctrlPr>
                <w:rPr>
                  <w:rFonts w:ascii="Cambria Math" w:hAnsi="Cambria Math"/>
                  <w:b/>
                </w:rPr>
              </m:ctrlPr>
            </m:fPr>
            <m:num>
              <m:r>
                <m:rPr>
                  <m:sty m:val="bi"/>
                </m:rPr>
                <w:rPr>
                  <w:rFonts w:ascii="Cambria Math" w:hAnsi="Cambria Math"/>
                </w:rPr>
                <m:t>L</m:t>
              </m:r>
              <m:r>
                <m:rPr>
                  <m:sty m:val="b"/>
                </m:rPr>
                <w:rPr>
                  <w:rFonts w:ascii="Cambria Math" w:hAnsi="Cambria Math"/>
                </w:rPr>
                <m:t>⋅</m:t>
              </m:r>
              <m:r>
                <m:rPr>
                  <m:sty m:val="bi"/>
                </m:rPr>
                <w:rPr>
                  <w:rFonts w:ascii="Cambria Math" w:hAnsi="Cambria Math"/>
                </w:rPr>
                <m:t>T</m:t>
              </m:r>
            </m:num>
            <m:den>
              <m:r>
                <m:rPr>
                  <m:lit/>
                  <m:sty m:val="bi"/>
                </m:rPr>
                <w:rPr>
                  <w:rFonts w:ascii="Cambria Math" w:hAnsi="Cambria Math"/>
                </w:rPr>
                <m:t>|</m:t>
              </m:r>
              <m:r>
                <m:rPr>
                  <m:sty m:val="bi"/>
                </m:rPr>
                <w:rPr>
                  <w:rFonts w:ascii="Cambria Math" w:hAnsi="Cambria Math"/>
                </w:rPr>
                <m:t>L</m:t>
              </m:r>
              <m:r>
                <m:rPr>
                  <m:lit/>
                  <m:sty m:val="bi"/>
                </m:rPr>
                <w:rPr>
                  <w:rFonts w:ascii="Cambria Math" w:hAnsi="Cambria Math"/>
                </w:rPr>
                <m:t>|</m:t>
              </m:r>
              <m:r>
                <m:rPr>
                  <m:sty m:val="b"/>
                </m:rPr>
                <w:rPr>
                  <w:rFonts w:ascii="Cambria Math" w:hAnsi="Cambria Math"/>
                </w:rPr>
                <m:t>⋅</m:t>
              </m:r>
              <m:r>
                <m:rPr>
                  <m:lit/>
                  <m:sty m:val="bi"/>
                </m:rPr>
                <w:rPr>
                  <w:rFonts w:ascii="Cambria Math" w:hAnsi="Cambria Math"/>
                </w:rPr>
                <m:t>|</m:t>
              </m:r>
              <m:r>
                <m:rPr>
                  <m:sty m:val="bi"/>
                </m:rPr>
                <w:rPr>
                  <w:rFonts w:ascii="Cambria Math" w:hAnsi="Cambria Math"/>
                </w:rPr>
                <m:t>T</m:t>
              </m:r>
              <m:r>
                <m:rPr>
                  <m:lit/>
                  <m:sty m:val="bi"/>
                </m:rPr>
                <w:rPr>
                  <w:rFonts w:ascii="Cambria Math" w:hAnsi="Cambria Math"/>
                </w:rPr>
                <m:t>|</m:t>
              </m:r>
              <m:r>
                <w:rPr>
                  <w:rFonts w:ascii="Cambria Math" w:hAnsi="Cambria Math"/>
                </w:rPr>
                <m:t>​</m:t>
              </m:r>
              <m:ctrlPr>
                <w:rPr>
                  <w:rFonts w:ascii="Cambria Math" w:hAnsi="Cambria Math"/>
                  <w:b/>
                  <w:i/>
                </w:rPr>
              </m:ctrlPr>
            </m:den>
          </m:f>
        </m:oMath>
      </m:oMathPara>
    </w:p>
    <w:p w14:paraId="76B91229" w14:textId="77777777" w:rsidR="00153B05" w:rsidRPr="00153B05" w:rsidRDefault="00153B05" w:rsidP="00153B05">
      <w:r w:rsidRPr="00153B05">
        <w:t>mit</w:t>
      </w:r>
    </w:p>
    <w:p w14:paraId="34FA9A7E" w14:textId="425FA3F8" w:rsidR="00153B05" w:rsidRPr="00153B05" w:rsidRDefault="00B25075" w:rsidP="00153B05">
      <m:oMathPara>
        <m:oMath>
          <m:r>
            <w:rPr>
              <w:rFonts w:ascii="Cambria Math" w:hAnsi="Cambria Math"/>
            </w:rPr>
            <m:t>L=Lehrkraftvektor</m:t>
          </m:r>
        </m:oMath>
      </m:oMathPara>
    </w:p>
    <w:p w14:paraId="0073F554" w14:textId="7322669A" w:rsidR="00B25075" w:rsidRDefault="00B25075" w:rsidP="00153B05">
      <w:r w:rsidRPr="00153B05">
        <w:t>U</w:t>
      </w:r>
      <w:r w:rsidR="00153B05" w:rsidRPr="00153B05">
        <w:t>nd</w:t>
      </w:r>
    </w:p>
    <w:p w14:paraId="2CF0BC92" w14:textId="1356B53F" w:rsidR="00153B05" w:rsidRPr="00153B05" w:rsidRDefault="00B25075" w:rsidP="00153B05">
      <m:oMathPara>
        <m:oMath>
          <m:r>
            <w:rPr>
              <w:rFonts w:ascii="Cambria Math" w:hAnsi="Cambria Math"/>
            </w:rPr>
            <m:t>T=Teilnehmervektor</m:t>
          </m:r>
        </m:oMath>
      </m:oMathPara>
    </w:p>
    <w:p w14:paraId="2A7F0754" w14:textId="77777777" w:rsidR="00153B05" w:rsidRPr="00153B05" w:rsidRDefault="00153B05" w:rsidP="00153B05">
      <w:r w:rsidRPr="00153B05">
        <w:t xml:space="preserve">Die </w:t>
      </w:r>
      <w:proofErr w:type="spellStart"/>
      <w:r w:rsidRPr="00153B05">
        <w:t>Kosinusähnlichkeit</w:t>
      </w:r>
      <w:proofErr w:type="spellEnd"/>
      <w:r w:rsidRPr="00153B05">
        <w:t xml:space="preserve"> misst nicht die Größe der Zustände, sondern ihre Richtungsübereinstimmung im semantischen Raum [3].</w:t>
      </w:r>
    </w:p>
    <w:p w14:paraId="6648F6A2" w14:textId="77777777" w:rsidR="00153B05" w:rsidRPr="00153B05" w:rsidRDefault="00153B05" w:rsidP="00153B05">
      <w:r w:rsidRPr="00153B05">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236"/>
      </w:tblGrid>
      <w:tr w:rsidR="00153B05" w:rsidRPr="00153B05" w14:paraId="7A327F9A" w14:textId="77777777" w:rsidTr="00153B05">
        <w:trPr>
          <w:tblHeader/>
          <w:tblCellSpacing w:w="15" w:type="dxa"/>
        </w:trPr>
        <w:tc>
          <w:tcPr>
            <w:tcW w:w="0" w:type="auto"/>
            <w:vAlign w:val="center"/>
            <w:hideMark/>
          </w:tcPr>
          <w:p w14:paraId="182A8BE1" w14:textId="77777777" w:rsidR="00153B05" w:rsidRPr="00153B05" w:rsidRDefault="00153B05" w:rsidP="00153B05">
            <w:pPr>
              <w:rPr>
                <w:b/>
              </w:rPr>
            </w:pPr>
            <w:r w:rsidRPr="00153B05">
              <w:rPr>
                <w:b/>
              </w:rPr>
              <w:t>Wert</w:t>
            </w:r>
          </w:p>
        </w:tc>
        <w:tc>
          <w:tcPr>
            <w:tcW w:w="0" w:type="auto"/>
            <w:vAlign w:val="center"/>
            <w:hideMark/>
          </w:tcPr>
          <w:p w14:paraId="33450736" w14:textId="77777777" w:rsidR="00153B05" w:rsidRPr="00153B05" w:rsidRDefault="00153B05" w:rsidP="00153B05">
            <w:pPr>
              <w:rPr>
                <w:b/>
              </w:rPr>
            </w:pPr>
            <w:r w:rsidRPr="00153B05">
              <w:rPr>
                <w:b/>
              </w:rPr>
              <w:t>Interpretation</w:t>
            </w:r>
          </w:p>
        </w:tc>
      </w:tr>
      <w:tr w:rsidR="00153B05" w:rsidRPr="00153B05" w14:paraId="45593A7A" w14:textId="77777777" w:rsidTr="00153B05">
        <w:trPr>
          <w:tblCellSpacing w:w="15" w:type="dxa"/>
        </w:trPr>
        <w:tc>
          <w:tcPr>
            <w:tcW w:w="0" w:type="auto"/>
            <w:vAlign w:val="center"/>
            <w:hideMark/>
          </w:tcPr>
          <w:p w14:paraId="7E5620BE" w14:textId="77777777" w:rsidR="00153B05" w:rsidRPr="00153B05" w:rsidRDefault="00153B05" w:rsidP="00153B05">
            <w:r w:rsidRPr="00153B05">
              <w:t>+1</w:t>
            </w:r>
          </w:p>
        </w:tc>
        <w:tc>
          <w:tcPr>
            <w:tcW w:w="0" w:type="auto"/>
            <w:vAlign w:val="center"/>
            <w:hideMark/>
          </w:tcPr>
          <w:p w14:paraId="49330525" w14:textId="77777777" w:rsidR="00153B05" w:rsidRPr="00153B05" w:rsidRDefault="00153B05" w:rsidP="00153B05">
            <w:r w:rsidRPr="00153B05">
              <w:t>vollständige Resonanz</w:t>
            </w:r>
          </w:p>
        </w:tc>
      </w:tr>
      <w:tr w:rsidR="00153B05" w:rsidRPr="00153B05" w14:paraId="395D165D" w14:textId="77777777" w:rsidTr="00153B05">
        <w:trPr>
          <w:tblCellSpacing w:w="15" w:type="dxa"/>
        </w:trPr>
        <w:tc>
          <w:tcPr>
            <w:tcW w:w="0" w:type="auto"/>
            <w:vAlign w:val="center"/>
            <w:hideMark/>
          </w:tcPr>
          <w:p w14:paraId="0B253297" w14:textId="77777777" w:rsidR="00153B05" w:rsidRPr="00153B05" w:rsidRDefault="00153B05" w:rsidP="00153B05">
            <w:r w:rsidRPr="00153B05">
              <w:t>0</w:t>
            </w:r>
          </w:p>
        </w:tc>
        <w:tc>
          <w:tcPr>
            <w:tcW w:w="0" w:type="auto"/>
            <w:vAlign w:val="center"/>
            <w:hideMark/>
          </w:tcPr>
          <w:p w14:paraId="2D127D49" w14:textId="77777777" w:rsidR="00153B05" w:rsidRPr="00153B05" w:rsidRDefault="00153B05" w:rsidP="00153B05">
            <w:r w:rsidRPr="00153B05">
              <w:t>keine Resonanz</w:t>
            </w:r>
          </w:p>
        </w:tc>
      </w:tr>
      <w:tr w:rsidR="00153B05" w:rsidRPr="00153B05" w14:paraId="6D95DDED" w14:textId="77777777" w:rsidTr="00153B05">
        <w:trPr>
          <w:tblCellSpacing w:w="15" w:type="dxa"/>
        </w:trPr>
        <w:tc>
          <w:tcPr>
            <w:tcW w:w="0" w:type="auto"/>
            <w:vAlign w:val="center"/>
            <w:hideMark/>
          </w:tcPr>
          <w:p w14:paraId="432FB425" w14:textId="77777777" w:rsidR="00153B05" w:rsidRPr="00153B05" w:rsidRDefault="00153B05" w:rsidP="00153B05">
            <w:r w:rsidRPr="00153B05">
              <w:t>-1</w:t>
            </w:r>
          </w:p>
        </w:tc>
        <w:tc>
          <w:tcPr>
            <w:tcW w:w="0" w:type="auto"/>
            <w:vAlign w:val="center"/>
            <w:hideMark/>
          </w:tcPr>
          <w:p w14:paraId="181EB86D" w14:textId="77777777" w:rsidR="00153B05" w:rsidRPr="00153B05" w:rsidRDefault="00153B05" w:rsidP="00153B05">
            <w:r w:rsidRPr="00153B05">
              <w:t>Gegenresonanz</w:t>
            </w:r>
          </w:p>
        </w:tc>
      </w:tr>
    </w:tbl>
    <w:p w14:paraId="296FAD02" w14:textId="77777777" w:rsidR="00153B05" w:rsidRPr="00153B05" w:rsidRDefault="00153B05" w:rsidP="00153B05">
      <w:r w:rsidRPr="00153B05">
        <w:pict w14:anchorId="34DAFD40">
          <v:rect id="_x0000_i1081" style="width:0;height:1.5pt" o:hralign="center" o:hrstd="t" o:hr="t" fillcolor="#a0a0a0" stroked="f"/>
        </w:pict>
      </w:r>
    </w:p>
    <w:p w14:paraId="3C4CEC62" w14:textId="77777777" w:rsidR="00153B05" w:rsidRPr="00153B05" w:rsidRDefault="00153B05" w:rsidP="00153B05">
      <w:pPr>
        <w:rPr>
          <w:b/>
        </w:rPr>
      </w:pPr>
      <w:r w:rsidRPr="00153B05">
        <w:rPr>
          <w:b/>
        </w:rPr>
        <w:t>6.x.4.C.2 Ergänzende Distanzanalyse</w:t>
      </w:r>
    </w:p>
    <w:p w14:paraId="6E155074" w14:textId="77777777" w:rsidR="00153B05" w:rsidRPr="00153B05" w:rsidRDefault="00153B05" w:rsidP="00153B05">
      <w:r w:rsidRPr="00153B05">
        <w:t>Zusätzlich wurde die euklidische Distanz bestimmt:</w:t>
      </w:r>
    </w:p>
    <w:p w14:paraId="42BC5EB6" w14:textId="34D9FB34" w:rsidR="00153B05" w:rsidRPr="00153B05" w:rsidRDefault="00B25075" w:rsidP="00153B05">
      <m:oMathPara>
        <m:oMath>
          <m:d>
            <m:dPr>
              <m:ctrlPr>
                <w:rPr>
                  <w:rFonts w:ascii="Cambria Math" w:hAnsi="Cambria Math"/>
                  <w:b/>
                  <w:i/>
                </w:rPr>
              </m:ctrlPr>
            </m:dPr>
            <m:e>
              <m:r>
                <m:rPr>
                  <m:sty m:val="bi"/>
                </m:rPr>
                <w:rPr>
                  <w:rFonts w:ascii="Cambria Math" w:hAnsi="Cambria Math"/>
                </w:rPr>
                <m:t>L,T</m:t>
              </m:r>
            </m:e>
          </m:d>
          <m:r>
            <m:rPr>
              <m:sty m:val="bi"/>
            </m:rPr>
            <w:rPr>
              <w:rFonts w:ascii="Cambria Math" w:hAnsi="Cambria Math"/>
            </w:rPr>
            <m:t>=</m:t>
          </m:r>
          <m:rad>
            <m:radPr>
              <m:degHide m:val="1"/>
              <m:ctrlPr>
                <w:rPr>
                  <w:rFonts w:ascii="Cambria Math" w:hAnsi="Cambria Math"/>
                  <w:b/>
                </w:rPr>
              </m:ctrlPr>
            </m:radPr>
            <m:deg>
              <m:ctrlPr>
                <w:rPr>
                  <w:rFonts w:ascii="Cambria Math" w:hAnsi="Cambria Math"/>
                  <w:b/>
                  <w:i/>
                </w:rPr>
              </m:ctrlPr>
            </m:deg>
            <m:e>
              <m:nary>
                <m:naryPr>
                  <m:chr m:val="∑"/>
                  <m:ctrlPr>
                    <w:rPr>
                      <w:rFonts w:ascii="Cambria Math" w:hAnsi="Cambria Math"/>
                      <w:b/>
                    </w:rPr>
                  </m:ctrlPr>
                </m:naryPr>
                <m:sub>
                  <m:r>
                    <m:rPr>
                      <m:sty m:val="bi"/>
                    </m:rPr>
                    <w:rPr>
                      <w:rFonts w:ascii="Cambria Math" w:hAnsi="Cambria Math"/>
                    </w:rPr>
                    <m:t>i=1</m:t>
                  </m:r>
                  <m:ctrlPr>
                    <w:rPr>
                      <w:rFonts w:ascii="Cambria Math" w:hAnsi="Cambria Math"/>
                      <w:b/>
                      <w:i/>
                    </w:rPr>
                  </m:ctrlPr>
                </m:sub>
                <m:sup>
                  <m:r>
                    <m:rPr>
                      <m:sty m:val="bi"/>
                    </m:rPr>
                    <w:rPr>
                      <w:rFonts w:ascii="Cambria Math" w:hAnsi="Cambria Math"/>
                    </w:rPr>
                    <m:t>7</m:t>
                  </m:r>
                  <m:ctrlPr>
                    <w:rPr>
                      <w:rFonts w:ascii="Cambria Math" w:hAnsi="Cambria Math"/>
                      <w:b/>
                      <w:i/>
                    </w:rPr>
                  </m:ctrlPr>
                </m:sup>
                <m:e>
                  <m:sSup>
                    <m:sSupPr>
                      <m:ctrlPr>
                        <w:rPr>
                          <w:rFonts w:ascii="Cambria Math" w:hAnsi="Cambria Math"/>
                          <w:b/>
                          <w:i/>
                        </w:rPr>
                      </m:ctrlPr>
                    </m:sSupPr>
                    <m:e>
                      <m:d>
                        <m:dPr>
                          <m:ctrlPr>
                            <w:rPr>
                              <w:rFonts w:ascii="Cambria Math" w:hAnsi="Cambria Math"/>
                              <w:b/>
                              <w:i/>
                            </w:rPr>
                          </m:ctrlPr>
                        </m:dPr>
                        <m:e>
                          <m:sSub>
                            <m:sSubPr>
                              <m:ctrlPr>
                                <w:rPr>
                                  <w:rFonts w:ascii="Cambria Math" w:hAnsi="Cambria Math"/>
                                  <w:b/>
                                  <w:i/>
                                </w:rPr>
                              </m:ctrlPr>
                            </m:sSubPr>
                            <m:e>
                              <m:r>
                                <m:rPr>
                                  <m:sty m:val="bi"/>
                                </m:rPr>
                                <w:rPr>
                                  <w:rFonts w:ascii="Cambria Math" w:hAnsi="Cambria Math"/>
                                </w:rPr>
                                <m:t>L</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i</m:t>
                              </m:r>
                            </m:sub>
                          </m:sSub>
                        </m:e>
                      </m:d>
                    </m:e>
                    <m:sup>
                      <m:r>
                        <m:rPr>
                          <m:sty m:val="bi"/>
                        </m:rPr>
                        <w:rPr>
                          <w:rFonts w:ascii="Cambria Math" w:hAnsi="Cambria Math"/>
                        </w:rPr>
                        <m:t>2</m:t>
                      </m:r>
                    </m:sup>
                  </m:sSup>
                  <m:ctrlPr>
                    <w:rPr>
                      <w:rFonts w:ascii="Cambria Math" w:hAnsi="Cambria Math"/>
                      <w:b/>
                      <w:i/>
                    </w:rPr>
                  </m:ctrlPr>
                </m:e>
              </m:nary>
            </m:e>
          </m:rad>
        </m:oMath>
      </m:oMathPara>
    </w:p>
    <w:p w14:paraId="4F8A4D99" w14:textId="77777777" w:rsidR="00153B05" w:rsidRPr="00153B05" w:rsidRDefault="00153B05" w:rsidP="00153B05">
      <w:r w:rsidRPr="00153B05">
        <w:t>Sie beschreibt die absolute Entfernung der Zustände im 7D-Raum.</w:t>
      </w:r>
    </w:p>
    <w:p w14:paraId="07CFCC7D" w14:textId="77777777" w:rsidR="00153B05" w:rsidRPr="00153B05" w:rsidRDefault="00153B05" w:rsidP="00153B05">
      <w:r w:rsidRPr="00153B05">
        <w:t xml:space="preserve">Während die </w:t>
      </w:r>
      <w:proofErr w:type="spellStart"/>
      <w:r w:rsidRPr="00153B05">
        <w:t>Kosinusähnlichkeit</w:t>
      </w:r>
      <w:proofErr w:type="spellEnd"/>
      <w:r w:rsidRPr="00153B05">
        <w:t xml:space="preserve"> die Richtung misst, beschreibt die Distanz die tatsächliche Lageabweichung zwischen beiden Perspektiven [4].</w:t>
      </w:r>
    </w:p>
    <w:p w14:paraId="49E48C16" w14:textId="77777777" w:rsidR="00153B05" w:rsidRPr="00153B05" w:rsidRDefault="00153B05" w:rsidP="00153B05">
      <w:r w:rsidRPr="00153B05">
        <w:pict w14:anchorId="50325392">
          <v:rect id="_x0000_i1082" style="width:0;height:1.5pt" o:hralign="center" o:hrstd="t" o:hr="t" fillcolor="#a0a0a0" stroked="f"/>
        </w:pict>
      </w:r>
    </w:p>
    <w:p w14:paraId="5FDEF611" w14:textId="77777777" w:rsidR="00153B05" w:rsidRPr="00153B05" w:rsidRDefault="00153B05" w:rsidP="00153B05">
      <w:pPr>
        <w:rPr>
          <w:b/>
        </w:rPr>
      </w:pPr>
      <w:r w:rsidRPr="00153B05">
        <w:rPr>
          <w:b/>
        </w:rPr>
        <w:t>6.x.4.D Ergebnisse</w:t>
      </w:r>
    </w:p>
    <w:p w14:paraId="0792CE5C" w14:textId="77777777" w:rsidR="00153B05" w:rsidRPr="00153B05" w:rsidRDefault="00153B05" w:rsidP="00153B05">
      <w:pPr>
        <w:rPr>
          <w:b/>
        </w:rPr>
      </w:pPr>
      <w:r w:rsidRPr="00153B05">
        <w:rPr>
          <w:b/>
        </w:rPr>
        <w:t>6.x.4.D.1 Globale Resonanzstruktur</w:t>
      </w:r>
    </w:p>
    <w:p w14:paraId="26034D48" w14:textId="77777777" w:rsidR="00153B05" w:rsidRPr="00153B05" w:rsidRDefault="00153B05" w:rsidP="00153B05">
      <w:r w:rsidRPr="00153B05">
        <w:t>Die Auswertung ergab: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817"/>
      </w:tblGrid>
      <w:tr w:rsidR="00153B05" w:rsidRPr="00153B05" w14:paraId="51380AE2" w14:textId="77777777" w:rsidTr="00153B05">
        <w:trPr>
          <w:tblHeader/>
          <w:tblCellSpacing w:w="15" w:type="dxa"/>
        </w:trPr>
        <w:tc>
          <w:tcPr>
            <w:tcW w:w="0" w:type="auto"/>
            <w:vAlign w:val="center"/>
            <w:hideMark/>
          </w:tcPr>
          <w:p w14:paraId="67B87CED" w14:textId="77777777" w:rsidR="00153B05" w:rsidRPr="00153B05" w:rsidRDefault="00153B05" w:rsidP="00153B05">
            <w:pPr>
              <w:rPr>
                <w:b/>
              </w:rPr>
            </w:pPr>
            <w:r w:rsidRPr="00153B05">
              <w:rPr>
                <w:b/>
              </w:rPr>
              <w:lastRenderedPageBreak/>
              <w:t>Kennwert</w:t>
            </w:r>
          </w:p>
        </w:tc>
        <w:tc>
          <w:tcPr>
            <w:tcW w:w="0" w:type="auto"/>
            <w:vAlign w:val="center"/>
            <w:hideMark/>
          </w:tcPr>
          <w:p w14:paraId="2B9D6BA9" w14:textId="77777777" w:rsidR="00153B05" w:rsidRPr="00153B05" w:rsidRDefault="00153B05" w:rsidP="00153B05">
            <w:pPr>
              <w:rPr>
                <w:b/>
              </w:rPr>
            </w:pPr>
            <w:r w:rsidRPr="00153B05">
              <w:rPr>
                <w:b/>
              </w:rPr>
              <w:t>Wert</w:t>
            </w:r>
          </w:p>
        </w:tc>
      </w:tr>
      <w:tr w:rsidR="00153B05" w:rsidRPr="00153B05" w14:paraId="5FEAB532" w14:textId="77777777" w:rsidTr="00153B05">
        <w:trPr>
          <w:tblCellSpacing w:w="15" w:type="dxa"/>
        </w:trPr>
        <w:tc>
          <w:tcPr>
            <w:tcW w:w="0" w:type="auto"/>
            <w:vAlign w:val="center"/>
            <w:hideMark/>
          </w:tcPr>
          <w:p w14:paraId="6E066DCB" w14:textId="77777777" w:rsidR="00153B05" w:rsidRPr="00153B05" w:rsidRDefault="00153B05" w:rsidP="00153B05">
            <w:r w:rsidRPr="00153B05">
              <w:t>Matches</w:t>
            </w:r>
          </w:p>
        </w:tc>
        <w:tc>
          <w:tcPr>
            <w:tcW w:w="0" w:type="auto"/>
            <w:vAlign w:val="center"/>
            <w:hideMark/>
          </w:tcPr>
          <w:p w14:paraId="07AF01F4" w14:textId="77777777" w:rsidR="00153B05" w:rsidRPr="00153B05" w:rsidRDefault="00153B05" w:rsidP="00153B05">
            <w:r w:rsidRPr="00153B05">
              <w:t>282</w:t>
            </w:r>
          </w:p>
        </w:tc>
      </w:tr>
      <w:tr w:rsidR="00153B05" w:rsidRPr="00153B05" w14:paraId="2B3FC787" w14:textId="77777777" w:rsidTr="00153B05">
        <w:trPr>
          <w:tblCellSpacing w:w="15" w:type="dxa"/>
        </w:trPr>
        <w:tc>
          <w:tcPr>
            <w:tcW w:w="0" w:type="auto"/>
            <w:vAlign w:val="center"/>
            <w:hideMark/>
          </w:tcPr>
          <w:p w14:paraId="4A362AE9" w14:textId="77777777" w:rsidR="00153B05" w:rsidRPr="00153B05" w:rsidRDefault="00153B05" w:rsidP="00153B05">
            <w:r w:rsidRPr="00153B05">
              <w:t>gültige Resonanzen</w:t>
            </w:r>
          </w:p>
        </w:tc>
        <w:tc>
          <w:tcPr>
            <w:tcW w:w="0" w:type="auto"/>
            <w:vAlign w:val="center"/>
            <w:hideMark/>
          </w:tcPr>
          <w:p w14:paraId="1B190E21" w14:textId="77777777" w:rsidR="00153B05" w:rsidRPr="00153B05" w:rsidRDefault="00153B05" w:rsidP="00153B05">
            <w:r w:rsidRPr="00153B05">
              <w:t>279</w:t>
            </w:r>
          </w:p>
        </w:tc>
      </w:tr>
      <w:tr w:rsidR="00153B05" w:rsidRPr="00153B05" w14:paraId="22F44D92" w14:textId="77777777" w:rsidTr="00153B05">
        <w:trPr>
          <w:tblCellSpacing w:w="15" w:type="dxa"/>
        </w:trPr>
        <w:tc>
          <w:tcPr>
            <w:tcW w:w="0" w:type="auto"/>
            <w:vAlign w:val="center"/>
            <w:hideMark/>
          </w:tcPr>
          <w:p w14:paraId="48D66115" w14:textId="77777777" w:rsidR="00153B05" w:rsidRPr="00153B05" w:rsidRDefault="00153B05" w:rsidP="00153B05">
            <w:r w:rsidRPr="00153B05">
              <w:t xml:space="preserve">Mittlere </w:t>
            </w:r>
            <w:proofErr w:type="spellStart"/>
            <w:r w:rsidRPr="00153B05">
              <w:t>Kosinusähnlichkeit</w:t>
            </w:r>
            <w:proofErr w:type="spellEnd"/>
          </w:p>
        </w:tc>
        <w:tc>
          <w:tcPr>
            <w:tcW w:w="0" w:type="auto"/>
            <w:vAlign w:val="center"/>
            <w:hideMark/>
          </w:tcPr>
          <w:p w14:paraId="635730B4" w14:textId="77777777" w:rsidR="00153B05" w:rsidRPr="00153B05" w:rsidRDefault="00153B05" w:rsidP="00153B05">
            <w:r w:rsidRPr="00153B05">
              <w:t>0,9434</w:t>
            </w:r>
          </w:p>
        </w:tc>
      </w:tr>
      <w:tr w:rsidR="00153B05" w:rsidRPr="00153B05" w14:paraId="4E3CDFBC" w14:textId="77777777" w:rsidTr="00153B05">
        <w:trPr>
          <w:tblCellSpacing w:w="15" w:type="dxa"/>
        </w:trPr>
        <w:tc>
          <w:tcPr>
            <w:tcW w:w="0" w:type="auto"/>
            <w:vAlign w:val="center"/>
            <w:hideMark/>
          </w:tcPr>
          <w:p w14:paraId="1150AE43" w14:textId="77777777" w:rsidR="00153B05" w:rsidRPr="00153B05" w:rsidRDefault="00153B05" w:rsidP="00153B05">
            <w:r w:rsidRPr="00153B05">
              <w:t>Median</w:t>
            </w:r>
          </w:p>
        </w:tc>
        <w:tc>
          <w:tcPr>
            <w:tcW w:w="0" w:type="auto"/>
            <w:vAlign w:val="center"/>
            <w:hideMark/>
          </w:tcPr>
          <w:p w14:paraId="5F39FA1C" w14:textId="77777777" w:rsidR="00153B05" w:rsidRPr="00153B05" w:rsidRDefault="00153B05" w:rsidP="00153B05">
            <w:r w:rsidRPr="00153B05">
              <w:t>0,9568</w:t>
            </w:r>
          </w:p>
        </w:tc>
      </w:tr>
      <w:tr w:rsidR="00153B05" w:rsidRPr="00153B05" w14:paraId="57241E52" w14:textId="77777777" w:rsidTr="00153B05">
        <w:trPr>
          <w:tblCellSpacing w:w="15" w:type="dxa"/>
        </w:trPr>
        <w:tc>
          <w:tcPr>
            <w:tcW w:w="0" w:type="auto"/>
            <w:vAlign w:val="center"/>
            <w:hideMark/>
          </w:tcPr>
          <w:p w14:paraId="106007CA" w14:textId="77777777" w:rsidR="00153B05" w:rsidRPr="00153B05" w:rsidRDefault="00153B05" w:rsidP="00153B05">
            <w:r w:rsidRPr="00153B05">
              <w:t>Minimum</w:t>
            </w:r>
          </w:p>
        </w:tc>
        <w:tc>
          <w:tcPr>
            <w:tcW w:w="0" w:type="auto"/>
            <w:vAlign w:val="center"/>
            <w:hideMark/>
          </w:tcPr>
          <w:p w14:paraId="4F1797B7" w14:textId="77777777" w:rsidR="00153B05" w:rsidRPr="00153B05" w:rsidRDefault="00153B05" w:rsidP="00153B05">
            <w:r w:rsidRPr="00153B05">
              <w:t>-0,2682</w:t>
            </w:r>
          </w:p>
        </w:tc>
      </w:tr>
      <w:tr w:rsidR="00153B05" w:rsidRPr="00153B05" w14:paraId="0E936A18" w14:textId="77777777" w:rsidTr="00153B05">
        <w:trPr>
          <w:tblCellSpacing w:w="15" w:type="dxa"/>
        </w:trPr>
        <w:tc>
          <w:tcPr>
            <w:tcW w:w="0" w:type="auto"/>
            <w:vAlign w:val="center"/>
            <w:hideMark/>
          </w:tcPr>
          <w:p w14:paraId="1FAC1DA3" w14:textId="77777777" w:rsidR="00153B05" w:rsidRPr="00153B05" w:rsidRDefault="00153B05" w:rsidP="00153B05">
            <w:r w:rsidRPr="00153B05">
              <w:t>Maximum</w:t>
            </w:r>
          </w:p>
        </w:tc>
        <w:tc>
          <w:tcPr>
            <w:tcW w:w="0" w:type="auto"/>
            <w:vAlign w:val="center"/>
            <w:hideMark/>
          </w:tcPr>
          <w:p w14:paraId="28F9B4A2" w14:textId="77777777" w:rsidR="00153B05" w:rsidRPr="00153B05" w:rsidRDefault="00153B05" w:rsidP="00153B05">
            <w:r w:rsidRPr="00153B05">
              <w:t>0,9974</w:t>
            </w:r>
          </w:p>
        </w:tc>
      </w:tr>
      <w:tr w:rsidR="00153B05" w:rsidRPr="00153B05" w14:paraId="75C8E312" w14:textId="77777777" w:rsidTr="00153B05">
        <w:trPr>
          <w:tblCellSpacing w:w="15" w:type="dxa"/>
        </w:trPr>
        <w:tc>
          <w:tcPr>
            <w:tcW w:w="0" w:type="auto"/>
            <w:vAlign w:val="center"/>
            <w:hideMark/>
          </w:tcPr>
          <w:p w14:paraId="4859D9E2" w14:textId="77777777" w:rsidR="00153B05" w:rsidRPr="00153B05" w:rsidRDefault="00153B05" w:rsidP="00153B05">
            <w:r w:rsidRPr="00153B05">
              <w:t>25%-Quantil</w:t>
            </w:r>
          </w:p>
        </w:tc>
        <w:tc>
          <w:tcPr>
            <w:tcW w:w="0" w:type="auto"/>
            <w:vAlign w:val="center"/>
            <w:hideMark/>
          </w:tcPr>
          <w:p w14:paraId="3A0891A9" w14:textId="77777777" w:rsidR="00153B05" w:rsidRPr="00153B05" w:rsidRDefault="00153B05" w:rsidP="00153B05">
            <w:r w:rsidRPr="00153B05">
              <w:t>0,9305</w:t>
            </w:r>
          </w:p>
        </w:tc>
      </w:tr>
      <w:tr w:rsidR="00153B05" w:rsidRPr="00153B05" w14:paraId="423956B3" w14:textId="77777777" w:rsidTr="00153B05">
        <w:trPr>
          <w:tblCellSpacing w:w="15" w:type="dxa"/>
        </w:trPr>
        <w:tc>
          <w:tcPr>
            <w:tcW w:w="0" w:type="auto"/>
            <w:vAlign w:val="center"/>
            <w:hideMark/>
          </w:tcPr>
          <w:p w14:paraId="36BC3236" w14:textId="77777777" w:rsidR="00153B05" w:rsidRPr="00153B05" w:rsidRDefault="00153B05" w:rsidP="00153B05">
            <w:r w:rsidRPr="00153B05">
              <w:t>75%-Quantil</w:t>
            </w:r>
          </w:p>
        </w:tc>
        <w:tc>
          <w:tcPr>
            <w:tcW w:w="0" w:type="auto"/>
            <w:vAlign w:val="center"/>
            <w:hideMark/>
          </w:tcPr>
          <w:p w14:paraId="6CDF0114" w14:textId="77777777" w:rsidR="00153B05" w:rsidRPr="00153B05" w:rsidRDefault="00153B05" w:rsidP="00153B05">
            <w:r w:rsidRPr="00153B05">
              <w:t>0,9758</w:t>
            </w:r>
          </w:p>
        </w:tc>
      </w:tr>
      <w:tr w:rsidR="00153B05" w:rsidRPr="00153B05" w14:paraId="270A7E1D" w14:textId="77777777" w:rsidTr="00153B05">
        <w:trPr>
          <w:tblCellSpacing w:w="15" w:type="dxa"/>
        </w:trPr>
        <w:tc>
          <w:tcPr>
            <w:tcW w:w="0" w:type="auto"/>
            <w:vAlign w:val="center"/>
            <w:hideMark/>
          </w:tcPr>
          <w:p w14:paraId="2CBFE360" w14:textId="77777777" w:rsidR="00153B05" w:rsidRPr="00153B05" w:rsidRDefault="00153B05" w:rsidP="00153B05">
            <w:r w:rsidRPr="00153B05">
              <w:t>Mittlere Distanz</w:t>
            </w:r>
          </w:p>
        </w:tc>
        <w:tc>
          <w:tcPr>
            <w:tcW w:w="0" w:type="auto"/>
            <w:vAlign w:val="center"/>
            <w:hideMark/>
          </w:tcPr>
          <w:p w14:paraId="5882A540" w14:textId="77777777" w:rsidR="00153B05" w:rsidRPr="00153B05" w:rsidRDefault="00153B05" w:rsidP="00153B05">
            <w:r w:rsidRPr="00153B05">
              <w:t>1,1906</w:t>
            </w:r>
          </w:p>
        </w:tc>
      </w:tr>
    </w:tbl>
    <w:p w14:paraId="5894EDA9" w14:textId="77777777" w:rsidR="00153B05" w:rsidRPr="00153B05" w:rsidRDefault="00153B05" w:rsidP="00153B05">
      <w:r w:rsidRPr="00153B05">
        <w:t>Die Ergebnisse zeigen eine außerordentlich hohe strukturelle Übereinstimmung zwischen Lehrkraft- und Teilnehmerraum.</w:t>
      </w:r>
    </w:p>
    <w:p w14:paraId="646E3F0A" w14:textId="77777777" w:rsidR="00153B05" w:rsidRPr="00153B05" w:rsidRDefault="00153B05" w:rsidP="00153B05">
      <w:r w:rsidRPr="00153B05">
        <w:t>Besonders bedeutsam erscheint, dass bereits das erste Quartil bei 0,9305 liegt. Somit weist selbst die untere Hälfte der Verteilung Resonanzwerte auf, die in sozialwissenschaftlichen Untersuchungen normalerweise als außergewöhnlich hoch einzustufen wären [5].</w:t>
      </w:r>
    </w:p>
    <w:p w14:paraId="747549E2" w14:textId="77777777" w:rsidR="00153B05" w:rsidRPr="00153B05" w:rsidRDefault="00153B05" w:rsidP="00153B05">
      <w:r w:rsidRPr="00153B05">
        <w:pict w14:anchorId="35BCE148">
          <v:rect id="_x0000_i1083" style="width:0;height:1.5pt" o:hralign="center" o:hrstd="t" o:hr="t" fillcolor="#a0a0a0" stroked="f"/>
        </w:pict>
      </w:r>
    </w:p>
    <w:p w14:paraId="52A0487B" w14:textId="77777777" w:rsidR="00153B05" w:rsidRPr="00153B05" w:rsidRDefault="00153B05" w:rsidP="00153B05">
      <w:pPr>
        <w:rPr>
          <w:b/>
        </w:rPr>
      </w:pPr>
      <w:r w:rsidRPr="00153B05">
        <w:rPr>
          <w:b/>
        </w:rPr>
        <w:t>6.x.4.D.2 Verteilung der Resonanzen</w:t>
      </w:r>
    </w:p>
    <w:p w14:paraId="6A096761" w14:textId="77777777" w:rsidR="00153B05" w:rsidRPr="00153B05" w:rsidRDefault="00153B05" w:rsidP="00153B05">
      <w:r w:rsidRPr="00153B05">
        <w:t>Die Häufigkeitsanalyse zeigt: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48"/>
      </w:tblGrid>
      <w:tr w:rsidR="00153B05" w:rsidRPr="00153B05" w14:paraId="3C58E57B" w14:textId="77777777" w:rsidTr="00153B05">
        <w:trPr>
          <w:tblHeader/>
          <w:tblCellSpacing w:w="15" w:type="dxa"/>
        </w:trPr>
        <w:tc>
          <w:tcPr>
            <w:tcW w:w="0" w:type="auto"/>
            <w:vAlign w:val="center"/>
            <w:hideMark/>
          </w:tcPr>
          <w:p w14:paraId="05CFE622" w14:textId="77777777" w:rsidR="00153B05" w:rsidRPr="00153B05" w:rsidRDefault="00153B05" w:rsidP="00153B05">
            <w:pPr>
              <w:rPr>
                <w:b/>
              </w:rPr>
            </w:pPr>
            <w:r w:rsidRPr="00153B05">
              <w:rPr>
                <w:b/>
              </w:rPr>
              <w:t>Bereich</w:t>
            </w:r>
          </w:p>
        </w:tc>
        <w:tc>
          <w:tcPr>
            <w:tcW w:w="0" w:type="auto"/>
            <w:vAlign w:val="center"/>
            <w:hideMark/>
          </w:tcPr>
          <w:p w14:paraId="13BC5D6D" w14:textId="77777777" w:rsidR="00153B05" w:rsidRPr="00153B05" w:rsidRDefault="00153B05" w:rsidP="00153B05">
            <w:pPr>
              <w:rPr>
                <w:b/>
              </w:rPr>
            </w:pPr>
            <w:r w:rsidRPr="00153B05">
              <w:rPr>
                <w:b/>
              </w:rPr>
              <w:t>Anteil</w:t>
            </w:r>
          </w:p>
        </w:tc>
      </w:tr>
      <w:tr w:rsidR="00153B05" w:rsidRPr="00153B05" w14:paraId="47E6527D" w14:textId="77777777" w:rsidTr="00153B05">
        <w:trPr>
          <w:tblCellSpacing w:w="15" w:type="dxa"/>
        </w:trPr>
        <w:tc>
          <w:tcPr>
            <w:tcW w:w="0" w:type="auto"/>
            <w:vAlign w:val="center"/>
            <w:hideMark/>
          </w:tcPr>
          <w:p w14:paraId="39687314" w14:textId="77777777" w:rsidR="00153B05" w:rsidRPr="00153B05" w:rsidRDefault="00153B05" w:rsidP="00153B05">
            <w:r w:rsidRPr="00153B05">
              <w:t>Kosinus &gt; 0,90</w:t>
            </w:r>
          </w:p>
        </w:tc>
        <w:tc>
          <w:tcPr>
            <w:tcW w:w="0" w:type="auto"/>
            <w:vAlign w:val="center"/>
            <w:hideMark/>
          </w:tcPr>
          <w:p w14:paraId="7713A678" w14:textId="77777777" w:rsidR="00153B05" w:rsidRPr="00153B05" w:rsidRDefault="00153B05" w:rsidP="00153B05">
            <w:r w:rsidRPr="00153B05">
              <w:t>89,96 %</w:t>
            </w:r>
          </w:p>
        </w:tc>
      </w:tr>
      <w:tr w:rsidR="00153B05" w:rsidRPr="00153B05" w14:paraId="7752CDFE" w14:textId="77777777" w:rsidTr="00153B05">
        <w:trPr>
          <w:tblCellSpacing w:w="15" w:type="dxa"/>
        </w:trPr>
        <w:tc>
          <w:tcPr>
            <w:tcW w:w="0" w:type="auto"/>
            <w:vAlign w:val="center"/>
            <w:hideMark/>
          </w:tcPr>
          <w:p w14:paraId="69F759DA" w14:textId="77777777" w:rsidR="00153B05" w:rsidRPr="00153B05" w:rsidRDefault="00153B05" w:rsidP="00153B05">
            <w:r w:rsidRPr="00153B05">
              <w:t>Kosinus &gt; 0,95</w:t>
            </w:r>
          </w:p>
        </w:tc>
        <w:tc>
          <w:tcPr>
            <w:tcW w:w="0" w:type="auto"/>
            <w:vAlign w:val="center"/>
            <w:hideMark/>
          </w:tcPr>
          <w:p w14:paraId="513EF53C" w14:textId="77777777" w:rsidR="00153B05" w:rsidRPr="00153B05" w:rsidRDefault="00153B05" w:rsidP="00153B05">
            <w:r w:rsidRPr="00153B05">
              <w:t>59,14 %</w:t>
            </w:r>
          </w:p>
        </w:tc>
      </w:tr>
      <w:tr w:rsidR="00153B05" w:rsidRPr="00153B05" w14:paraId="420F51FE" w14:textId="77777777" w:rsidTr="00153B05">
        <w:trPr>
          <w:tblCellSpacing w:w="15" w:type="dxa"/>
        </w:trPr>
        <w:tc>
          <w:tcPr>
            <w:tcW w:w="0" w:type="auto"/>
            <w:vAlign w:val="center"/>
            <w:hideMark/>
          </w:tcPr>
          <w:p w14:paraId="3EB58940" w14:textId="77777777" w:rsidR="00153B05" w:rsidRPr="00153B05" w:rsidRDefault="00153B05" w:rsidP="00153B05">
            <w:r w:rsidRPr="00153B05">
              <w:t>Gegenresonanz (&lt;0)</w:t>
            </w:r>
          </w:p>
        </w:tc>
        <w:tc>
          <w:tcPr>
            <w:tcW w:w="0" w:type="auto"/>
            <w:vAlign w:val="center"/>
            <w:hideMark/>
          </w:tcPr>
          <w:p w14:paraId="555F3F61" w14:textId="77777777" w:rsidR="00153B05" w:rsidRPr="00153B05" w:rsidRDefault="00153B05" w:rsidP="00153B05">
            <w:r w:rsidRPr="00153B05">
              <w:t>0,36 %</w:t>
            </w:r>
          </w:p>
        </w:tc>
      </w:tr>
    </w:tbl>
    <w:p w14:paraId="60C94A5F" w14:textId="77777777" w:rsidR="00153B05" w:rsidRPr="00153B05" w:rsidRDefault="00153B05" w:rsidP="00153B05">
      <w:r w:rsidRPr="00153B05">
        <w:t>Von 279 gültigen Resonanzmessungen zeigt lediglich ein einziger Fall eine negative Kopplung.</w:t>
      </w:r>
    </w:p>
    <w:p w14:paraId="25371B32" w14:textId="77777777" w:rsidR="00153B05" w:rsidRPr="00153B05" w:rsidRDefault="00153B05" w:rsidP="00153B05">
      <w:r w:rsidRPr="00153B05">
        <w:t>Die Gesamtstruktur wird somit eindeutig von positiver Resonanz dominiert.</w:t>
      </w:r>
    </w:p>
    <w:p w14:paraId="4E1B0A3B" w14:textId="77777777" w:rsidR="00153B05" w:rsidRPr="00153B05" w:rsidRDefault="00153B05" w:rsidP="00153B05">
      <w:r w:rsidRPr="00153B05">
        <w:pict w14:anchorId="2A1B4772">
          <v:rect id="_x0000_i1084" style="width:0;height:1.5pt" o:hralign="center" o:hrstd="t" o:hr="t" fillcolor="#a0a0a0" stroked="f"/>
        </w:pict>
      </w:r>
    </w:p>
    <w:p w14:paraId="7E6454B1" w14:textId="77777777" w:rsidR="00153B05" w:rsidRPr="00153B05" w:rsidRDefault="00153B05" w:rsidP="00153B05">
      <w:pPr>
        <w:rPr>
          <w:b/>
        </w:rPr>
      </w:pPr>
      <w:r w:rsidRPr="00153B05">
        <w:rPr>
          <w:b/>
        </w:rPr>
        <w:t>6.x.4.E Methodische Interpretation</w:t>
      </w:r>
    </w:p>
    <w:p w14:paraId="6A1213A4" w14:textId="77777777" w:rsidR="00153B05" w:rsidRPr="00153B05" w:rsidRDefault="00153B05" w:rsidP="00153B05">
      <w:r w:rsidRPr="00153B05">
        <w:t xml:space="preserve">Aus methodischer Sicht stellen die Ergebnisse einen wichtigen </w:t>
      </w:r>
      <w:proofErr w:type="spellStart"/>
      <w:r w:rsidRPr="00153B05">
        <w:t>Validitätshinweis</w:t>
      </w:r>
      <w:proofErr w:type="spellEnd"/>
      <w:r w:rsidRPr="00153B05">
        <w:t xml:space="preserve"> für das FRZK-Vektorverfahren dar.</w:t>
      </w:r>
    </w:p>
    <w:p w14:paraId="528878D5" w14:textId="77777777" w:rsidR="00153B05" w:rsidRPr="00153B05" w:rsidRDefault="00153B05" w:rsidP="00153B05">
      <w:r w:rsidRPr="00153B05">
        <w:t xml:space="preserve">Wären die Lehrkraftvektoren lediglich Artefakte der mathematischen Projektion oder zufällige Produkte der Gewichtungsstruktur, wäre nicht zu erwarten, dass sich in nahezu 90 % aller Fälle </w:t>
      </w:r>
      <w:proofErr w:type="spellStart"/>
      <w:r w:rsidRPr="00153B05">
        <w:t>Kosinusähnlichkeiten</w:t>
      </w:r>
      <w:proofErr w:type="spellEnd"/>
      <w:r w:rsidRPr="00153B05">
        <w:t xml:space="preserve"> oberhalb von 0,90 ergeben.</w:t>
      </w:r>
    </w:p>
    <w:p w14:paraId="58905FB0" w14:textId="77777777" w:rsidR="00153B05" w:rsidRPr="00153B05" w:rsidRDefault="00153B05" w:rsidP="00153B05">
      <w:r w:rsidRPr="00153B05">
        <w:t>Die Analyse spricht deshalb gegen die Hypothese vollständig unabhängiger Zustandsräume.</w:t>
      </w:r>
    </w:p>
    <w:p w14:paraId="35B3DAC0" w14:textId="77777777" w:rsidR="00153B05" w:rsidRPr="00153B05" w:rsidRDefault="00153B05" w:rsidP="00153B05">
      <w:r w:rsidRPr="00153B05">
        <w:lastRenderedPageBreak/>
        <w:t>Gleichzeitig muss methodisch betont werden, dass Resonanz nicht automatisch Kausalität bedeutet. Die Daten belegen zunächst eine starke Kopplung, nicht jedoch die genaue Wirkungsrichtung [6].</w:t>
      </w:r>
    </w:p>
    <w:p w14:paraId="4FDBBC3C" w14:textId="77777777" w:rsidR="00153B05" w:rsidRPr="00153B05" w:rsidRDefault="00153B05" w:rsidP="00153B05">
      <w:r w:rsidRPr="00153B05">
        <w:t>Für einen strengen Kausalitätsnachweis wären zusätzliche Analysen erforderlich:</w:t>
      </w:r>
    </w:p>
    <w:p w14:paraId="3BD12463" w14:textId="77777777" w:rsidR="00153B05" w:rsidRPr="00153B05" w:rsidRDefault="00153B05" w:rsidP="00153B05">
      <w:pPr>
        <w:numPr>
          <w:ilvl w:val="0"/>
          <w:numId w:val="7"/>
        </w:numPr>
      </w:pPr>
      <w:r w:rsidRPr="00153B05">
        <w:t xml:space="preserve">Zeitversetzte Resonanzvalidierung </w:t>
      </w:r>
    </w:p>
    <w:p w14:paraId="616DB497" w14:textId="77777777" w:rsidR="00153B05" w:rsidRPr="00153B05" w:rsidRDefault="00153B05" w:rsidP="00153B05">
      <w:pPr>
        <w:numPr>
          <w:ilvl w:val="0"/>
          <w:numId w:val="7"/>
        </w:numPr>
      </w:pPr>
      <w:r w:rsidRPr="00153B05">
        <w:t xml:space="preserve">Vorhersagemodelle </w:t>
      </w:r>
    </w:p>
    <w:p w14:paraId="48B601C3" w14:textId="77777777" w:rsidR="00153B05" w:rsidRPr="00153B05" w:rsidRDefault="00153B05" w:rsidP="00153B05">
      <w:pPr>
        <w:numPr>
          <w:ilvl w:val="0"/>
          <w:numId w:val="7"/>
        </w:numPr>
      </w:pPr>
      <w:r w:rsidRPr="00153B05">
        <w:t xml:space="preserve">Permutationsanalysen </w:t>
      </w:r>
    </w:p>
    <w:p w14:paraId="096E67D1" w14:textId="77777777" w:rsidR="00153B05" w:rsidRPr="00153B05" w:rsidRDefault="00153B05" w:rsidP="00153B05">
      <w:pPr>
        <w:numPr>
          <w:ilvl w:val="0"/>
          <w:numId w:val="7"/>
        </w:numPr>
      </w:pPr>
      <w:r w:rsidRPr="00153B05">
        <w:t xml:space="preserve">Zufallsmatches </w:t>
      </w:r>
    </w:p>
    <w:p w14:paraId="6B916576" w14:textId="77777777" w:rsidR="00153B05" w:rsidRPr="00153B05" w:rsidRDefault="00153B05" w:rsidP="00153B05">
      <w:pPr>
        <w:numPr>
          <w:ilvl w:val="0"/>
          <w:numId w:val="7"/>
        </w:numPr>
      </w:pPr>
      <w:r w:rsidRPr="00153B05">
        <w:t xml:space="preserve">Driftanalysen </w:t>
      </w:r>
    </w:p>
    <w:p w14:paraId="43EE43F9" w14:textId="77777777" w:rsidR="00153B05" w:rsidRPr="00153B05" w:rsidRDefault="00153B05" w:rsidP="00153B05">
      <w:pPr>
        <w:numPr>
          <w:ilvl w:val="0"/>
          <w:numId w:val="7"/>
        </w:numPr>
      </w:pPr>
      <w:r w:rsidRPr="00153B05">
        <w:t xml:space="preserve">Dominanzkopplungsanalysen </w:t>
      </w:r>
    </w:p>
    <w:p w14:paraId="26B274B6" w14:textId="77777777" w:rsidR="00153B05" w:rsidRPr="00153B05" w:rsidRDefault="00153B05" w:rsidP="00153B05">
      <w:r w:rsidRPr="00153B05">
        <w:t>Dennoch stellt die beobachtete Resonanz einen starken empirischen Hinweis auf relationale Validität des Verfahrens dar.</w:t>
      </w:r>
    </w:p>
    <w:p w14:paraId="27342803" w14:textId="77777777" w:rsidR="00153B05" w:rsidRPr="00153B05" w:rsidRDefault="00153B05" w:rsidP="00153B05">
      <w:r w:rsidRPr="00153B05">
        <w:pict w14:anchorId="7390B468">
          <v:rect id="_x0000_i1085" style="width:0;height:1.5pt" o:hralign="center" o:hrstd="t" o:hr="t" fillcolor="#a0a0a0" stroked="f"/>
        </w:pict>
      </w:r>
    </w:p>
    <w:p w14:paraId="16EFAFEB" w14:textId="77777777" w:rsidR="00153B05" w:rsidRPr="00153B05" w:rsidRDefault="00153B05" w:rsidP="00153B05">
      <w:pPr>
        <w:rPr>
          <w:b/>
        </w:rPr>
      </w:pPr>
      <w:r w:rsidRPr="00153B05">
        <w:rPr>
          <w:b/>
        </w:rPr>
        <w:t>6.x.4.F Didaktische Interpretation</w:t>
      </w:r>
    </w:p>
    <w:p w14:paraId="043C8006" w14:textId="77777777" w:rsidR="00153B05" w:rsidRPr="00153B05" w:rsidRDefault="00153B05" w:rsidP="00153B05">
      <w:r w:rsidRPr="00153B05">
        <w:t>Für die Nachhilfeforschung besitzen die Ergebnisse besondere Bedeutung.</w:t>
      </w:r>
    </w:p>
    <w:p w14:paraId="20081BC1" w14:textId="77777777" w:rsidR="00153B05" w:rsidRPr="00153B05" w:rsidRDefault="00153B05" w:rsidP="00153B05">
      <w:r w:rsidRPr="00153B05">
        <w:t>Nachhilfe unterscheidet sich von regulären Unterrichtssystemen durch:</w:t>
      </w:r>
    </w:p>
    <w:p w14:paraId="721D9014" w14:textId="77777777" w:rsidR="00153B05" w:rsidRPr="00153B05" w:rsidRDefault="00153B05" w:rsidP="00153B05">
      <w:pPr>
        <w:numPr>
          <w:ilvl w:val="0"/>
          <w:numId w:val="8"/>
        </w:numPr>
      </w:pPr>
      <w:r w:rsidRPr="00153B05">
        <w:t xml:space="preserve">kleine Gruppen </w:t>
      </w:r>
    </w:p>
    <w:p w14:paraId="732D4EB7" w14:textId="77777777" w:rsidR="00153B05" w:rsidRPr="00153B05" w:rsidRDefault="00153B05" w:rsidP="00153B05">
      <w:pPr>
        <w:numPr>
          <w:ilvl w:val="0"/>
          <w:numId w:val="8"/>
        </w:numPr>
      </w:pPr>
      <w:r w:rsidRPr="00153B05">
        <w:t xml:space="preserve">hohe Interaktionsdichte </w:t>
      </w:r>
    </w:p>
    <w:p w14:paraId="2C31C1A3" w14:textId="77777777" w:rsidR="00153B05" w:rsidRPr="00153B05" w:rsidRDefault="00153B05" w:rsidP="00153B05">
      <w:pPr>
        <w:numPr>
          <w:ilvl w:val="0"/>
          <w:numId w:val="8"/>
        </w:numPr>
      </w:pPr>
      <w:r w:rsidRPr="00153B05">
        <w:t xml:space="preserve">langfristige Betreuung </w:t>
      </w:r>
    </w:p>
    <w:p w14:paraId="0BDE4723" w14:textId="77777777" w:rsidR="00153B05" w:rsidRPr="00153B05" w:rsidRDefault="00153B05" w:rsidP="00153B05">
      <w:pPr>
        <w:numPr>
          <w:ilvl w:val="0"/>
          <w:numId w:val="8"/>
        </w:numPr>
      </w:pPr>
      <w:r w:rsidRPr="00153B05">
        <w:t xml:space="preserve">intensive Rückkopplungsprozesse </w:t>
      </w:r>
    </w:p>
    <w:p w14:paraId="695BB0AD" w14:textId="77777777" w:rsidR="00153B05" w:rsidRPr="00153B05" w:rsidRDefault="00153B05" w:rsidP="00153B05">
      <w:r w:rsidRPr="00153B05">
        <w:t>Gerade unter diesen Bedingungen entstehen Resonanzräume, in denen sich Lehrkraft- und Teilnehmerzustände gegenseitig stabilisieren können [7][8].</w:t>
      </w:r>
    </w:p>
    <w:p w14:paraId="7D95C811" w14:textId="77777777" w:rsidR="00153B05" w:rsidRPr="00153B05" w:rsidRDefault="00153B05" w:rsidP="00153B05">
      <w:r w:rsidRPr="00153B05">
        <w:t>Die hohe Resonanz deutet darauf hin, dass erfolgreiche Nachhilfe nicht allein über fachliche Wissensvermittlung beschrieben werden kann. Vielmehr entstehen offenbar gemeinsame semantische Zustandsräume, in denen kognitive, affektive, motivationale und regulatorische Prozesse eng miteinander verschränkt sind.</w:t>
      </w:r>
    </w:p>
    <w:p w14:paraId="7629319A" w14:textId="77777777" w:rsidR="00153B05" w:rsidRPr="00153B05" w:rsidRDefault="00153B05" w:rsidP="00153B05">
      <w:r w:rsidRPr="00153B05">
        <w:t>Didaktisch bedeutet dies:</w:t>
      </w:r>
    </w:p>
    <w:p w14:paraId="2560E3D9" w14:textId="77777777" w:rsidR="00153B05" w:rsidRPr="00153B05" w:rsidRDefault="00153B05" w:rsidP="00153B05">
      <w:pPr>
        <w:numPr>
          <w:ilvl w:val="0"/>
          <w:numId w:val="9"/>
        </w:numPr>
      </w:pPr>
      <w:r w:rsidRPr="00153B05">
        <w:t xml:space="preserve">Motivation wirkt nicht isoliert. </w:t>
      </w:r>
    </w:p>
    <w:p w14:paraId="1111BBE6" w14:textId="77777777" w:rsidR="00153B05" w:rsidRPr="00153B05" w:rsidRDefault="00153B05" w:rsidP="00153B05">
      <w:pPr>
        <w:numPr>
          <w:ilvl w:val="0"/>
          <w:numId w:val="9"/>
        </w:numPr>
      </w:pPr>
      <w:r w:rsidRPr="00153B05">
        <w:t xml:space="preserve">Kognition wirkt nicht isoliert. </w:t>
      </w:r>
    </w:p>
    <w:p w14:paraId="706225A4" w14:textId="77777777" w:rsidR="00153B05" w:rsidRPr="00153B05" w:rsidRDefault="00153B05" w:rsidP="00153B05">
      <w:pPr>
        <w:numPr>
          <w:ilvl w:val="0"/>
          <w:numId w:val="9"/>
        </w:numPr>
      </w:pPr>
      <w:r w:rsidRPr="00153B05">
        <w:t xml:space="preserve">Methodik wirkt nicht isoliert. </w:t>
      </w:r>
    </w:p>
    <w:p w14:paraId="004B0289" w14:textId="77777777" w:rsidR="00153B05" w:rsidRPr="00153B05" w:rsidRDefault="00153B05" w:rsidP="00153B05">
      <w:pPr>
        <w:numPr>
          <w:ilvl w:val="0"/>
          <w:numId w:val="9"/>
        </w:numPr>
      </w:pPr>
      <w:r w:rsidRPr="00153B05">
        <w:t xml:space="preserve">Regulation wirkt nicht isoliert. </w:t>
      </w:r>
    </w:p>
    <w:p w14:paraId="58AD0248" w14:textId="77777777" w:rsidR="00153B05" w:rsidRPr="00153B05" w:rsidRDefault="00153B05" w:rsidP="00153B05">
      <w:r w:rsidRPr="00153B05">
        <w:t>Vielmehr beeinflussen sich diese Dimensionen gegenseitig innerhalb eines gemeinsamen Resonanzfeldes.</w:t>
      </w:r>
    </w:p>
    <w:p w14:paraId="003D6D10" w14:textId="77777777" w:rsidR="00153B05" w:rsidRPr="00153B05" w:rsidRDefault="00153B05" w:rsidP="00153B05">
      <w:r w:rsidRPr="00153B05">
        <w:t xml:space="preserve">Die Ergebnisse unterstützen damit systemische Unterrichtsmodelle, welche Lernen als </w:t>
      </w:r>
      <w:proofErr w:type="spellStart"/>
      <w:r w:rsidRPr="00153B05">
        <w:t>ko</w:t>
      </w:r>
      <w:proofErr w:type="spellEnd"/>
      <w:r w:rsidRPr="00153B05">
        <w:t>-konstruktiven Prozess zwischen Lehrkraft und Lernenden verstehen [9][10].</w:t>
      </w:r>
    </w:p>
    <w:p w14:paraId="4F8DA5B3" w14:textId="77777777" w:rsidR="00153B05" w:rsidRPr="00153B05" w:rsidRDefault="00153B05" w:rsidP="00153B05">
      <w:r w:rsidRPr="00153B05">
        <w:pict w14:anchorId="1165EB60">
          <v:rect id="_x0000_i1086" style="width:0;height:1.5pt" o:hralign="center" o:hrstd="t" o:hr="t" fillcolor="#a0a0a0" stroked="f"/>
        </w:pict>
      </w:r>
    </w:p>
    <w:p w14:paraId="081AA849" w14:textId="77777777" w:rsidR="00153B05" w:rsidRPr="00153B05" w:rsidRDefault="00153B05" w:rsidP="00153B05">
      <w:pPr>
        <w:rPr>
          <w:b/>
        </w:rPr>
      </w:pPr>
      <w:r w:rsidRPr="00153B05">
        <w:rPr>
          <w:b/>
        </w:rPr>
        <w:t>6.x.4.G Konsequenzen für die Bildungsforschung</w:t>
      </w:r>
    </w:p>
    <w:p w14:paraId="01B6BBBC" w14:textId="77777777" w:rsidR="00153B05" w:rsidRPr="00153B05" w:rsidRDefault="00153B05" w:rsidP="00153B05">
      <w:r w:rsidRPr="00153B05">
        <w:lastRenderedPageBreak/>
        <w:t>Die vorliegenden Ergebnisse legen nahe, dass pädagogische Prozesse nicht ausschließlich über Leistungsdaten oder Einzelmerkmale analysiert werden sollten.</w:t>
      </w:r>
    </w:p>
    <w:p w14:paraId="5A4CCC26" w14:textId="77777777" w:rsidR="00153B05" w:rsidRPr="00153B05" w:rsidRDefault="00153B05" w:rsidP="00153B05">
      <w:r w:rsidRPr="00153B05">
        <w:t>Die hohe Resonanz zwischen Lehrkraft- und Teilnehmerraum spricht dafür, Unterricht als dynamisches Zustandsnetzwerk zu modellieren.</w:t>
      </w:r>
    </w:p>
    <w:p w14:paraId="4F40B821" w14:textId="77777777" w:rsidR="00153B05" w:rsidRPr="00153B05" w:rsidRDefault="00153B05" w:rsidP="00153B05">
      <w:r w:rsidRPr="00153B05">
        <w:t>Für die Bildungsforschung ergeben sich daraus drei Konsequenzen:</w:t>
      </w:r>
    </w:p>
    <w:p w14:paraId="00E4B12B" w14:textId="77777777" w:rsidR="00153B05" w:rsidRPr="00153B05" w:rsidRDefault="00153B05" w:rsidP="00153B05">
      <w:pPr>
        <w:numPr>
          <w:ilvl w:val="0"/>
          <w:numId w:val="10"/>
        </w:numPr>
      </w:pPr>
      <w:r w:rsidRPr="00153B05">
        <w:t xml:space="preserve">Unterricht sollte stärker als dynamisches System untersucht werden. </w:t>
      </w:r>
    </w:p>
    <w:p w14:paraId="606D76AA" w14:textId="77777777" w:rsidR="00153B05" w:rsidRPr="00153B05" w:rsidRDefault="00153B05" w:rsidP="00153B05">
      <w:pPr>
        <w:numPr>
          <w:ilvl w:val="0"/>
          <w:numId w:val="10"/>
        </w:numPr>
      </w:pPr>
      <w:r w:rsidRPr="00153B05">
        <w:t xml:space="preserve">Lehrkraft- und Teilnehmerperspektive sollten gemeinsam analysiert werden. </w:t>
      </w:r>
    </w:p>
    <w:p w14:paraId="626E52DD" w14:textId="77777777" w:rsidR="00153B05" w:rsidRPr="00153B05" w:rsidRDefault="00153B05" w:rsidP="00153B05">
      <w:pPr>
        <w:numPr>
          <w:ilvl w:val="0"/>
          <w:numId w:val="10"/>
        </w:numPr>
      </w:pPr>
      <w:r w:rsidRPr="00153B05">
        <w:t xml:space="preserve">Semantische Zustandsräume könnten zukünftig als neue Analyseebene zwischen klassischer Unterrichtsforschung und Learning Analytics dienen. </w:t>
      </w:r>
    </w:p>
    <w:p w14:paraId="3D6DDE4C" w14:textId="77777777" w:rsidR="00153B05" w:rsidRPr="00153B05" w:rsidRDefault="00153B05" w:rsidP="00153B05">
      <w:r w:rsidRPr="00153B05">
        <w:t>Das FRZK eröffnet damit die Möglichkeit, pädagogische Interaktionen nicht nur qualitativ zu beschreiben, sondern quantitativ als Resonanzstrukturen abzubilden.</w:t>
      </w:r>
    </w:p>
    <w:p w14:paraId="3AF5E6AC" w14:textId="77777777" w:rsidR="00153B05" w:rsidRPr="00153B05" w:rsidRDefault="00153B05" w:rsidP="00153B05">
      <w:r w:rsidRPr="00153B05">
        <w:pict w14:anchorId="0E038371">
          <v:rect id="_x0000_i1087" style="width:0;height:1.5pt" o:hralign="center" o:hrstd="t" o:hr="t" fillcolor="#a0a0a0" stroked="f"/>
        </w:pict>
      </w:r>
    </w:p>
    <w:p w14:paraId="069F1EE4" w14:textId="77777777" w:rsidR="00153B05" w:rsidRPr="00153B05" w:rsidRDefault="00153B05" w:rsidP="00153B05">
      <w:pPr>
        <w:rPr>
          <w:b/>
        </w:rPr>
      </w:pPr>
      <w:r w:rsidRPr="00153B05">
        <w:rPr>
          <w:b/>
        </w:rPr>
        <w:t>Literaturverzeichnis</w:t>
      </w:r>
    </w:p>
    <w:p w14:paraId="2170D278" w14:textId="77777777" w:rsidR="00153B05" w:rsidRPr="00153B05" w:rsidRDefault="00153B05" w:rsidP="00153B05">
      <w:r w:rsidRPr="00153B05">
        <w:t xml:space="preserve">[1] Hattie, J. (2009). </w:t>
      </w:r>
      <w:r w:rsidRPr="00153B05">
        <w:rPr>
          <w:i/>
          <w:iCs/>
        </w:rPr>
        <w:t>Visible Learning</w:t>
      </w:r>
      <w:r w:rsidRPr="00153B05">
        <w:t>. Routledge.</w:t>
      </w:r>
    </w:p>
    <w:p w14:paraId="0046FD92" w14:textId="77777777" w:rsidR="00153B05" w:rsidRPr="00153B05" w:rsidRDefault="00153B05" w:rsidP="00153B05">
      <w:r w:rsidRPr="00153B05">
        <w:t xml:space="preserve">[2] Helmke, A. (2022). </w:t>
      </w:r>
      <w:r w:rsidRPr="00153B05">
        <w:rPr>
          <w:i/>
          <w:iCs/>
        </w:rPr>
        <w:t>Unterrichtsqualität und Lehrerprofessionalität</w:t>
      </w:r>
      <w:r w:rsidRPr="00153B05">
        <w:t>. Klett.</w:t>
      </w:r>
    </w:p>
    <w:p w14:paraId="3E7A7174" w14:textId="77777777" w:rsidR="00153B05" w:rsidRPr="00153B05" w:rsidRDefault="00153B05" w:rsidP="00153B05">
      <w:r w:rsidRPr="00153B05">
        <w:t xml:space="preserve">[3] Manning, C. D., </w:t>
      </w:r>
      <w:proofErr w:type="spellStart"/>
      <w:r w:rsidRPr="00153B05">
        <w:t>Raghavan</w:t>
      </w:r>
      <w:proofErr w:type="spellEnd"/>
      <w:r w:rsidRPr="00153B05">
        <w:t xml:space="preserve">, P., &amp; Schütze, H. (2008). </w:t>
      </w:r>
      <w:proofErr w:type="spellStart"/>
      <w:r w:rsidRPr="00153B05">
        <w:rPr>
          <w:i/>
          <w:iCs/>
        </w:rPr>
        <w:t>Introduction</w:t>
      </w:r>
      <w:proofErr w:type="spellEnd"/>
      <w:r w:rsidRPr="00153B05">
        <w:rPr>
          <w:i/>
          <w:iCs/>
        </w:rPr>
        <w:t xml:space="preserve"> </w:t>
      </w:r>
      <w:proofErr w:type="spellStart"/>
      <w:r w:rsidRPr="00153B05">
        <w:rPr>
          <w:i/>
          <w:iCs/>
        </w:rPr>
        <w:t>to</w:t>
      </w:r>
      <w:proofErr w:type="spellEnd"/>
      <w:r w:rsidRPr="00153B05">
        <w:rPr>
          <w:i/>
          <w:iCs/>
        </w:rPr>
        <w:t xml:space="preserve"> Information Retrieval</w:t>
      </w:r>
      <w:r w:rsidRPr="00153B05">
        <w:t>. Cambridge University Press.</w:t>
      </w:r>
    </w:p>
    <w:p w14:paraId="7A5F3772" w14:textId="77777777" w:rsidR="00153B05" w:rsidRPr="00153B05" w:rsidRDefault="00153B05" w:rsidP="00153B05">
      <w:r w:rsidRPr="00153B05">
        <w:t xml:space="preserve">[4] Han, J., Kamber, M., &amp; Pei, J. (2022). </w:t>
      </w:r>
      <w:r w:rsidRPr="00153B05">
        <w:rPr>
          <w:i/>
          <w:iCs/>
        </w:rPr>
        <w:t xml:space="preserve">Data Mining: </w:t>
      </w:r>
      <w:proofErr w:type="spellStart"/>
      <w:r w:rsidRPr="00153B05">
        <w:rPr>
          <w:i/>
          <w:iCs/>
        </w:rPr>
        <w:t>Concepts</w:t>
      </w:r>
      <w:proofErr w:type="spellEnd"/>
      <w:r w:rsidRPr="00153B05">
        <w:rPr>
          <w:i/>
          <w:iCs/>
        </w:rPr>
        <w:t xml:space="preserve"> and </w:t>
      </w:r>
      <w:proofErr w:type="spellStart"/>
      <w:r w:rsidRPr="00153B05">
        <w:rPr>
          <w:i/>
          <w:iCs/>
        </w:rPr>
        <w:t>Techniques</w:t>
      </w:r>
      <w:proofErr w:type="spellEnd"/>
      <w:r w:rsidRPr="00153B05">
        <w:t>. Morgan Kaufmann.</w:t>
      </w:r>
    </w:p>
    <w:p w14:paraId="31DF0381" w14:textId="77777777" w:rsidR="00153B05" w:rsidRPr="00153B05" w:rsidRDefault="00153B05" w:rsidP="00153B05">
      <w:r w:rsidRPr="00153B05">
        <w:t xml:space="preserve">[5] Cohen, J. (1988). </w:t>
      </w:r>
      <w:r w:rsidRPr="00153B05">
        <w:rPr>
          <w:i/>
          <w:iCs/>
        </w:rPr>
        <w:t xml:space="preserve">Statistical Power Analysis </w:t>
      </w:r>
      <w:proofErr w:type="spellStart"/>
      <w:r w:rsidRPr="00153B05">
        <w:rPr>
          <w:i/>
          <w:iCs/>
        </w:rPr>
        <w:t>for</w:t>
      </w:r>
      <w:proofErr w:type="spellEnd"/>
      <w:r w:rsidRPr="00153B05">
        <w:rPr>
          <w:i/>
          <w:iCs/>
        </w:rPr>
        <w:t xml:space="preserve"> </w:t>
      </w:r>
      <w:proofErr w:type="spellStart"/>
      <w:r w:rsidRPr="00153B05">
        <w:rPr>
          <w:i/>
          <w:iCs/>
        </w:rPr>
        <w:t>the</w:t>
      </w:r>
      <w:proofErr w:type="spellEnd"/>
      <w:r w:rsidRPr="00153B05">
        <w:rPr>
          <w:i/>
          <w:iCs/>
        </w:rPr>
        <w:t xml:space="preserve"> Behavioral Sciences</w:t>
      </w:r>
      <w:r w:rsidRPr="00153B05">
        <w:t>. Erlbaum.</w:t>
      </w:r>
    </w:p>
    <w:p w14:paraId="539645B4" w14:textId="77777777" w:rsidR="00153B05" w:rsidRPr="00153B05" w:rsidRDefault="00153B05" w:rsidP="00153B05">
      <w:r w:rsidRPr="00153B05">
        <w:t xml:space="preserve">[6] Pearl, J. (2009). </w:t>
      </w:r>
      <w:proofErr w:type="spellStart"/>
      <w:r w:rsidRPr="00153B05">
        <w:rPr>
          <w:i/>
          <w:iCs/>
        </w:rPr>
        <w:t>Causality</w:t>
      </w:r>
      <w:proofErr w:type="spellEnd"/>
      <w:r w:rsidRPr="00153B05">
        <w:rPr>
          <w:i/>
          <w:iCs/>
        </w:rPr>
        <w:t xml:space="preserve">: Models, </w:t>
      </w:r>
      <w:proofErr w:type="spellStart"/>
      <w:r w:rsidRPr="00153B05">
        <w:rPr>
          <w:i/>
          <w:iCs/>
        </w:rPr>
        <w:t>Reasoning</w:t>
      </w:r>
      <w:proofErr w:type="spellEnd"/>
      <w:r w:rsidRPr="00153B05">
        <w:rPr>
          <w:i/>
          <w:iCs/>
        </w:rPr>
        <w:t xml:space="preserve"> and </w:t>
      </w:r>
      <w:proofErr w:type="spellStart"/>
      <w:r w:rsidRPr="00153B05">
        <w:rPr>
          <w:i/>
          <w:iCs/>
        </w:rPr>
        <w:t>Inference</w:t>
      </w:r>
      <w:proofErr w:type="spellEnd"/>
      <w:r w:rsidRPr="00153B05">
        <w:t>. Cambridge University Press.</w:t>
      </w:r>
    </w:p>
    <w:p w14:paraId="46FCDC10" w14:textId="77777777" w:rsidR="00153B05" w:rsidRPr="00153B05" w:rsidRDefault="00153B05" w:rsidP="00153B05">
      <w:r w:rsidRPr="00153B05">
        <w:t xml:space="preserve">[7] Cornelius-White, J. (2007). </w:t>
      </w:r>
      <w:proofErr w:type="spellStart"/>
      <w:r w:rsidRPr="00153B05">
        <w:t>Learner-centered</w:t>
      </w:r>
      <w:proofErr w:type="spellEnd"/>
      <w:r w:rsidRPr="00153B05">
        <w:t xml:space="preserve"> </w:t>
      </w:r>
      <w:proofErr w:type="spellStart"/>
      <w:r w:rsidRPr="00153B05">
        <w:t>teacher</w:t>
      </w:r>
      <w:proofErr w:type="spellEnd"/>
      <w:r w:rsidRPr="00153B05">
        <w:t xml:space="preserve">-student </w:t>
      </w:r>
      <w:proofErr w:type="spellStart"/>
      <w:r w:rsidRPr="00153B05">
        <w:t>relationships</w:t>
      </w:r>
      <w:proofErr w:type="spellEnd"/>
      <w:r w:rsidRPr="00153B05">
        <w:t xml:space="preserve"> </w:t>
      </w:r>
      <w:proofErr w:type="spellStart"/>
      <w:r w:rsidRPr="00153B05">
        <w:t>are</w:t>
      </w:r>
      <w:proofErr w:type="spellEnd"/>
      <w:r w:rsidRPr="00153B05">
        <w:t xml:space="preserve"> </w:t>
      </w:r>
      <w:proofErr w:type="spellStart"/>
      <w:r w:rsidRPr="00153B05">
        <w:t>effective</w:t>
      </w:r>
      <w:proofErr w:type="spellEnd"/>
      <w:r w:rsidRPr="00153B05">
        <w:t xml:space="preserve">. </w:t>
      </w:r>
      <w:r w:rsidRPr="00153B05">
        <w:rPr>
          <w:i/>
          <w:iCs/>
        </w:rPr>
        <w:t xml:space="preserve">Review </w:t>
      </w:r>
      <w:proofErr w:type="spellStart"/>
      <w:r w:rsidRPr="00153B05">
        <w:rPr>
          <w:i/>
          <w:iCs/>
        </w:rPr>
        <w:t>of</w:t>
      </w:r>
      <w:proofErr w:type="spellEnd"/>
      <w:r w:rsidRPr="00153B05">
        <w:rPr>
          <w:i/>
          <w:iCs/>
        </w:rPr>
        <w:t xml:space="preserve"> Educational Research</w:t>
      </w:r>
      <w:r w:rsidRPr="00153B05">
        <w:t>, 77(1), 113–143.</w:t>
      </w:r>
    </w:p>
    <w:p w14:paraId="6D932B33" w14:textId="77777777" w:rsidR="00153B05" w:rsidRPr="00153B05" w:rsidRDefault="00153B05" w:rsidP="00153B05">
      <w:r w:rsidRPr="00153B05">
        <w:t xml:space="preserve">[8] Wentzel, K. R. (2012). Teacher-student </w:t>
      </w:r>
      <w:proofErr w:type="spellStart"/>
      <w:r w:rsidRPr="00153B05">
        <w:t>relationships</w:t>
      </w:r>
      <w:proofErr w:type="spellEnd"/>
      <w:r w:rsidRPr="00153B05">
        <w:t xml:space="preserve"> and </w:t>
      </w:r>
      <w:proofErr w:type="spellStart"/>
      <w:r w:rsidRPr="00153B05">
        <w:t>adolescent</w:t>
      </w:r>
      <w:proofErr w:type="spellEnd"/>
      <w:r w:rsidRPr="00153B05">
        <w:t xml:space="preserve"> </w:t>
      </w:r>
      <w:proofErr w:type="spellStart"/>
      <w:r w:rsidRPr="00153B05">
        <w:t>competence</w:t>
      </w:r>
      <w:proofErr w:type="spellEnd"/>
      <w:r w:rsidRPr="00153B05">
        <w:t xml:space="preserve">. In </w:t>
      </w:r>
      <w:r w:rsidRPr="00153B05">
        <w:rPr>
          <w:i/>
          <w:iCs/>
        </w:rPr>
        <w:t xml:space="preserve">Handbook </w:t>
      </w:r>
      <w:proofErr w:type="spellStart"/>
      <w:r w:rsidRPr="00153B05">
        <w:rPr>
          <w:i/>
          <w:iCs/>
        </w:rPr>
        <w:t>of</w:t>
      </w:r>
      <w:proofErr w:type="spellEnd"/>
      <w:r w:rsidRPr="00153B05">
        <w:rPr>
          <w:i/>
          <w:iCs/>
        </w:rPr>
        <w:t xml:space="preserve"> Research on Student Engagement</w:t>
      </w:r>
      <w:r w:rsidRPr="00153B05">
        <w:t>.</w:t>
      </w:r>
    </w:p>
    <w:p w14:paraId="41ED381E" w14:textId="77777777" w:rsidR="00153B05" w:rsidRPr="00153B05" w:rsidRDefault="00153B05" w:rsidP="00153B05">
      <w:r w:rsidRPr="00153B05">
        <w:t xml:space="preserve">[9] Pennings, H. J. M. et al. (2014). Real-time </w:t>
      </w:r>
      <w:proofErr w:type="spellStart"/>
      <w:r w:rsidRPr="00153B05">
        <w:t>teacher</w:t>
      </w:r>
      <w:proofErr w:type="spellEnd"/>
      <w:r w:rsidRPr="00153B05">
        <w:t xml:space="preserve">-student </w:t>
      </w:r>
      <w:proofErr w:type="spellStart"/>
      <w:r w:rsidRPr="00153B05">
        <w:t>interactions</w:t>
      </w:r>
      <w:proofErr w:type="spellEnd"/>
      <w:r w:rsidRPr="00153B05">
        <w:t xml:space="preserve">: A Dynamic Systems </w:t>
      </w:r>
      <w:proofErr w:type="spellStart"/>
      <w:r w:rsidRPr="00153B05">
        <w:t>approach</w:t>
      </w:r>
      <w:proofErr w:type="spellEnd"/>
      <w:r w:rsidRPr="00153B05">
        <w:t xml:space="preserve">. </w:t>
      </w:r>
      <w:r w:rsidRPr="00153B05">
        <w:rPr>
          <w:i/>
          <w:iCs/>
        </w:rPr>
        <w:t>Teaching and Teacher Education</w:t>
      </w:r>
      <w:r w:rsidRPr="00153B05">
        <w:t>, 37, 183–193.</w:t>
      </w:r>
    </w:p>
    <w:p w14:paraId="448EA2A7" w14:textId="77777777" w:rsidR="00153B05" w:rsidRPr="00153B05" w:rsidRDefault="00153B05" w:rsidP="00153B05">
      <w:r w:rsidRPr="00153B05">
        <w:t>[10] Reindl, V. et al. (2024). Classroom-</w:t>
      </w:r>
      <w:proofErr w:type="spellStart"/>
      <w:r w:rsidRPr="00153B05">
        <w:t>based</w:t>
      </w:r>
      <w:proofErr w:type="spellEnd"/>
      <w:r w:rsidRPr="00153B05">
        <w:t xml:space="preserve"> </w:t>
      </w:r>
      <w:proofErr w:type="spellStart"/>
      <w:r w:rsidRPr="00153B05">
        <w:t>learning</w:t>
      </w:r>
      <w:proofErr w:type="spellEnd"/>
      <w:r w:rsidRPr="00153B05">
        <w:t xml:space="preserve"> </w:t>
      </w:r>
      <w:proofErr w:type="spellStart"/>
      <w:r w:rsidRPr="00153B05">
        <w:t>dynamics</w:t>
      </w:r>
      <w:proofErr w:type="spellEnd"/>
      <w:r w:rsidRPr="00153B05">
        <w:t xml:space="preserve">: The </w:t>
      </w:r>
      <w:proofErr w:type="spellStart"/>
      <w:r w:rsidRPr="00153B05">
        <w:t>role</w:t>
      </w:r>
      <w:proofErr w:type="spellEnd"/>
      <w:r w:rsidRPr="00153B05">
        <w:t xml:space="preserve"> </w:t>
      </w:r>
      <w:proofErr w:type="spellStart"/>
      <w:r w:rsidRPr="00153B05">
        <w:t>of</w:t>
      </w:r>
      <w:proofErr w:type="spellEnd"/>
      <w:r w:rsidRPr="00153B05">
        <w:t xml:space="preserve"> </w:t>
      </w:r>
      <w:proofErr w:type="spellStart"/>
      <w:r w:rsidRPr="00153B05">
        <w:t>interbrain</w:t>
      </w:r>
      <w:proofErr w:type="spellEnd"/>
      <w:r w:rsidRPr="00153B05">
        <w:t xml:space="preserve"> </w:t>
      </w:r>
      <w:proofErr w:type="spellStart"/>
      <w:r w:rsidRPr="00153B05">
        <w:t>synchrony</w:t>
      </w:r>
      <w:proofErr w:type="spellEnd"/>
      <w:r w:rsidRPr="00153B05">
        <w:t xml:space="preserve">. </w:t>
      </w:r>
      <w:r w:rsidRPr="00153B05">
        <w:rPr>
          <w:i/>
          <w:iCs/>
        </w:rPr>
        <w:t xml:space="preserve">Trends in </w:t>
      </w:r>
      <w:proofErr w:type="spellStart"/>
      <w:r w:rsidRPr="00153B05">
        <w:rPr>
          <w:i/>
          <w:iCs/>
        </w:rPr>
        <w:t>Cognitive</w:t>
      </w:r>
      <w:proofErr w:type="spellEnd"/>
      <w:r w:rsidRPr="00153B05">
        <w:rPr>
          <w:i/>
          <w:iCs/>
        </w:rPr>
        <w:t xml:space="preserve"> Sciences</w:t>
      </w:r>
      <w:r w:rsidRPr="00153B05">
        <w:t>, 28(2), 102–118.</w:t>
      </w:r>
    </w:p>
    <w:p w14:paraId="02A998FB"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500E8E"/>
    <w:multiLevelType w:val="multilevel"/>
    <w:tmpl w:val="026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C5020"/>
    <w:multiLevelType w:val="multilevel"/>
    <w:tmpl w:val="600E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42448"/>
    <w:multiLevelType w:val="multilevel"/>
    <w:tmpl w:val="26F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A137CA"/>
    <w:multiLevelType w:val="multilevel"/>
    <w:tmpl w:val="10BC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66537E"/>
    <w:multiLevelType w:val="multilevel"/>
    <w:tmpl w:val="B5B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1"/>
  </w:num>
  <w:num w:numId="3" w16cid:durableId="66727205">
    <w:abstractNumId w:val="3"/>
  </w:num>
  <w:num w:numId="4" w16cid:durableId="998769572">
    <w:abstractNumId w:val="7"/>
  </w:num>
  <w:num w:numId="5" w16cid:durableId="15216999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6257044">
    <w:abstractNumId w:val="5"/>
  </w:num>
  <w:num w:numId="7" w16cid:durableId="182476488">
    <w:abstractNumId w:val="6"/>
  </w:num>
  <w:num w:numId="8" w16cid:durableId="1798453375">
    <w:abstractNumId w:val="8"/>
  </w:num>
  <w:num w:numId="9" w16cid:durableId="1349215633">
    <w:abstractNumId w:val="2"/>
  </w:num>
  <w:num w:numId="10" w16cid:durableId="91373381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B05"/>
    <w:rsid w:val="00003048"/>
    <w:rsid w:val="000467F2"/>
    <w:rsid w:val="00082214"/>
    <w:rsid w:val="000B0C44"/>
    <w:rsid w:val="00103784"/>
    <w:rsid w:val="00106528"/>
    <w:rsid w:val="00153B05"/>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B3395"/>
    <w:rsid w:val="00706409"/>
    <w:rsid w:val="007115B7"/>
    <w:rsid w:val="00795695"/>
    <w:rsid w:val="007A3369"/>
    <w:rsid w:val="007B7DE7"/>
    <w:rsid w:val="007E333F"/>
    <w:rsid w:val="00852D2E"/>
    <w:rsid w:val="008871CF"/>
    <w:rsid w:val="008B0C43"/>
    <w:rsid w:val="008C4935"/>
    <w:rsid w:val="009032D7"/>
    <w:rsid w:val="00997246"/>
    <w:rsid w:val="009D04D3"/>
    <w:rsid w:val="00A307C9"/>
    <w:rsid w:val="00AA4222"/>
    <w:rsid w:val="00AF6392"/>
    <w:rsid w:val="00B04313"/>
    <w:rsid w:val="00B25075"/>
    <w:rsid w:val="00B53EE0"/>
    <w:rsid w:val="00B873C2"/>
    <w:rsid w:val="00BA664A"/>
    <w:rsid w:val="00C2343F"/>
    <w:rsid w:val="00C6537C"/>
    <w:rsid w:val="00CD2089"/>
    <w:rsid w:val="00D33BDA"/>
    <w:rsid w:val="00D44FE7"/>
    <w:rsid w:val="00D542C6"/>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A641A"/>
  <w15:chartTrackingRefBased/>
  <w15:docId w15:val="{18603A34-373B-48A6-8F9F-1FDCC1BC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750078277">
      <w:bodyDiv w:val="1"/>
      <w:marLeft w:val="0"/>
      <w:marRight w:val="0"/>
      <w:marTop w:val="0"/>
      <w:marBottom w:val="0"/>
      <w:divBdr>
        <w:top w:val="none" w:sz="0" w:space="0" w:color="auto"/>
        <w:left w:val="none" w:sz="0" w:space="0" w:color="auto"/>
        <w:bottom w:val="none" w:sz="0" w:space="0" w:color="auto"/>
        <w:right w:val="none" w:sz="0" w:space="0" w:color="auto"/>
      </w:divBdr>
      <w:divsChild>
        <w:div w:id="198950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21828">
          <w:marLeft w:val="0"/>
          <w:marRight w:val="0"/>
          <w:marTop w:val="0"/>
          <w:marBottom w:val="0"/>
          <w:divBdr>
            <w:top w:val="none" w:sz="0" w:space="0" w:color="auto"/>
            <w:left w:val="none" w:sz="0" w:space="0" w:color="auto"/>
            <w:bottom w:val="none" w:sz="0" w:space="0" w:color="auto"/>
            <w:right w:val="none" w:sz="0" w:space="0" w:color="auto"/>
          </w:divBdr>
          <w:divsChild>
            <w:div w:id="463276231">
              <w:marLeft w:val="0"/>
              <w:marRight w:val="0"/>
              <w:marTop w:val="0"/>
              <w:marBottom w:val="0"/>
              <w:divBdr>
                <w:top w:val="none" w:sz="0" w:space="0" w:color="auto"/>
                <w:left w:val="none" w:sz="0" w:space="0" w:color="auto"/>
                <w:bottom w:val="none" w:sz="0" w:space="0" w:color="auto"/>
                <w:right w:val="none" w:sz="0" w:space="0" w:color="auto"/>
              </w:divBdr>
            </w:div>
          </w:divsChild>
        </w:div>
        <w:div w:id="1477339053">
          <w:marLeft w:val="0"/>
          <w:marRight w:val="0"/>
          <w:marTop w:val="0"/>
          <w:marBottom w:val="0"/>
          <w:divBdr>
            <w:top w:val="none" w:sz="0" w:space="0" w:color="auto"/>
            <w:left w:val="none" w:sz="0" w:space="0" w:color="auto"/>
            <w:bottom w:val="none" w:sz="0" w:space="0" w:color="auto"/>
            <w:right w:val="none" w:sz="0" w:space="0" w:color="auto"/>
          </w:divBdr>
          <w:divsChild>
            <w:div w:id="149955245">
              <w:marLeft w:val="0"/>
              <w:marRight w:val="0"/>
              <w:marTop w:val="0"/>
              <w:marBottom w:val="0"/>
              <w:divBdr>
                <w:top w:val="none" w:sz="0" w:space="0" w:color="auto"/>
                <w:left w:val="none" w:sz="0" w:space="0" w:color="auto"/>
                <w:bottom w:val="none" w:sz="0" w:space="0" w:color="auto"/>
                <w:right w:val="none" w:sz="0" w:space="0" w:color="auto"/>
              </w:divBdr>
            </w:div>
          </w:divsChild>
        </w:div>
        <w:div w:id="190536822">
          <w:marLeft w:val="0"/>
          <w:marRight w:val="0"/>
          <w:marTop w:val="0"/>
          <w:marBottom w:val="0"/>
          <w:divBdr>
            <w:top w:val="none" w:sz="0" w:space="0" w:color="auto"/>
            <w:left w:val="none" w:sz="0" w:space="0" w:color="auto"/>
            <w:bottom w:val="none" w:sz="0" w:space="0" w:color="auto"/>
            <w:right w:val="none" w:sz="0" w:space="0" w:color="auto"/>
          </w:divBdr>
          <w:divsChild>
            <w:div w:id="230043154">
              <w:marLeft w:val="0"/>
              <w:marRight w:val="0"/>
              <w:marTop w:val="0"/>
              <w:marBottom w:val="0"/>
              <w:divBdr>
                <w:top w:val="none" w:sz="0" w:space="0" w:color="auto"/>
                <w:left w:val="none" w:sz="0" w:space="0" w:color="auto"/>
                <w:bottom w:val="none" w:sz="0" w:space="0" w:color="auto"/>
                <w:right w:val="none" w:sz="0" w:space="0" w:color="auto"/>
              </w:divBdr>
            </w:div>
          </w:divsChild>
        </w:div>
        <w:div w:id="1017342445">
          <w:marLeft w:val="0"/>
          <w:marRight w:val="0"/>
          <w:marTop w:val="0"/>
          <w:marBottom w:val="0"/>
          <w:divBdr>
            <w:top w:val="none" w:sz="0" w:space="0" w:color="auto"/>
            <w:left w:val="none" w:sz="0" w:space="0" w:color="auto"/>
            <w:bottom w:val="none" w:sz="0" w:space="0" w:color="auto"/>
            <w:right w:val="none" w:sz="0" w:space="0" w:color="auto"/>
          </w:divBdr>
          <w:divsChild>
            <w:div w:id="3294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745299693">
      <w:bodyDiv w:val="1"/>
      <w:marLeft w:val="0"/>
      <w:marRight w:val="0"/>
      <w:marTop w:val="0"/>
      <w:marBottom w:val="0"/>
      <w:divBdr>
        <w:top w:val="none" w:sz="0" w:space="0" w:color="auto"/>
        <w:left w:val="none" w:sz="0" w:space="0" w:color="auto"/>
        <w:bottom w:val="none" w:sz="0" w:space="0" w:color="auto"/>
        <w:right w:val="none" w:sz="0" w:space="0" w:color="auto"/>
      </w:divBdr>
      <w:divsChild>
        <w:div w:id="148631240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607709">
          <w:marLeft w:val="0"/>
          <w:marRight w:val="0"/>
          <w:marTop w:val="0"/>
          <w:marBottom w:val="0"/>
          <w:divBdr>
            <w:top w:val="none" w:sz="0" w:space="0" w:color="auto"/>
            <w:left w:val="none" w:sz="0" w:space="0" w:color="auto"/>
            <w:bottom w:val="none" w:sz="0" w:space="0" w:color="auto"/>
            <w:right w:val="none" w:sz="0" w:space="0" w:color="auto"/>
          </w:divBdr>
          <w:divsChild>
            <w:div w:id="1348292001">
              <w:marLeft w:val="0"/>
              <w:marRight w:val="0"/>
              <w:marTop w:val="0"/>
              <w:marBottom w:val="0"/>
              <w:divBdr>
                <w:top w:val="none" w:sz="0" w:space="0" w:color="auto"/>
                <w:left w:val="none" w:sz="0" w:space="0" w:color="auto"/>
                <w:bottom w:val="none" w:sz="0" w:space="0" w:color="auto"/>
                <w:right w:val="none" w:sz="0" w:space="0" w:color="auto"/>
              </w:divBdr>
            </w:div>
          </w:divsChild>
        </w:div>
        <w:div w:id="1609317682">
          <w:marLeft w:val="0"/>
          <w:marRight w:val="0"/>
          <w:marTop w:val="0"/>
          <w:marBottom w:val="0"/>
          <w:divBdr>
            <w:top w:val="none" w:sz="0" w:space="0" w:color="auto"/>
            <w:left w:val="none" w:sz="0" w:space="0" w:color="auto"/>
            <w:bottom w:val="none" w:sz="0" w:space="0" w:color="auto"/>
            <w:right w:val="none" w:sz="0" w:space="0" w:color="auto"/>
          </w:divBdr>
          <w:divsChild>
            <w:div w:id="364527236">
              <w:marLeft w:val="0"/>
              <w:marRight w:val="0"/>
              <w:marTop w:val="0"/>
              <w:marBottom w:val="0"/>
              <w:divBdr>
                <w:top w:val="none" w:sz="0" w:space="0" w:color="auto"/>
                <w:left w:val="none" w:sz="0" w:space="0" w:color="auto"/>
                <w:bottom w:val="none" w:sz="0" w:space="0" w:color="auto"/>
                <w:right w:val="none" w:sz="0" w:space="0" w:color="auto"/>
              </w:divBdr>
            </w:div>
          </w:divsChild>
        </w:div>
        <w:div w:id="1753358970">
          <w:marLeft w:val="0"/>
          <w:marRight w:val="0"/>
          <w:marTop w:val="0"/>
          <w:marBottom w:val="0"/>
          <w:divBdr>
            <w:top w:val="none" w:sz="0" w:space="0" w:color="auto"/>
            <w:left w:val="none" w:sz="0" w:space="0" w:color="auto"/>
            <w:bottom w:val="none" w:sz="0" w:space="0" w:color="auto"/>
            <w:right w:val="none" w:sz="0" w:space="0" w:color="auto"/>
          </w:divBdr>
          <w:divsChild>
            <w:div w:id="293561724">
              <w:marLeft w:val="0"/>
              <w:marRight w:val="0"/>
              <w:marTop w:val="0"/>
              <w:marBottom w:val="0"/>
              <w:divBdr>
                <w:top w:val="none" w:sz="0" w:space="0" w:color="auto"/>
                <w:left w:val="none" w:sz="0" w:space="0" w:color="auto"/>
                <w:bottom w:val="none" w:sz="0" w:space="0" w:color="auto"/>
                <w:right w:val="none" w:sz="0" w:space="0" w:color="auto"/>
              </w:divBdr>
            </w:div>
          </w:divsChild>
        </w:div>
        <w:div w:id="71396100">
          <w:marLeft w:val="0"/>
          <w:marRight w:val="0"/>
          <w:marTop w:val="0"/>
          <w:marBottom w:val="0"/>
          <w:divBdr>
            <w:top w:val="none" w:sz="0" w:space="0" w:color="auto"/>
            <w:left w:val="none" w:sz="0" w:space="0" w:color="auto"/>
            <w:bottom w:val="none" w:sz="0" w:space="0" w:color="auto"/>
            <w:right w:val="none" w:sz="0" w:space="0" w:color="auto"/>
          </w:divBdr>
          <w:divsChild>
            <w:div w:id="13225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5</Pages>
  <Words>1098</Words>
  <Characters>6921</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2026-05-31T06:21:00Z</dcterms:created>
  <dcterms:modified xsi:type="dcterms:W3CDTF">2026-05-31T06:24:00Z</dcterms:modified>
</cp:coreProperties>
</file>