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Anlage 6.x.4.A – Technische Anlage zur globalen semantischen Resonanzkopplung</w:t>
      </w:r>
    </w:p>
    <w:p>
      <w:pPr>
        <w:jc w:val="center"/>
      </w:pPr>
      <w:r>
        <w:t>Gegenstand: 6.x.4 Globale semantische Resonanzkopplung zwischen Lehrkraft- und Teilnehmerraum</w:t>
      </w:r>
    </w:p>
    <w:p>
      <w:pPr>
        <w:jc w:val="center"/>
      </w:pPr>
      <w:r>
        <w:t>Datenbasis: match_tn_daten_analyze_lehrkraft; JSON-Datei: 6x4_globale_semantische_resonanz_match.json</w:t>
      </w:r>
    </w:p>
    <w:p>
      <w:pPr>
        <w:pStyle w:val="Heading1"/>
      </w:pPr>
      <w:r>
        <w:t>1. Zweck der technischen Anlage</w:t>
      </w:r>
    </w:p>
    <w:p>
      <w:r>
        <w:t>Diese Anlage dokumentiert die technische Auswertung der globalen semantischen Resonanzkopplung. Ziel ist nicht die erneute theoretische Deutung, sondern die transparente Nachvollziehbarkeit der Datenbasis, der verwendeten Dateien, der Kennwerte und der erzeugten Grafiken. Die Anlage belegt die im Haupttext angeführte hohe strukturelle Ähnlichkeit zwischen Teilnehmer- und Lehrkraftvektoren im siebendimensionalen FRZK-Raum.</w:t>
      </w:r>
    </w:p>
    <w:p>
      <w:pPr>
        <w:pStyle w:val="Heading1"/>
      </w:pPr>
      <w:r>
        <w:t>2. Verwendete Eingabe- und Ausgabedateien</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9EAF7"/>
          </w:tcPr>
          <w:p>
            <w:r>
              <w:rPr>
                <w:b/>
                <w:sz w:val="16"/>
              </w:rPr>
              <w:t>Dateiname</w:t>
            </w:r>
          </w:p>
        </w:tc>
        <w:tc>
          <w:tcPr>
            <w:tcW w:type="dxa" w:w="4986"/>
            <w:shd w:fill="D9EAF7"/>
          </w:tcPr>
          <w:p>
            <w:r>
              <w:rPr>
                <w:b/>
                <w:sz w:val="16"/>
              </w:rPr>
              <w:t>Funktion</w:t>
            </w:r>
          </w:p>
        </w:tc>
      </w:tr>
      <w:tr>
        <w:tc>
          <w:tcPr>
            <w:tcW w:type="dxa" w:w="4986"/>
            <w:vAlign w:val="center"/>
          </w:tcPr>
          <w:p>
            <w:r>
              <w:rPr>
                <w:sz w:val="16"/>
              </w:rPr>
              <w:t>6x4_globale_semantische_resonanz_match.json</w:t>
            </w:r>
          </w:p>
        </w:tc>
        <w:tc>
          <w:tcPr>
            <w:tcW w:type="dxa" w:w="4986"/>
            <w:vAlign w:val="center"/>
          </w:tcPr>
          <w:p>
            <w:r>
              <w:rPr>
                <w:sz w:val="16"/>
              </w:rPr>
              <w:t>vollständige JSON-Ausgabedatei mit Metaangaben, Summary und 282 Records</w:t>
            </w:r>
          </w:p>
        </w:tc>
      </w:tr>
      <w:tr>
        <w:tc>
          <w:tcPr>
            <w:tcW w:type="dxa" w:w="4986"/>
            <w:vAlign w:val="center"/>
          </w:tcPr>
          <w:p>
            <w:r>
              <w:rPr>
                <w:sz w:val="16"/>
              </w:rPr>
              <w:t>summary_globale_resonanz.csv</w:t>
            </w:r>
          </w:p>
        </w:tc>
        <w:tc>
          <w:tcPr>
            <w:tcW w:type="dxa" w:w="4986"/>
            <w:vAlign w:val="center"/>
          </w:tcPr>
          <w:p>
            <w:r>
              <w:rPr>
                <w:sz w:val="16"/>
              </w:rPr>
              <w:t>ursprüngliche CSV-Zusammenfassung aus dem Auswertungsskript</w:t>
            </w:r>
          </w:p>
        </w:tc>
      </w:tr>
      <w:tr>
        <w:tc>
          <w:tcPr>
            <w:tcW w:type="dxa" w:w="4986"/>
            <w:vAlign w:val="center"/>
          </w:tcPr>
          <w:p>
            <w:r>
              <w:rPr>
                <w:sz w:val="16"/>
              </w:rPr>
              <w:t>dissertationsauswertung_6x4.txt</w:t>
            </w:r>
          </w:p>
        </w:tc>
        <w:tc>
          <w:tcPr>
            <w:tcW w:type="dxa" w:w="4986"/>
            <w:vAlign w:val="center"/>
          </w:tcPr>
          <w:p>
            <w:r>
              <w:rPr>
                <w:sz w:val="16"/>
              </w:rPr>
              <w:t>automatisch erzeugte textuelle Kurzauswertung</w:t>
            </w:r>
          </w:p>
        </w:tc>
      </w:tr>
      <w:tr>
        <w:tc>
          <w:tcPr>
            <w:tcW w:type="dxa" w:w="4986"/>
            <w:vAlign w:val="center"/>
          </w:tcPr>
          <w:p>
            <w:r>
              <w:rPr>
                <w:sz w:val="16"/>
              </w:rPr>
              <w:t>hist_kosinus_resonanz.png</w:t>
            </w:r>
          </w:p>
        </w:tc>
        <w:tc>
          <w:tcPr>
            <w:tcW w:type="dxa" w:w="4986"/>
            <w:vAlign w:val="center"/>
          </w:tcPr>
          <w:p>
            <w:r>
              <w:rPr>
                <w:sz w:val="16"/>
              </w:rPr>
              <w:t>Histogramm der Kosinusähnlichkeiten</w:t>
            </w:r>
          </w:p>
        </w:tc>
      </w:tr>
      <w:tr>
        <w:tc>
          <w:tcPr>
            <w:tcW w:type="dxa" w:w="4986"/>
            <w:vAlign w:val="center"/>
          </w:tcPr>
          <w:p>
            <w:r>
              <w:rPr>
                <w:sz w:val="16"/>
              </w:rPr>
              <w:t>boxplot_kosinus_nach_subset.png</w:t>
            </w:r>
          </w:p>
        </w:tc>
        <w:tc>
          <w:tcPr>
            <w:tcW w:type="dxa" w:w="4986"/>
            <w:vAlign w:val="center"/>
          </w:tcPr>
          <w:p>
            <w:r>
              <w:rPr>
                <w:sz w:val="16"/>
              </w:rPr>
              <w:t>Boxplot der Kosinusähnlichkeit nach Teilmenge</w:t>
            </w:r>
          </w:p>
        </w:tc>
      </w:tr>
      <w:tr>
        <w:tc>
          <w:tcPr>
            <w:tcW w:type="dxa" w:w="4986"/>
            <w:vAlign w:val="center"/>
          </w:tcPr>
          <w:p>
            <w:r>
              <w:rPr>
                <w:sz w:val="16"/>
              </w:rPr>
              <w:t>scatter_distanz_kosinus.png</w:t>
            </w:r>
          </w:p>
        </w:tc>
        <w:tc>
          <w:tcPr>
            <w:tcW w:type="dxa" w:w="4986"/>
            <w:vAlign w:val="center"/>
          </w:tcPr>
          <w:p>
            <w:r>
              <w:rPr>
                <w:sz w:val="16"/>
              </w:rPr>
              <w:t>Streudiagramm euklidische Distanz vs. Kosinusähnlichkeit</w:t>
            </w:r>
          </w:p>
        </w:tc>
      </w:tr>
      <w:tr>
        <w:tc>
          <w:tcPr>
            <w:tcW w:type="dxa" w:w="4986"/>
            <w:vAlign w:val="center"/>
          </w:tcPr>
          <w:p>
            <w:r>
              <w:rPr>
                <w:sz w:val="16"/>
              </w:rPr>
              <w:t>anlage_6x4_kennwerte_gesamt.csv</w:t>
            </w:r>
          </w:p>
        </w:tc>
        <w:tc>
          <w:tcPr>
            <w:tcW w:type="dxa" w:w="4986"/>
            <w:vAlign w:val="center"/>
          </w:tcPr>
          <w:p>
            <w:r>
              <w:rPr>
                <w:sz w:val="16"/>
              </w:rPr>
              <w:t>ergänzte Gesamttabelle mit Hauptkennwerten</w:t>
            </w:r>
          </w:p>
        </w:tc>
      </w:tr>
      <w:tr>
        <w:tc>
          <w:tcPr>
            <w:tcW w:type="dxa" w:w="4986"/>
            <w:vAlign w:val="center"/>
          </w:tcPr>
          <w:p>
            <w:r>
              <w:rPr>
                <w:sz w:val="16"/>
              </w:rPr>
              <w:t>anlage_6x4_kennwerte_nach_gruppe.csv</w:t>
            </w:r>
          </w:p>
        </w:tc>
        <w:tc>
          <w:tcPr>
            <w:tcW w:type="dxa" w:w="4986"/>
            <w:vAlign w:val="center"/>
          </w:tcPr>
          <w:p>
            <w:r>
              <w:rPr>
                <w:sz w:val="16"/>
              </w:rPr>
              <w:t>ergänzte Kennwerttabelle nach gruppe_id</w:t>
            </w:r>
          </w:p>
        </w:tc>
      </w:tr>
      <w:tr>
        <w:tc>
          <w:tcPr>
            <w:tcW w:type="dxa" w:w="4986"/>
            <w:vAlign w:val="center"/>
          </w:tcPr>
          <w:p>
            <w:r>
              <w:rPr>
                <w:sz w:val="16"/>
              </w:rPr>
              <w:t>anlage_6x4_kosinus_quantile.csv</w:t>
            </w:r>
          </w:p>
        </w:tc>
        <w:tc>
          <w:tcPr>
            <w:tcW w:type="dxa" w:w="4986"/>
            <w:vAlign w:val="center"/>
          </w:tcPr>
          <w:p>
            <w:r>
              <w:rPr>
                <w:sz w:val="16"/>
              </w:rPr>
              <w:t>ergänzte Quantiltabelle der Kosinusähnlichkeit</w:t>
            </w:r>
          </w:p>
        </w:tc>
      </w:tr>
      <w:tr>
        <w:tc>
          <w:tcPr>
            <w:tcW w:type="dxa" w:w="4986"/>
            <w:vAlign w:val="center"/>
          </w:tcPr>
          <w:p>
            <w:r>
              <w:rPr>
                <w:sz w:val="16"/>
              </w:rPr>
              <w:t>anlage_6x4_kosinus_schwellen.csv</w:t>
            </w:r>
          </w:p>
        </w:tc>
        <w:tc>
          <w:tcPr>
            <w:tcW w:type="dxa" w:w="4986"/>
            <w:vAlign w:val="center"/>
          </w:tcPr>
          <w:p>
            <w:r>
              <w:rPr>
                <w:sz w:val="16"/>
              </w:rPr>
              <w:t>ergänzte Schwellentabelle</w:t>
            </w:r>
          </w:p>
        </w:tc>
      </w:tr>
      <w:tr>
        <w:tc>
          <w:tcPr>
            <w:tcW w:type="dxa" w:w="4986"/>
            <w:vAlign w:val="center"/>
          </w:tcPr>
          <w:p>
            <w:r>
              <w:rPr>
                <w:sz w:val="16"/>
              </w:rPr>
              <w:t>anlage_6x4_dominante_dimensionen.csv</w:t>
            </w:r>
          </w:p>
        </w:tc>
        <w:tc>
          <w:tcPr>
            <w:tcW w:type="dxa" w:w="4986"/>
            <w:vAlign w:val="center"/>
          </w:tcPr>
          <w:p>
            <w:r>
              <w:rPr>
                <w:sz w:val="16"/>
              </w:rPr>
              <w:t>ergänzte Häufigkeitstabelle dominanter Lehrkraftdimensionen</w:t>
            </w:r>
          </w:p>
        </w:tc>
      </w:tr>
      <w:tr>
        <w:tc>
          <w:tcPr>
            <w:tcW w:type="dxa" w:w="4986"/>
            <w:vAlign w:val="center"/>
          </w:tcPr>
          <w:p>
            <w:r>
              <w:rPr>
                <w:sz w:val="16"/>
              </w:rPr>
              <w:t>anlage_6x4_balken_kosinus_nach_gruppe.png</w:t>
            </w:r>
          </w:p>
        </w:tc>
        <w:tc>
          <w:tcPr>
            <w:tcW w:type="dxa" w:w="4986"/>
            <w:vAlign w:val="center"/>
          </w:tcPr>
          <w:p>
            <w:r>
              <w:rPr>
                <w:sz w:val="16"/>
              </w:rPr>
              <w:t>ergänztes Balkendiagramm der mittleren Kosinusähnlichkeit nach Gruppe</w:t>
            </w:r>
          </w:p>
        </w:tc>
      </w:tr>
      <w:tr>
        <w:tc>
          <w:tcPr>
            <w:tcW w:type="dxa" w:w="4986"/>
            <w:vAlign w:val="center"/>
          </w:tcPr>
          <w:p>
            <w:r>
              <w:rPr>
                <w:sz w:val="16"/>
              </w:rPr>
              <w:t>anlage_6x4_dominante_dimensionen.png</w:t>
            </w:r>
          </w:p>
        </w:tc>
        <w:tc>
          <w:tcPr>
            <w:tcW w:type="dxa" w:w="4986"/>
            <w:vAlign w:val="center"/>
          </w:tcPr>
          <w:p>
            <w:r>
              <w:rPr>
                <w:sz w:val="16"/>
              </w:rPr>
              <w:t>ergänztes Balkendiagramm dominanter Lehrkraftdimensionen</w:t>
            </w:r>
          </w:p>
        </w:tc>
      </w:tr>
    </w:tbl>
    <w:p>
      <w:pPr>
        <w:pStyle w:val="Heading1"/>
      </w:pPr>
      <w:r>
        <w:t>3. Datenbasis und Fallstruktur</w:t>
      </w:r>
    </w:p>
    <w:p>
      <w:r>
        <w:t>Die JSON-Datei enthält 282 gematchte Datensätze. Für 279 Datensätze konnte die Kosinusähnlichkeit zwischen Teilnehmer- und Lehrkraftvektor berechnet werden; drei Fälle besitzen fehlende Kosinuswerte. In der vorliegenden Datei liegen alle Datensätze in der Teilmenge lehrkraft_id=1. Eine Vergleichsgruppe ohne lehrkraft_id=1 ist in diesem Export daher nicht enthalten und wird nicht gesondert interpretiert.</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9EAF7"/>
          </w:tcPr>
          <w:p>
            <w:r>
              <w:rPr>
                <w:b/>
                <w:sz w:val="16"/>
              </w:rPr>
              <w:t>Kennwert</w:t>
            </w:r>
          </w:p>
        </w:tc>
        <w:tc>
          <w:tcPr>
            <w:tcW w:type="dxa" w:w="4986"/>
            <w:shd w:fill="D9EAF7"/>
          </w:tcPr>
          <w:p>
            <w:r>
              <w:rPr>
                <w:b/>
                <w:sz w:val="16"/>
              </w:rPr>
              <w:t>Wert</w:t>
            </w:r>
          </w:p>
        </w:tc>
      </w:tr>
      <w:tr>
        <w:tc>
          <w:tcPr>
            <w:tcW w:type="dxa" w:w="4986"/>
            <w:vAlign w:val="center"/>
          </w:tcPr>
          <w:p>
            <w:r>
              <w:rPr>
                <w:sz w:val="16"/>
              </w:rPr>
              <w:t>Datensätze gesamt</w:t>
            </w:r>
          </w:p>
        </w:tc>
        <w:tc>
          <w:tcPr>
            <w:tcW w:type="dxa" w:w="4986"/>
            <w:vAlign w:val="center"/>
          </w:tcPr>
          <w:p>
            <w:r>
              <w:rPr>
                <w:sz w:val="16"/>
              </w:rPr>
              <w:t>282</w:t>
            </w:r>
          </w:p>
        </w:tc>
      </w:tr>
      <w:tr>
        <w:tc>
          <w:tcPr>
            <w:tcW w:type="dxa" w:w="4986"/>
            <w:vAlign w:val="center"/>
          </w:tcPr>
          <w:p>
            <w:r>
              <w:rPr>
                <w:sz w:val="16"/>
              </w:rPr>
              <w:t>gültige Kosinuswerte</w:t>
            </w:r>
          </w:p>
        </w:tc>
        <w:tc>
          <w:tcPr>
            <w:tcW w:type="dxa" w:w="4986"/>
            <w:vAlign w:val="center"/>
          </w:tcPr>
          <w:p>
            <w:r>
              <w:rPr>
                <w:sz w:val="16"/>
              </w:rPr>
              <w:t>279</w:t>
            </w:r>
          </w:p>
        </w:tc>
      </w:tr>
      <w:tr>
        <w:tc>
          <w:tcPr>
            <w:tcW w:type="dxa" w:w="4986"/>
            <w:vAlign w:val="center"/>
          </w:tcPr>
          <w:p>
            <w:r>
              <w:rPr>
                <w:sz w:val="16"/>
              </w:rPr>
              <w:t>fehlende Kosinuswerte</w:t>
            </w:r>
          </w:p>
        </w:tc>
        <w:tc>
          <w:tcPr>
            <w:tcW w:type="dxa" w:w="4986"/>
            <w:vAlign w:val="center"/>
          </w:tcPr>
          <w:p>
            <w:r>
              <w:rPr>
                <w:sz w:val="16"/>
              </w:rPr>
              <w:t>3</w:t>
            </w:r>
          </w:p>
        </w:tc>
      </w:tr>
      <w:tr>
        <w:tc>
          <w:tcPr>
            <w:tcW w:type="dxa" w:w="4986"/>
            <w:vAlign w:val="center"/>
          </w:tcPr>
          <w:p>
            <w:r>
              <w:rPr>
                <w:sz w:val="16"/>
              </w:rPr>
              <w:t>mittlere Kosinusähnlichkeit</w:t>
            </w:r>
          </w:p>
        </w:tc>
        <w:tc>
          <w:tcPr>
            <w:tcW w:type="dxa" w:w="4986"/>
            <w:vAlign w:val="center"/>
          </w:tcPr>
          <w:p>
            <w:r>
              <w:rPr>
                <w:sz w:val="16"/>
              </w:rPr>
              <w:t>0,9434</w:t>
            </w:r>
          </w:p>
        </w:tc>
      </w:tr>
      <w:tr>
        <w:tc>
          <w:tcPr>
            <w:tcW w:type="dxa" w:w="4986"/>
            <w:vAlign w:val="center"/>
          </w:tcPr>
          <w:p>
            <w:r>
              <w:rPr>
                <w:sz w:val="16"/>
              </w:rPr>
              <w:t>Median der Kosinusähnlichkeit</w:t>
            </w:r>
          </w:p>
        </w:tc>
        <w:tc>
          <w:tcPr>
            <w:tcW w:type="dxa" w:w="4986"/>
            <w:vAlign w:val="center"/>
          </w:tcPr>
          <w:p>
            <w:r>
              <w:rPr>
                <w:sz w:val="16"/>
              </w:rPr>
              <w:t>0,9568</w:t>
            </w:r>
          </w:p>
        </w:tc>
      </w:tr>
      <w:tr>
        <w:tc>
          <w:tcPr>
            <w:tcW w:type="dxa" w:w="4986"/>
            <w:vAlign w:val="center"/>
          </w:tcPr>
          <w:p>
            <w:r>
              <w:rPr>
                <w:sz w:val="16"/>
              </w:rPr>
              <w:t>Kosinusbereich</w:t>
            </w:r>
          </w:p>
        </w:tc>
        <w:tc>
          <w:tcPr>
            <w:tcW w:type="dxa" w:w="4986"/>
            <w:vAlign w:val="center"/>
          </w:tcPr>
          <w:p>
            <w:r>
              <w:rPr>
                <w:sz w:val="16"/>
              </w:rPr>
              <w:t>-0,2682 bis 0,9974</w:t>
            </w:r>
          </w:p>
        </w:tc>
      </w:tr>
      <w:tr>
        <w:tc>
          <w:tcPr>
            <w:tcW w:type="dxa" w:w="4986"/>
            <w:vAlign w:val="center"/>
          </w:tcPr>
          <w:p>
            <w:r>
              <w:rPr>
                <w:sz w:val="16"/>
              </w:rPr>
              <w:t>25%- bis 75%-Bereich</w:t>
            </w:r>
          </w:p>
        </w:tc>
        <w:tc>
          <w:tcPr>
            <w:tcW w:type="dxa" w:w="4986"/>
            <w:vAlign w:val="center"/>
          </w:tcPr>
          <w:p>
            <w:r>
              <w:rPr>
                <w:sz w:val="16"/>
              </w:rPr>
              <w:t>0,9305 bis 0,9758</w:t>
            </w:r>
          </w:p>
        </w:tc>
      </w:tr>
      <w:tr>
        <w:tc>
          <w:tcPr>
            <w:tcW w:type="dxa" w:w="4986"/>
            <w:vAlign w:val="center"/>
          </w:tcPr>
          <w:p>
            <w:r>
              <w:rPr>
                <w:sz w:val="16"/>
              </w:rPr>
              <w:t>mittlere euklidische Distanz</w:t>
            </w:r>
          </w:p>
        </w:tc>
        <w:tc>
          <w:tcPr>
            <w:tcW w:type="dxa" w:w="4986"/>
            <w:vAlign w:val="center"/>
          </w:tcPr>
          <w:p>
            <w:r>
              <w:rPr>
                <w:sz w:val="16"/>
              </w:rPr>
              <w:t>1,1906</w:t>
            </w:r>
          </w:p>
        </w:tc>
      </w:tr>
    </w:tbl>
    <w:p>
      <w:pPr>
        <w:pStyle w:val="Heading1"/>
      </w:pPr>
      <w:r>
        <w:t>4. Operationalisierung</w:t>
      </w:r>
    </w:p>
    <w:p>
      <w:r>
        <w:t>Die globale semantische Resonanzkopplung wurde über die Kosinusähnlichkeit der vollständigen 7D-Vektoren berechnet. Die sieben Dimensionen lauten: Kognition, Sozial, Affektiv, Motivation, Methodik, Performanz und Regulation. Die Kosinusähnlichkeit prüft die Richtungsähnlichkeit zweier Vektoren und ist deshalb für die Frage geeignet, ob Teilnehmer- und Lehrkraftzustand im selben semantischen Richtungsraum organisiert sind. Ergänzend wurde die euklidische Distanz berechnet, um die absolute Lageabweichung zwischen beiden Vektoren zu dokumentieren.</w:t>
      </w:r>
    </w:p>
    <w:p>
      <w:r>
        <w:rPr>
          <w:b/>
        </w:rPr>
        <w:t xml:space="preserve">Berechnete Kernmaße: </w:t>
      </w:r>
      <w:r>
        <w:t>Kosinusähnlichkeit cos(T,L) = (T·L)/(||T||·||L||); euklidische Distanz d(T,L) = sqrt(Σ(T_i-L_i)^2).</w:t>
      </w:r>
    </w:p>
    <w:p>
      <w:pPr>
        <w:pStyle w:val="Heading1"/>
      </w:pPr>
      <w:r>
        <w:t>5. Globale Kennwerte der Resonanzkopplung</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9EAF7"/>
          </w:tcPr>
          <w:p>
            <w:r>
              <w:rPr>
                <w:b/>
                <w:sz w:val="16"/>
              </w:rPr>
              <w:t>Quantil</w:t>
            </w:r>
          </w:p>
        </w:tc>
        <w:tc>
          <w:tcPr>
            <w:tcW w:type="dxa" w:w="4986"/>
            <w:shd w:fill="D9EAF7"/>
          </w:tcPr>
          <w:p>
            <w:r>
              <w:rPr>
                <w:b/>
                <w:sz w:val="16"/>
              </w:rPr>
              <w:t>Kosinusähnlichkeit</w:t>
            </w:r>
          </w:p>
        </w:tc>
      </w:tr>
      <w:tr>
        <w:tc>
          <w:tcPr>
            <w:tcW w:type="dxa" w:w="4986"/>
            <w:vAlign w:val="center"/>
          </w:tcPr>
          <w:p>
            <w:r>
              <w:rPr>
                <w:sz w:val="16"/>
              </w:rPr>
              <w:t>0%</w:t>
            </w:r>
          </w:p>
        </w:tc>
        <w:tc>
          <w:tcPr>
            <w:tcW w:type="dxa" w:w="4986"/>
            <w:vAlign w:val="center"/>
          </w:tcPr>
          <w:p>
            <w:r>
              <w:rPr>
                <w:sz w:val="16"/>
              </w:rPr>
              <w:t>-0,2682</w:t>
            </w:r>
          </w:p>
        </w:tc>
      </w:tr>
      <w:tr>
        <w:tc>
          <w:tcPr>
            <w:tcW w:type="dxa" w:w="4986"/>
            <w:vAlign w:val="center"/>
          </w:tcPr>
          <w:p>
            <w:r>
              <w:rPr>
                <w:sz w:val="16"/>
              </w:rPr>
              <w:t>1%</w:t>
            </w:r>
          </w:p>
        </w:tc>
        <w:tc>
          <w:tcPr>
            <w:tcW w:type="dxa" w:w="4986"/>
            <w:vAlign w:val="center"/>
          </w:tcPr>
          <w:p>
            <w:r>
              <w:rPr>
                <w:sz w:val="16"/>
              </w:rPr>
              <w:t>0,7956</w:t>
            </w:r>
          </w:p>
        </w:tc>
      </w:tr>
      <w:tr>
        <w:tc>
          <w:tcPr>
            <w:tcW w:type="dxa" w:w="4986"/>
            <w:vAlign w:val="center"/>
          </w:tcPr>
          <w:p>
            <w:r>
              <w:rPr>
                <w:sz w:val="16"/>
              </w:rPr>
              <w:t>5%</w:t>
            </w:r>
          </w:p>
        </w:tc>
        <w:tc>
          <w:tcPr>
            <w:tcW w:type="dxa" w:w="4986"/>
            <w:vAlign w:val="center"/>
          </w:tcPr>
          <w:p>
            <w:r>
              <w:rPr>
                <w:sz w:val="16"/>
              </w:rPr>
              <w:t>0,8722</w:t>
            </w:r>
          </w:p>
        </w:tc>
      </w:tr>
      <w:tr>
        <w:tc>
          <w:tcPr>
            <w:tcW w:type="dxa" w:w="4986"/>
            <w:vAlign w:val="center"/>
          </w:tcPr>
          <w:p>
            <w:r>
              <w:rPr>
                <w:sz w:val="16"/>
              </w:rPr>
              <w:t>10%</w:t>
            </w:r>
          </w:p>
        </w:tc>
        <w:tc>
          <w:tcPr>
            <w:tcW w:type="dxa" w:w="4986"/>
            <w:vAlign w:val="center"/>
          </w:tcPr>
          <w:p>
            <w:r>
              <w:rPr>
                <w:sz w:val="16"/>
              </w:rPr>
              <w:t>0,9008</w:t>
            </w:r>
          </w:p>
        </w:tc>
      </w:tr>
      <w:tr>
        <w:tc>
          <w:tcPr>
            <w:tcW w:type="dxa" w:w="4986"/>
            <w:vAlign w:val="center"/>
          </w:tcPr>
          <w:p>
            <w:r>
              <w:rPr>
                <w:sz w:val="16"/>
              </w:rPr>
              <w:t>25%</w:t>
            </w:r>
          </w:p>
        </w:tc>
        <w:tc>
          <w:tcPr>
            <w:tcW w:type="dxa" w:w="4986"/>
            <w:vAlign w:val="center"/>
          </w:tcPr>
          <w:p>
            <w:r>
              <w:rPr>
                <w:sz w:val="16"/>
              </w:rPr>
              <w:t>0,9305</w:t>
            </w:r>
          </w:p>
        </w:tc>
      </w:tr>
      <w:tr>
        <w:tc>
          <w:tcPr>
            <w:tcW w:type="dxa" w:w="4986"/>
            <w:vAlign w:val="center"/>
          </w:tcPr>
          <w:p>
            <w:r>
              <w:rPr>
                <w:sz w:val="16"/>
              </w:rPr>
              <w:t>50%</w:t>
            </w:r>
          </w:p>
        </w:tc>
        <w:tc>
          <w:tcPr>
            <w:tcW w:type="dxa" w:w="4986"/>
            <w:vAlign w:val="center"/>
          </w:tcPr>
          <w:p>
            <w:r>
              <w:rPr>
                <w:sz w:val="16"/>
              </w:rPr>
              <w:t>0,9568</w:t>
            </w:r>
          </w:p>
        </w:tc>
      </w:tr>
      <w:tr>
        <w:tc>
          <w:tcPr>
            <w:tcW w:type="dxa" w:w="4986"/>
            <w:vAlign w:val="center"/>
          </w:tcPr>
          <w:p>
            <w:r>
              <w:rPr>
                <w:sz w:val="16"/>
              </w:rPr>
              <w:t>75%</w:t>
            </w:r>
          </w:p>
        </w:tc>
        <w:tc>
          <w:tcPr>
            <w:tcW w:type="dxa" w:w="4986"/>
            <w:vAlign w:val="center"/>
          </w:tcPr>
          <w:p>
            <w:r>
              <w:rPr>
                <w:sz w:val="16"/>
              </w:rPr>
              <w:t>0,9758</w:t>
            </w:r>
          </w:p>
        </w:tc>
      </w:tr>
      <w:tr>
        <w:tc>
          <w:tcPr>
            <w:tcW w:type="dxa" w:w="4986"/>
            <w:vAlign w:val="center"/>
          </w:tcPr>
          <w:p>
            <w:r>
              <w:rPr>
                <w:sz w:val="16"/>
              </w:rPr>
              <w:t>90%</w:t>
            </w:r>
          </w:p>
        </w:tc>
        <w:tc>
          <w:tcPr>
            <w:tcW w:type="dxa" w:w="4986"/>
            <w:vAlign w:val="center"/>
          </w:tcPr>
          <w:p>
            <w:r>
              <w:rPr>
                <w:sz w:val="16"/>
              </w:rPr>
              <w:t>0,9866</w:t>
            </w:r>
          </w:p>
        </w:tc>
      </w:tr>
      <w:tr>
        <w:tc>
          <w:tcPr>
            <w:tcW w:type="dxa" w:w="4986"/>
            <w:vAlign w:val="center"/>
          </w:tcPr>
          <w:p>
            <w:r>
              <w:rPr>
                <w:sz w:val="16"/>
              </w:rPr>
              <w:t>95%</w:t>
            </w:r>
          </w:p>
        </w:tc>
        <w:tc>
          <w:tcPr>
            <w:tcW w:type="dxa" w:w="4986"/>
            <w:vAlign w:val="center"/>
          </w:tcPr>
          <w:p>
            <w:r>
              <w:rPr>
                <w:sz w:val="16"/>
              </w:rPr>
              <w:t>0,9909</w:t>
            </w:r>
          </w:p>
        </w:tc>
      </w:tr>
      <w:tr>
        <w:tc>
          <w:tcPr>
            <w:tcW w:type="dxa" w:w="4986"/>
            <w:vAlign w:val="center"/>
          </w:tcPr>
          <w:p>
            <w:r>
              <w:rPr>
                <w:sz w:val="16"/>
              </w:rPr>
              <w:t>99%</w:t>
            </w:r>
          </w:p>
        </w:tc>
        <w:tc>
          <w:tcPr>
            <w:tcW w:type="dxa" w:w="4986"/>
            <w:vAlign w:val="center"/>
          </w:tcPr>
          <w:p>
            <w:r>
              <w:rPr>
                <w:sz w:val="16"/>
              </w:rPr>
              <w:t>0,9958</w:t>
            </w:r>
          </w:p>
        </w:tc>
      </w:tr>
      <w:tr>
        <w:tc>
          <w:tcPr>
            <w:tcW w:type="dxa" w:w="4986"/>
            <w:vAlign w:val="center"/>
          </w:tcPr>
          <w:p>
            <w:r>
              <w:rPr>
                <w:sz w:val="16"/>
              </w:rPr>
              <w:t>100%</w:t>
            </w:r>
          </w:p>
        </w:tc>
        <w:tc>
          <w:tcPr>
            <w:tcW w:type="dxa" w:w="4986"/>
            <w:vAlign w:val="center"/>
          </w:tcPr>
          <w:p>
            <w:r>
              <w:rPr>
                <w:sz w:val="16"/>
              </w:rPr>
              <w:t>0,9974</w:t>
            </w:r>
          </w:p>
        </w:tc>
      </w:tr>
    </w:tbl>
    <w:p>
      <w:r>
        <w:t>Die Quantilverteilung zeigt, dass die hohe mittlere Kosinusähnlichkeit nicht nur durch Einzelwerte getragen wird. Bereits das 25%-Quantil liegt bei 0,9305; der Median liegt bei 0,9568. Damit befindet sich der zentrale Bereich der Verteilung in einem sehr hohen Resonanzniveau.</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fill="D9EAF7"/>
          </w:tcPr>
          <w:p>
            <w:r>
              <w:rPr>
                <w:b/>
                <w:sz w:val="16"/>
              </w:rPr>
              <w:t>Kosinus-Schwelle</w:t>
            </w:r>
          </w:p>
        </w:tc>
        <w:tc>
          <w:tcPr>
            <w:tcW w:type="dxa" w:w="3324"/>
            <w:shd w:fill="D9EAF7"/>
          </w:tcPr>
          <w:p>
            <w:r>
              <w:rPr>
                <w:b/>
                <w:sz w:val="16"/>
              </w:rPr>
              <w:t>n ab Schwelle</w:t>
            </w:r>
          </w:p>
        </w:tc>
        <w:tc>
          <w:tcPr>
            <w:tcW w:type="dxa" w:w="3324"/>
            <w:shd w:fill="D9EAF7"/>
          </w:tcPr>
          <w:p>
            <w:r>
              <w:rPr>
                <w:b/>
                <w:sz w:val="16"/>
              </w:rPr>
              <w:t>Anteil an gültigen Fällen</w:t>
            </w:r>
          </w:p>
        </w:tc>
      </w:tr>
      <w:tr>
        <w:tc>
          <w:tcPr>
            <w:tcW w:type="dxa" w:w="3324"/>
            <w:vAlign w:val="center"/>
          </w:tcPr>
          <w:p>
            <w:r>
              <w:rPr>
                <w:sz w:val="16"/>
              </w:rPr>
              <w:t>0,80</w:t>
            </w:r>
          </w:p>
        </w:tc>
        <w:tc>
          <w:tcPr>
            <w:tcW w:type="dxa" w:w="3324"/>
            <w:vAlign w:val="center"/>
          </w:tcPr>
          <w:p>
            <w:r>
              <w:rPr>
                <w:sz w:val="16"/>
              </w:rPr>
              <w:t>276</w:t>
            </w:r>
          </w:p>
        </w:tc>
        <w:tc>
          <w:tcPr>
            <w:tcW w:type="dxa" w:w="3324"/>
            <w:vAlign w:val="center"/>
          </w:tcPr>
          <w:p>
            <w:r>
              <w:rPr>
                <w:sz w:val="16"/>
              </w:rPr>
              <w:t>98,92 %</w:t>
            </w:r>
          </w:p>
        </w:tc>
      </w:tr>
      <w:tr>
        <w:tc>
          <w:tcPr>
            <w:tcW w:type="dxa" w:w="3324"/>
            <w:vAlign w:val="center"/>
          </w:tcPr>
          <w:p>
            <w:r>
              <w:rPr>
                <w:sz w:val="16"/>
              </w:rPr>
              <w:t>0,85</w:t>
            </w:r>
          </w:p>
        </w:tc>
        <w:tc>
          <w:tcPr>
            <w:tcW w:type="dxa" w:w="3324"/>
            <w:vAlign w:val="center"/>
          </w:tcPr>
          <w:p>
            <w:r>
              <w:rPr>
                <w:sz w:val="16"/>
              </w:rPr>
              <w:t>269</w:t>
            </w:r>
          </w:p>
        </w:tc>
        <w:tc>
          <w:tcPr>
            <w:tcW w:type="dxa" w:w="3324"/>
            <w:vAlign w:val="center"/>
          </w:tcPr>
          <w:p>
            <w:r>
              <w:rPr>
                <w:sz w:val="16"/>
              </w:rPr>
              <w:t>96,42 %</w:t>
            </w:r>
          </w:p>
        </w:tc>
      </w:tr>
      <w:tr>
        <w:tc>
          <w:tcPr>
            <w:tcW w:type="dxa" w:w="3324"/>
            <w:vAlign w:val="center"/>
          </w:tcPr>
          <w:p>
            <w:r>
              <w:rPr>
                <w:sz w:val="16"/>
              </w:rPr>
              <w:t>0,90</w:t>
            </w:r>
          </w:p>
        </w:tc>
        <w:tc>
          <w:tcPr>
            <w:tcW w:type="dxa" w:w="3324"/>
            <w:vAlign w:val="center"/>
          </w:tcPr>
          <w:p>
            <w:r>
              <w:rPr>
                <w:sz w:val="16"/>
              </w:rPr>
              <w:t>251</w:t>
            </w:r>
          </w:p>
        </w:tc>
        <w:tc>
          <w:tcPr>
            <w:tcW w:type="dxa" w:w="3324"/>
            <w:vAlign w:val="center"/>
          </w:tcPr>
          <w:p>
            <w:r>
              <w:rPr>
                <w:sz w:val="16"/>
              </w:rPr>
              <w:t>89,96 %</w:t>
            </w:r>
          </w:p>
        </w:tc>
      </w:tr>
      <w:tr>
        <w:tc>
          <w:tcPr>
            <w:tcW w:type="dxa" w:w="3324"/>
            <w:vAlign w:val="center"/>
          </w:tcPr>
          <w:p>
            <w:r>
              <w:rPr>
                <w:sz w:val="16"/>
              </w:rPr>
              <w:t>0,93</w:t>
            </w:r>
          </w:p>
        </w:tc>
        <w:tc>
          <w:tcPr>
            <w:tcW w:type="dxa" w:w="3324"/>
            <w:vAlign w:val="center"/>
          </w:tcPr>
          <w:p>
            <w:r>
              <w:rPr>
                <w:sz w:val="16"/>
              </w:rPr>
              <w:t>212</w:t>
            </w:r>
          </w:p>
        </w:tc>
        <w:tc>
          <w:tcPr>
            <w:tcW w:type="dxa" w:w="3324"/>
            <w:vAlign w:val="center"/>
          </w:tcPr>
          <w:p>
            <w:r>
              <w:rPr>
                <w:sz w:val="16"/>
              </w:rPr>
              <w:t>75,99 %</w:t>
            </w:r>
          </w:p>
        </w:tc>
      </w:tr>
      <w:tr>
        <w:tc>
          <w:tcPr>
            <w:tcW w:type="dxa" w:w="3324"/>
            <w:vAlign w:val="center"/>
          </w:tcPr>
          <w:p>
            <w:r>
              <w:rPr>
                <w:sz w:val="16"/>
              </w:rPr>
              <w:t>0,95</w:t>
            </w:r>
          </w:p>
        </w:tc>
        <w:tc>
          <w:tcPr>
            <w:tcW w:type="dxa" w:w="3324"/>
            <w:vAlign w:val="center"/>
          </w:tcPr>
          <w:p>
            <w:r>
              <w:rPr>
                <w:sz w:val="16"/>
              </w:rPr>
              <w:t>165</w:t>
            </w:r>
          </w:p>
        </w:tc>
        <w:tc>
          <w:tcPr>
            <w:tcW w:type="dxa" w:w="3324"/>
            <w:vAlign w:val="center"/>
          </w:tcPr>
          <w:p>
            <w:r>
              <w:rPr>
                <w:sz w:val="16"/>
              </w:rPr>
              <w:t>59,14 %</w:t>
            </w:r>
          </w:p>
        </w:tc>
      </w:tr>
      <w:tr>
        <w:tc>
          <w:tcPr>
            <w:tcW w:type="dxa" w:w="3324"/>
            <w:vAlign w:val="center"/>
          </w:tcPr>
          <w:p>
            <w:r>
              <w:rPr>
                <w:sz w:val="16"/>
              </w:rPr>
              <w:t>0,97</w:t>
            </w:r>
          </w:p>
        </w:tc>
        <w:tc>
          <w:tcPr>
            <w:tcW w:type="dxa" w:w="3324"/>
            <w:vAlign w:val="center"/>
          </w:tcPr>
          <w:p>
            <w:r>
              <w:rPr>
                <w:sz w:val="16"/>
              </w:rPr>
              <w:t>93</w:t>
            </w:r>
          </w:p>
        </w:tc>
        <w:tc>
          <w:tcPr>
            <w:tcW w:type="dxa" w:w="3324"/>
            <w:vAlign w:val="center"/>
          </w:tcPr>
          <w:p>
            <w:r>
              <w:rPr>
                <w:sz w:val="16"/>
              </w:rPr>
              <w:t>33,33 %</w:t>
            </w:r>
          </w:p>
        </w:tc>
      </w:tr>
      <w:tr>
        <w:tc>
          <w:tcPr>
            <w:tcW w:type="dxa" w:w="3324"/>
            <w:vAlign w:val="center"/>
          </w:tcPr>
          <w:p>
            <w:r>
              <w:rPr>
                <w:sz w:val="16"/>
              </w:rPr>
              <w:t>0,99</w:t>
            </w:r>
          </w:p>
        </w:tc>
        <w:tc>
          <w:tcPr>
            <w:tcW w:type="dxa" w:w="3324"/>
            <w:vAlign w:val="center"/>
          </w:tcPr>
          <w:p>
            <w:r>
              <w:rPr>
                <w:sz w:val="16"/>
              </w:rPr>
              <w:t>19</w:t>
            </w:r>
          </w:p>
        </w:tc>
        <w:tc>
          <w:tcPr>
            <w:tcW w:type="dxa" w:w="3324"/>
            <w:vAlign w:val="center"/>
          </w:tcPr>
          <w:p>
            <w:r>
              <w:rPr>
                <w:sz w:val="16"/>
              </w:rPr>
              <w:t>6,81 %</w:t>
            </w:r>
          </w:p>
        </w:tc>
      </w:tr>
    </w:tbl>
    <w:p>
      <w:pPr>
        <w:pStyle w:val="Heading1"/>
      </w:pPr>
      <w:r>
        <w:t>6. Gruppenbezogene Kennwerte</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1425"/>
            <w:shd w:fill="D9EAF7"/>
          </w:tcPr>
          <w:p>
            <w:r>
              <w:rPr>
                <w:b/>
                <w:sz w:val="16"/>
              </w:rPr>
              <w:t>gruppe_id</w:t>
            </w:r>
          </w:p>
        </w:tc>
        <w:tc>
          <w:tcPr>
            <w:tcW w:type="dxa" w:w="1425"/>
            <w:shd w:fill="D9EAF7"/>
          </w:tcPr>
          <w:p>
            <w:r>
              <w:rPr>
                <w:b/>
                <w:sz w:val="16"/>
              </w:rPr>
              <w:t>n</w:t>
            </w:r>
          </w:p>
        </w:tc>
        <w:tc>
          <w:tcPr>
            <w:tcW w:type="dxa" w:w="1425"/>
            <w:shd w:fill="D9EAF7"/>
          </w:tcPr>
          <w:p>
            <w:r>
              <w:rPr>
                <w:b/>
                <w:sz w:val="16"/>
              </w:rPr>
              <w:t>Kosinus Mittel</w:t>
            </w:r>
          </w:p>
        </w:tc>
        <w:tc>
          <w:tcPr>
            <w:tcW w:type="dxa" w:w="1425"/>
            <w:shd w:fill="D9EAF7"/>
          </w:tcPr>
          <w:p>
            <w:r>
              <w:rPr>
                <w:b/>
                <w:sz w:val="16"/>
              </w:rPr>
              <w:t>Kosinus Median</w:t>
            </w:r>
          </w:p>
        </w:tc>
        <w:tc>
          <w:tcPr>
            <w:tcW w:type="dxa" w:w="1425"/>
            <w:shd w:fill="D9EAF7"/>
          </w:tcPr>
          <w:p>
            <w:r>
              <w:rPr>
                <w:b/>
                <w:sz w:val="16"/>
              </w:rPr>
              <w:t>Kosinus Min</w:t>
            </w:r>
          </w:p>
        </w:tc>
        <w:tc>
          <w:tcPr>
            <w:tcW w:type="dxa" w:w="1425"/>
            <w:shd w:fill="D9EAF7"/>
          </w:tcPr>
          <w:p>
            <w:r>
              <w:rPr>
                <w:b/>
                <w:sz w:val="16"/>
              </w:rPr>
              <w:t>Kosinus Max</w:t>
            </w:r>
          </w:p>
        </w:tc>
        <w:tc>
          <w:tcPr>
            <w:tcW w:type="dxa" w:w="1425"/>
            <w:shd w:fill="D9EAF7"/>
          </w:tcPr>
          <w:p>
            <w:r>
              <w:rPr>
                <w:b/>
                <w:sz w:val="16"/>
              </w:rPr>
              <w:t>Distanz Mittel</w:t>
            </w:r>
          </w:p>
        </w:tc>
      </w:tr>
      <w:tr>
        <w:tc>
          <w:tcPr>
            <w:tcW w:type="dxa" w:w="1425"/>
            <w:vAlign w:val="center"/>
          </w:tcPr>
          <w:p>
            <w:r>
              <w:rPr>
                <w:sz w:val="16"/>
              </w:rPr>
              <w:t>0</w:t>
            </w:r>
          </w:p>
        </w:tc>
        <w:tc>
          <w:tcPr>
            <w:tcW w:type="dxa" w:w="1425"/>
            <w:vAlign w:val="center"/>
          </w:tcPr>
          <w:p>
            <w:r>
              <w:rPr>
                <w:sz w:val="16"/>
              </w:rPr>
              <w:t>3</w:t>
            </w:r>
          </w:p>
        </w:tc>
        <w:tc>
          <w:tcPr>
            <w:tcW w:type="dxa" w:w="1425"/>
            <w:vAlign w:val="center"/>
          </w:tcPr>
          <w:p>
            <w:r>
              <w:rPr>
                <w:sz w:val="16"/>
              </w:rPr>
              <w:t>0,9279</w:t>
            </w:r>
          </w:p>
        </w:tc>
        <w:tc>
          <w:tcPr>
            <w:tcW w:type="dxa" w:w="1425"/>
            <w:vAlign w:val="center"/>
          </w:tcPr>
          <w:p>
            <w:r>
              <w:rPr>
                <w:sz w:val="16"/>
              </w:rPr>
              <w:t>0,9415</w:t>
            </w:r>
          </w:p>
        </w:tc>
        <w:tc>
          <w:tcPr>
            <w:tcW w:type="dxa" w:w="1425"/>
            <w:vAlign w:val="center"/>
          </w:tcPr>
          <w:p>
            <w:r>
              <w:rPr>
                <w:sz w:val="16"/>
              </w:rPr>
              <w:t>0,8742</w:t>
            </w:r>
          </w:p>
        </w:tc>
        <w:tc>
          <w:tcPr>
            <w:tcW w:type="dxa" w:w="1425"/>
            <w:vAlign w:val="center"/>
          </w:tcPr>
          <w:p>
            <w:r>
              <w:rPr>
                <w:sz w:val="16"/>
              </w:rPr>
              <w:t>0,9682</w:t>
            </w:r>
          </w:p>
        </w:tc>
        <w:tc>
          <w:tcPr>
            <w:tcW w:type="dxa" w:w="1425"/>
            <w:vAlign w:val="center"/>
          </w:tcPr>
          <w:p>
            <w:r>
              <w:rPr>
                <w:sz w:val="16"/>
              </w:rPr>
              <w:t>1,4219</w:t>
            </w:r>
          </w:p>
        </w:tc>
      </w:tr>
      <w:tr>
        <w:tc>
          <w:tcPr>
            <w:tcW w:type="dxa" w:w="1425"/>
            <w:vAlign w:val="center"/>
          </w:tcPr>
          <w:p>
            <w:r>
              <w:rPr>
                <w:sz w:val="16"/>
              </w:rPr>
              <w:t>1</w:t>
            </w:r>
          </w:p>
        </w:tc>
        <w:tc>
          <w:tcPr>
            <w:tcW w:type="dxa" w:w="1425"/>
            <w:vAlign w:val="center"/>
          </w:tcPr>
          <w:p>
            <w:r>
              <w:rPr>
                <w:sz w:val="16"/>
              </w:rPr>
              <w:t>20</w:t>
            </w:r>
          </w:p>
        </w:tc>
        <w:tc>
          <w:tcPr>
            <w:tcW w:type="dxa" w:w="1425"/>
            <w:vAlign w:val="center"/>
          </w:tcPr>
          <w:p>
            <w:r>
              <w:rPr>
                <w:sz w:val="16"/>
              </w:rPr>
              <w:t>0,9503</w:t>
            </w:r>
          </w:p>
        </w:tc>
        <w:tc>
          <w:tcPr>
            <w:tcW w:type="dxa" w:w="1425"/>
            <w:vAlign w:val="center"/>
          </w:tcPr>
          <w:p>
            <w:r>
              <w:rPr>
                <w:sz w:val="16"/>
              </w:rPr>
              <w:t>0,9630</w:t>
            </w:r>
          </w:p>
        </w:tc>
        <w:tc>
          <w:tcPr>
            <w:tcW w:type="dxa" w:w="1425"/>
            <w:vAlign w:val="center"/>
          </w:tcPr>
          <w:p>
            <w:r>
              <w:rPr>
                <w:sz w:val="16"/>
              </w:rPr>
              <w:t>0,8722</w:t>
            </w:r>
          </w:p>
        </w:tc>
        <w:tc>
          <w:tcPr>
            <w:tcW w:type="dxa" w:w="1425"/>
            <w:vAlign w:val="center"/>
          </w:tcPr>
          <w:p>
            <w:r>
              <w:rPr>
                <w:sz w:val="16"/>
              </w:rPr>
              <w:t>0,9907</w:t>
            </w:r>
          </w:p>
        </w:tc>
        <w:tc>
          <w:tcPr>
            <w:tcW w:type="dxa" w:w="1425"/>
            <w:vAlign w:val="center"/>
          </w:tcPr>
          <w:p>
            <w:r>
              <w:rPr>
                <w:sz w:val="16"/>
              </w:rPr>
              <w:t>1,2035</w:t>
            </w:r>
          </w:p>
        </w:tc>
      </w:tr>
      <w:tr>
        <w:tc>
          <w:tcPr>
            <w:tcW w:type="dxa" w:w="1425"/>
            <w:vAlign w:val="center"/>
          </w:tcPr>
          <w:p>
            <w:r>
              <w:rPr>
                <w:sz w:val="16"/>
              </w:rPr>
              <w:t>2</w:t>
            </w:r>
          </w:p>
        </w:tc>
        <w:tc>
          <w:tcPr>
            <w:tcW w:type="dxa" w:w="1425"/>
            <w:vAlign w:val="center"/>
          </w:tcPr>
          <w:p>
            <w:r>
              <w:rPr>
                <w:sz w:val="16"/>
              </w:rPr>
              <w:t>45</w:t>
            </w:r>
          </w:p>
        </w:tc>
        <w:tc>
          <w:tcPr>
            <w:tcW w:type="dxa" w:w="1425"/>
            <w:vAlign w:val="center"/>
          </w:tcPr>
          <w:p>
            <w:r>
              <w:rPr>
                <w:sz w:val="16"/>
              </w:rPr>
              <w:t>0,9272</w:t>
            </w:r>
          </w:p>
        </w:tc>
        <w:tc>
          <w:tcPr>
            <w:tcW w:type="dxa" w:w="1425"/>
            <w:vAlign w:val="center"/>
          </w:tcPr>
          <w:p>
            <w:r>
              <w:rPr>
                <w:sz w:val="16"/>
              </w:rPr>
              <w:t>0,9568</w:t>
            </w:r>
          </w:p>
        </w:tc>
        <w:tc>
          <w:tcPr>
            <w:tcW w:type="dxa" w:w="1425"/>
            <w:vAlign w:val="center"/>
          </w:tcPr>
          <w:p>
            <w:r>
              <w:rPr>
                <w:sz w:val="16"/>
              </w:rPr>
              <w:t>-0,2682</w:t>
            </w:r>
          </w:p>
        </w:tc>
        <w:tc>
          <w:tcPr>
            <w:tcW w:type="dxa" w:w="1425"/>
            <w:vAlign w:val="center"/>
          </w:tcPr>
          <w:p>
            <w:r>
              <w:rPr>
                <w:sz w:val="16"/>
              </w:rPr>
              <w:t>0,9941</w:t>
            </w:r>
          </w:p>
        </w:tc>
        <w:tc>
          <w:tcPr>
            <w:tcW w:type="dxa" w:w="1425"/>
            <w:vAlign w:val="center"/>
          </w:tcPr>
          <w:p>
            <w:r>
              <w:rPr>
                <w:sz w:val="16"/>
              </w:rPr>
              <w:t>1,2736</w:t>
            </w:r>
          </w:p>
        </w:tc>
      </w:tr>
      <w:tr>
        <w:tc>
          <w:tcPr>
            <w:tcW w:type="dxa" w:w="1425"/>
            <w:vAlign w:val="center"/>
          </w:tcPr>
          <w:p>
            <w:r>
              <w:rPr>
                <w:sz w:val="16"/>
              </w:rPr>
              <w:t>3</w:t>
            </w:r>
          </w:p>
        </w:tc>
        <w:tc>
          <w:tcPr>
            <w:tcW w:type="dxa" w:w="1425"/>
            <w:vAlign w:val="center"/>
          </w:tcPr>
          <w:p>
            <w:r>
              <w:rPr>
                <w:sz w:val="16"/>
              </w:rPr>
              <w:t>6</w:t>
            </w:r>
          </w:p>
        </w:tc>
        <w:tc>
          <w:tcPr>
            <w:tcW w:type="dxa" w:w="1425"/>
            <w:vAlign w:val="center"/>
          </w:tcPr>
          <w:p>
            <w:r>
              <w:rPr>
                <w:sz w:val="16"/>
              </w:rPr>
              <w:t>0,9463</w:t>
            </w:r>
          </w:p>
        </w:tc>
        <w:tc>
          <w:tcPr>
            <w:tcW w:type="dxa" w:w="1425"/>
            <w:vAlign w:val="center"/>
          </w:tcPr>
          <w:p>
            <w:r>
              <w:rPr>
                <w:sz w:val="16"/>
              </w:rPr>
              <w:t>0,9717</w:t>
            </w:r>
          </w:p>
        </w:tc>
        <w:tc>
          <w:tcPr>
            <w:tcW w:type="dxa" w:w="1425"/>
            <w:vAlign w:val="center"/>
          </w:tcPr>
          <w:p>
            <w:r>
              <w:rPr>
                <w:sz w:val="16"/>
              </w:rPr>
              <w:t>0,8387</w:t>
            </w:r>
          </w:p>
        </w:tc>
        <w:tc>
          <w:tcPr>
            <w:tcW w:type="dxa" w:w="1425"/>
            <w:vAlign w:val="center"/>
          </w:tcPr>
          <w:p>
            <w:r>
              <w:rPr>
                <w:sz w:val="16"/>
              </w:rPr>
              <w:t>0,9919</w:t>
            </w:r>
          </w:p>
        </w:tc>
        <w:tc>
          <w:tcPr>
            <w:tcW w:type="dxa" w:w="1425"/>
            <w:vAlign w:val="center"/>
          </w:tcPr>
          <w:p>
            <w:r>
              <w:rPr>
                <w:sz w:val="16"/>
              </w:rPr>
              <w:t>1,4914</w:t>
            </w:r>
          </w:p>
        </w:tc>
      </w:tr>
      <w:tr>
        <w:tc>
          <w:tcPr>
            <w:tcW w:type="dxa" w:w="1425"/>
            <w:vAlign w:val="center"/>
          </w:tcPr>
          <w:p>
            <w:r>
              <w:rPr>
                <w:sz w:val="16"/>
              </w:rPr>
              <w:t>4</w:t>
            </w:r>
          </w:p>
        </w:tc>
        <w:tc>
          <w:tcPr>
            <w:tcW w:type="dxa" w:w="1425"/>
            <w:vAlign w:val="center"/>
          </w:tcPr>
          <w:p>
            <w:r>
              <w:rPr>
                <w:sz w:val="16"/>
              </w:rPr>
              <w:t>34</w:t>
            </w:r>
          </w:p>
        </w:tc>
        <w:tc>
          <w:tcPr>
            <w:tcW w:type="dxa" w:w="1425"/>
            <w:vAlign w:val="center"/>
          </w:tcPr>
          <w:p>
            <w:r>
              <w:rPr>
                <w:sz w:val="16"/>
              </w:rPr>
              <w:t>0,9297</w:t>
            </w:r>
          </w:p>
        </w:tc>
        <w:tc>
          <w:tcPr>
            <w:tcW w:type="dxa" w:w="1425"/>
            <w:vAlign w:val="center"/>
          </w:tcPr>
          <w:p>
            <w:r>
              <w:rPr>
                <w:sz w:val="16"/>
              </w:rPr>
              <w:t>0,9504</w:t>
            </w:r>
          </w:p>
        </w:tc>
        <w:tc>
          <w:tcPr>
            <w:tcW w:type="dxa" w:w="1425"/>
            <w:vAlign w:val="center"/>
          </w:tcPr>
          <w:p>
            <w:r>
              <w:rPr>
                <w:sz w:val="16"/>
              </w:rPr>
              <w:t>0,5529</w:t>
            </w:r>
          </w:p>
        </w:tc>
        <w:tc>
          <w:tcPr>
            <w:tcW w:type="dxa" w:w="1425"/>
            <w:vAlign w:val="center"/>
          </w:tcPr>
          <w:p>
            <w:r>
              <w:rPr>
                <w:sz w:val="16"/>
              </w:rPr>
              <w:t>0,9835</w:t>
            </w:r>
          </w:p>
        </w:tc>
        <w:tc>
          <w:tcPr>
            <w:tcW w:type="dxa" w:w="1425"/>
            <w:vAlign w:val="center"/>
          </w:tcPr>
          <w:p>
            <w:r>
              <w:rPr>
                <w:sz w:val="16"/>
              </w:rPr>
              <w:t>0,9888</w:t>
            </w:r>
          </w:p>
        </w:tc>
      </w:tr>
      <w:tr>
        <w:tc>
          <w:tcPr>
            <w:tcW w:type="dxa" w:w="1425"/>
            <w:vAlign w:val="center"/>
          </w:tcPr>
          <w:p>
            <w:r>
              <w:rPr>
                <w:sz w:val="16"/>
              </w:rPr>
              <w:t>5</w:t>
            </w:r>
          </w:p>
        </w:tc>
        <w:tc>
          <w:tcPr>
            <w:tcW w:type="dxa" w:w="1425"/>
            <w:vAlign w:val="center"/>
          </w:tcPr>
          <w:p>
            <w:r>
              <w:rPr>
                <w:sz w:val="16"/>
              </w:rPr>
              <w:t>34</w:t>
            </w:r>
          </w:p>
        </w:tc>
        <w:tc>
          <w:tcPr>
            <w:tcW w:type="dxa" w:w="1425"/>
            <w:vAlign w:val="center"/>
          </w:tcPr>
          <w:p>
            <w:r>
              <w:rPr>
                <w:sz w:val="16"/>
              </w:rPr>
              <w:t>0,9554</w:t>
            </w:r>
          </w:p>
        </w:tc>
        <w:tc>
          <w:tcPr>
            <w:tcW w:type="dxa" w:w="1425"/>
            <w:vAlign w:val="center"/>
          </w:tcPr>
          <w:p>
            <w:r>
              <w:rPr>
                <w:sz w:val="16"/>
              </w:rPr>
              <w:t>0,9594</w:t>
            </w:r>
          </w:p>
        </w:tc>
        <w:tc>
          <w:tcPr>
            <w:tcW w:type="dxa" w:w="1425"/>
            <w:vAlign w:val="center"/>
          </w:tcPr>
          <w:p>
            <w:r>
              <w:rPr>
                <w:sz w:val="16"/>
              </w:rPr>
              <w:t>0,8442</w:t>
            </w:r>
          </w:p>
        </w:tc>
        <w:tc>
          <w:tcPr>
            <w:tcW w:type="dxa" w:w="1425"/>
            <w:vAlign w:val="center"/>
          </w:tcPr>
          <w:p>
            <w:r>
              <w:rPr>
                <w:sz w:val="16"/>
              </w:rPr>
              <w:t>0,9974</w:t>
            </w:r>
          </w:p>
        </w:tc>
        <w:tc>
          <w:tcPr>
            <w:tcW w:type="dxa" w:w="1425"/>
            <w:vAlign w:val="center"/>
          </w:tcPr>
          <w:p>
            <w:r>
              <w:rPr>
                <w:sz w:val="16"/>
              </w:rPr>
              <w:t>1,2012</w:t>
            </w:r>
          </w:p>
        </w:tc>
      </w:tr>
      <w:tr>
        <w:tc>
          <w:tcPr>
            <w:tcW w:type="dxa" w:w="1425"/>
            <w:vAlign w:val="center"/>
          </w:tcPr>
          <w:p>
            <w:r>
              <w:rPr>
                <w:sz w:val="16"/>
              </w:rPr>
              <w:t>6</w:t>
            </w:r>
          </w:p>
        </w:tc>
        <w:tc>
          <w:tcPr>
            <w:tcW w:type="dxa" w:w="1425"/>
            <w:vAlign w:val="center"/>
          </w:tcPr>
          <w:p>
            <w:r>
              <w:rPr>
                <w:sz w:val="16"/>
              </w:rPr>
              <w:t>38</w:t>
            </w:r>
          </w:p>
        </w:tc>
        <w:tc>
          <w:tcPr>
            <w:tcW w:type="dxa" w:w="1425"/>
            <w:vAlign w:val="center"/>
          </w:tcPr>
          <w:p>
            <w:r>
              <w:rPr>
                <w:sz w:val="16"/>
              </w:rPr>
              <w:t>0,9433</w:t>
            </w:r>
          </w:p>
        </w:tc>
        <w:tc>
          <w:tcPr>
            <w:tcW w:type="dxa" w:w="1425"/>
            <w:vAlign w:val="center"/>
          </w:tcPr>
          <w:p>
            <w:r>
              <w:rPr>
                <w:sz w:val="16"/>
              </w:rPr>
              <w:t>0,9511</w:t>
            </w:r>
          </w:p>
        </w:tc>
        <w:tc>
          <w:tcPr>
            <w:tcW w:type="dxa" w:w="1425"/>
            <w:vAlign w:val="center"/>
          </w:tcPr>
          <w:p>
            <w:r>
              <w:rPr>
                <w:sz w:val="16"/>
              </w:rPr>
              <w:t>0,8445</w:t>
            </w:r>
          </w:p>
        </w:tc>
        <w:tc>
          <w:tcPr>
            <w:tcW w:type="dxa" w:w="1425"/>
            <w:vAlign w:val="center"/>
          </w:tcPr>
          <w:p>
            <w:r>
              <w:rPr>
                <w:sz w:val="16"/>
              </w:rPr>
              <w:t>0,9963</w:t>
            </w:r>
          </w:p>
        </w:tc>
        <w:tc>
          <w:tcPr>
            <w:tcW w:type="dxa" w:w="1425"/>
            <w:vAlign w:val="center"/>
          </w:tcPr>
          <w:p>
            <w:r>
              <w:rPr>
                <w:sz w:val="16"/>
              </w:rPr>
              <w:t>1,2823</w:t>
            </w:r>
          </w:p>
        </w:tc>
      </w:tr>
      <w:tr>
        <w:tc>
          <w:tcPr>
            <w:tcW w:type="dxa" w:w="1425"/>
            <w:vAlign w:val="center"/>
          </w:tcPr>
          <w:p>
            <w:r>
              <w:rPr>
                <w:sz w:val="16"/>
              </w:rPr>
              <w:t>7</w:t>
            </w:r>
          </w:p>
        </w:tc>
        <w:tc>
          <w:tcPr>
            <w:tcW w:type="dxa" w:w="1425"/>
            <w:vAlign w:val="center"/>
          </w:tcPr>
          <w:p>
            <w:r>
              <w:rPr>
                <w:sz w:val="16"/>
              </w:rPr>
              <w:t>31</w:t>
            </w:r>
          </w:p>
        </w:tc>
        <w:tc>
          <w:tcPr>
            <w:tcW w:type="dxa" w:w="1425"/>
            <w:vAlign w:val="center"/>
          </w:tcPr>
          <w:p>
            <w:r>
              <w:rPr>
                <w:sz w:val="16"/>
              </w:rPr>
              <w:t>0,9453</w:t>
            </w:r>
          </w:p>
        </w:tc>
        <w:tc>
          <w:tcPr>
            <w:tcW w:type="dxa" w:w="1425"/>
            <w:vAlign w:val="center"/>
          </w:tcPr>
          <w:p>
            <w:r>
              <w:rPr>
                <w:sz w:val="16"/>
              </w:rPr>
              <w:t>0,9602</w:t>
            </w:r>
          </w:p>
        </w:tc>
        <w:tc>
          <w:tcPr>
            <w:tcW w:type="dxa" w:w="1425"/>
            <w:vAlign w:val="center"/>
          </w:tcPr>
          <w:p>
            <w:r>
              <w:rPr>
                <w:sz w:val="16"/>
              </w:rPr>
              <w:t>0,7770</w:t>
            </w:r>
          </w:p>
        </w:tc>
        <w:tc>
          <w:tcPr>
            <w:tcW w:type="dxa" w:w="1425"/>
            <w:vAlign w:val="center"/>
          </w:tcPr>
          <w:p>
            <w:r>
              <w:rPr>
                <w:sz w:val="16"/>
              </w:rPr>
              <w:t>0,9960</w:t>
            </w:r>
          </w:p>
        </w:tc>
        <w:tc>
          <w:tcPr>
            <w:tcW w:type="dxa" w:w="1425"/>
            <w:vAlign w:val="center"/>
          </w:tcPr>
          <w:p>
            <w:r>
              <w:rPr>
                <w:sz w:val="16"/>
              </w:rPr>
              <w:t>1,2985</w:t>
            </w:r>
          </w:p>
        </w:tc>
      </w:tr>
      <w:tr>
        <w:tc>
          <w:tcPr>
            <w:tcW w:type="dxa" w:w="1425"/>
            <w:vAlign w:val="center"/>
          </w:tcPr>
          <w:p>
            <w:r>
              <w:rPr>
                <w:sz w:val="16"/>
              </w:rPr>
              <w:t>8</w:t>
            </w:r>
          </w:p>
        </w:tc>
        <w:tc>
          <w:tcPr>
            <w:tcW w:type="dxa" w:w="1425"/>
            <w:vAlign w:val="center"/>
          </w:tcPr>
          <w:p>
            <w:r>
              <w:rPr>
                <w:sz w:val="16"/>
              </w:rPr>
              <w:t>40</w:t>
            </w:r>
          </w:p>
        </w:tc>
        <w:tc>
          <w:tcPr>
            <w:tcW w:type="dxa" w:w="1425"/>
            <w:vAlign w:val="center"/>
          </w:tcPr>
          <w:p>
            <w:r>
              <w:rPr>
                <w:sz w:val="16"/>
              </w:rPr>
              <w:t>0,9563</w:t>
            </w:r>
          </w:p>
        </w:tc>
        <w:tc>
          <w:tcPr>
            <w:tcW w:type="dxa" w:w="1425"/>
            <w:vAlign w:val="center"/>
          </w:tcPr>
          <w:p>
            <w:r>
              <w:rPr>
                <w:sz w:val="16"/>
              </w:rPr>
              <w:t>0,9639</w:t>
            </w:r>
          </w:p>
        </w:tc>
        <w:tc>
          <w:tcPr>
            <w:tcW w:type="dxa" w:w="1425"/>
            <w:vAlign w:val="center"/>
          </w:tcPr>
          <w:p>
            <w:r>
              <w:rPr>
                <w:sz w:val="16"/>
              </w:rPr>
              <w:t>0,8847</w:t>
            </w:r>
          </w:p>
        </w:tc>
        <w:tc>
          <w:tcPr>
            <w:tcW w:type="dxa" w:w="1425"/>
            <w:vAlign w:val="center"/>
          </w:tcPr>
          <w:p>
            <w:r>
              <w:rPr>
                <w:sz w:val="16"/>
              </w:rPr>
              <w:t>0,9929</w:t>
            </w:r>
          </w:p>
        </w:tc>
        <w:tc>
          <w:tcPr>
            <w:tcW w:type="dxa" w:w="1425"/>
            <w:vAlign w:val="center"/>
          </w:tcPr>
          <w:p>
            <w:r>
              <w:rPr>
                <w:sz w:val="16"/>
              </w:rPr>
              <w:t>1,1128</w:t>
            </w:r>
          </w:p>
        </w:tc>
      </w:tr>
      <w:tr>
        <w:tc>
          <w:tcPr>
            <w:tcW w:type="dxa" w:w="1425"/>
            <w:vAlign w:val="center"/>
          </w:tcPr>
          <w:p>
            <w:r>
              <w:rPr>
                <w:sz w:val="16"/>
              </w:rPr>
              <w:t>9</w:t>
            </w:r>
          </w:p>
        </w:tc>
        <w:tc>
          <w:tcPr>
            <w:tcW w:type="dxa" w:w="1425"/>
            <w:vAlign w:val="center"/>
          </w:tcPr>
          <w:p>
            <w:r>
              <w:rPr>
                <w:sz w:val="16"/>
              </w:rPr>
              <w:t>28</w:t>
            </w:r>
          </w:p>
        </w:tc>
        <w:tc>
          <w:tcPr>
            <w:tcW w:type="dxa" w:w="1425"/>
            <w:vAlign w:val="center"/>
          </w:tcPr>
          <w:p>
            <w:r>
              <w:rPr>
                <w:sz w:val="16"/>
              </w:rPr>
              <w:t>0,9472</w:t>
            </w:r>
          </w:p>
        </w:tc>
        <w:tc>
          <w:tcPr>
            <w:tcW w:type="dxa" w:w="1425"/>
            <w:vAlign w:val="center"/>
          </w:tcPr>
          <w:p>
            <w:r>
              <w:rPr>
                <w:sz w:val="16"/>
              </w:rPr>
              <w:t>0,9523</w:t>
            </w:r>
          </w:p>
        </w:tc>
        <w:tc>
          <w:tcPr>
            <w:tcW w:type="dxa" w:w="1425"/>
            <w:vAlign w:val="center"/>
          </w:tcPr>
          <w:p>
            <w:r>
              <w:rPr>
                <w:sz w:val="16"/>
              </w:rPr>
              <w:t>0,8052</w:t>
            </w:r>
          </w:p>
        </w:tc>
        <w:tc>
          <w:tcPr>
            <w:tcW w:type="dxa" w:w="1425"/>
            <w:vAlign w:val="center"/>
          </w:tcPr>
          <w:p>
            <w:r>
              <w:rPr>
                <w:sz w:val="16"/>
              </w:rPr>
              <w:t>0,9908</w:t>
            </w:r>
          </w:p>
        </w:tc>
        <w:tc>
          <w:tcPr>
            <w:tcW w:type="dxa" w:w="1425"/>
            <w:vAlign w:val="center"/>
          </w:tcPr>
          <w:p>
            <w:r>
              <w:rPr>
                <w:sz w:val="16"/>
              </w:rPr>
              <w:t>1,0577</w:t>
            </w:r>
          </w:p>
        </w:tc>
      </w:tr>
    </w:tbl>
    <w:p>
      <w:r>
        <w:t>Die gruppenbezogenen Mittelwerte liegen nahezu durchgehend oberhalb von 0,92. Besonders hoch liegen die Gruppen 5 und 8 mit Mittelwerten oberhalb von 0,955. Die niedrigeren Minimalwerte in einzelnen Gruppen verweisen auf punktuelle Entkopplungen, ändern aber nicht die globale Struktur der Resonanzkopplung.</w:t>
      </w:r>
    </w:p>
    <w:p>
      <w:pPr>
        <w:pStyle w:val="Heading1"/>
      </w:pPr>
      <w:r>
        <w:t>7. Grafische Auswertung mit Dateinamen</w:t>
      </w:r>
    </w:p>
    <w:p>
      <w:r>
        <w:rPr>
          <w:b/>
        </w:rPr>
        <w:t>Abbildung A6.x.4-1: Histogramm der Kosinusähnlichkeiten</w:t>
      </w:r>
    </w:p>
    <w:p>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hist_kosinus_resonanz.png"/>
                    <pic:cNvPicPr/>
                  </pic:nvPicPr>
                  <pic:blipFill>
                    <a:blip r:embed="rId9"/>
                    <a:stretch>
                      <a:fillRect/>
                    </a:stretch>
                  </pic:blipFill>
                  <pic:spPr>
                    <a:xfrm>
                      <a:off x="0" y="0"/>
                      <a:ext cx="5303520" cy="3314700"/>
                    </a:xfrm>
                    <a:prstGeom prst="rect"/>
                  </pic:spPr>
                </pic:pic>
              </a:graphicData>
            </a:graphic>
          </wp:inline>
        </w:drawing>
      </w:r>
    </w:p>
    <w:p>
      <w:pPr>
        <w:jc w:val="center"/>
      </w:pPr>
      <w:r>
        <w:t>Dateiname: hist_kosinus_resonanz.png. Das Histogramm dokumentiert die starke Konzentration der gültigen Fälle im oberen Kosinusbereich.</w:t>
      </w:r>
    </w:p>
    <w:p>
      <w:r>
        <w:rPr>
          <w:b/>
        </w:rPr>
        <w:t>Abbildung A6.x.4-2: Boxplot der Kosinusähnlichkeit nach Teilmenge</w:t>
      </w:r>
    </w:p>
    <w:p>
      <w:r>
        <w:drawing>
          <wp:inline xmlns:a="http://schemas.openxmlformats.org/drawingml/2006/main" xmlns:pic="http://schemas.openxmlformats.org/drawingml/2006/picture">
            <wp:extent cx="5303520" cy="3977640"/>
            <wp:docPr id="2" name="Picture 2"/>
            <wp:cNvGraphicFramePr>
              <a:graphicFrameLocks noChangeAspect="1"/>
            </wp:cNvGraphicFramePr>
            <a:graphic>
              <a:graphicData uri="http://schemas.openxmlformats.org/drawingml/2006/picture">
                <pic:pic>
                  <pic:nvPicPr>
                    <pic:cNvPr id="0" name="boxplot_kosinus_nach_subset.png"/>
                    <pic:cNvPicPr/>
                  </pic:nvPicPr>
                  <pic:blipFill>
                    <a:blip r:embed="rId10"/>
                    <a:stretch>
                      <a:fillRect/>
                    </a:stretch>
                  </pic:blipFill>
                  <pic:spPr>
                    <a:xfrm>
                      <a:off x="0" y="0"/>
                      <a:ext cx="5303520" cy="3977640"/>
                    </a:xfrm>
                    <a:prstGeom prst="rect"/>
                  </pic:spPr>
                </pic:pic>
              </a:graphicData>
            </a:graphic>
          </wp:inline>
        </w:drawing>
      </w:r>
    </w:p>
    <w:p>
      <w:pPr>
        <w:jc w:val="center"/>
      </w:pPr>
      <w:r>
        <w:t>Dateiname: boxplot_kosinus_nach_subset.png. Der Boxplot zeigt die Verteilung der Kosinusähnlichkeiten in der Exportteilmenge. Da im vorliegenden Export nur lehrkraft_id=1 enthalten ist, entspricht diese Teilmenge der Gesamtauswertung.</w:t>
      </w:r>
    </w:p>
    <w:p>
      <w:r>
        <w:rPr>
          <w:b/>
        </w:rPr>
        <w:t>Abbildung A6.x.4-3: Streudiagramm Distanz und Resonanz</w:t>
      </w:r>
    </w:p>
    <w:p>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scatter_distanz_kosinus.png"/>
                    <pic:cNvPicPr/>
                  </pic:nvPicPr>
                  <pic:blipFill>
                    <a:blip r:embed="rId11"/>
                    <a:stretch>
                      <a:fillRect/>
                    </a:stretch>
                  </pic:blipFill>
                  <pic:spPr>
                    <a:xfrm>
                      <a:off x="0" y="0"/>
                      <a:ext cx="5303520" cy="3314700"/>
                    </a:xfrm>
                    <a:prstGeom prst="rect"/>
                  </pic:spPr>
                </pic:pic>
              </a:graphicData>
            </a:graphic>
          </wp:inline>
        </w:drawing>
      </w:r>
    </w:p>
    <w:p>
      <w:pPr>
        <w:jc w:val="center"/>
      </w:pPr>
      <w:r>
        <w:t>Dateiname: scatter_distanz_kosinus.png. Das Streudiagramm stellt euklidische Distanz und Kosinusähnlichkeit gegenüber und zeigt, dass hohe Richtungsähnlichkeit auch bei variierender Lage im 7D-Raum bestehen kann.</w:t>
      </w:r>
    </w:p>
    <w:p>
      <w:r>
        <w:rPr>
          <w:b/>
        </w:rPr>
        <w:t>Abbildung A6.x.4-4: Mittlere Kosinusähnlichkeit nach Gruppe</w:t>
      </w:r>
    </w:p>
    <w:p>
      <w:r>
        <w:drawing>
          <wp:inline xmlns:a="http://schemas.openxmlformats.org/drawingml/2006/main" xmlns:pic="http://schemas.openxmlformats.org/drawingml/2006/picture">
            <wp:extent cx="5303520" cy="2946400"/>
            <wp:docPr id="4" name="Picture 4"/>
            <wp:cNvGraphicFramePr>
              <a:graphicFrameLocks noChangeAspect="1"/>
            </wp:cNvGraphicFramePr>
            <a:graphic>
              <a:graphicData uri="http://schemas.openxmlformats.org/drawingml/2006/picture">
                <pic:pic>
                  <pic:nvPicPr>
                    <pic:cNvPr id="0" name="anlage_6x4_balken_kosinus_nach_gruppe.png"/>
                    <pic:cNvPicPr/>
                  </pic:nvPicPr>
                  <pic:blipFill>
                    <a:blip r:embed="rId12"/>
                    <a:stretch>
                      <a:fillRect/>
                    </a:stretch>
                  </pic:blipFill>
                  <pic:spPr>
                    <a:xfrm>
                      <a:off x="0" y="0"/>
                      <a:ext cx="5303520" cy="2946400"/>
                    </a:xfrm>
                    <a:prstGeom prst="rect"/>
                  </pic:spPr>
                </pic:pic>
              </a:graphicData>
            </a:graphic>
          </wp:inline>
        </w:drawing>
      </w:r>
    </w:p>
    <w:p>
      <w:pPr>
        <w:jc w:val="center"/>
      </w:pPr>
      <w:r>
        <w:t>Dateiname: anlage_6x4_balken_kosinus_nach_gruppe.png. Das ergänzte Balkendiagramm zeigt die gruppenbezogene Stabilität der globalen Resonanzkopplung.</w:t>
      </w:r>
    </w:p>
    <w:p>
      <w:r>
        <w:rPr>
          <w:b/>
        </w:rPr>
        <w:t>Abbildung A6.x.4-5: Dominante Lehrkraftdimensionen</w:t>
      </w:r>
    </w:p>
    <w:p>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anlage_6x4_dominante_dimensionen.png"/>
                    <pic:cNvPicPr/>
                  </pic:nvPicPr>
                  <pic:blipFill>
                    <a:blip r:embed="rId13"/>
                    <a:stretch>
                      <a:fillRect/>
                    </a:stretch>
                  </pic:blipFill>
                  <pic:spPr>
                    <a:xfrm>
                      <a:off x="0" y="0"/>
                      <a:ext cx="5303520" cy="3314700"/>
                    </a:xfrm>
                    <a:prstGeom prst="rect"/>
                  </pic:spPr>
                </pic:pic>
              </a:graphicData>
            </a:graphic>
          </wp:inline>
        </w:drawing>
      </w:r>
    </w:p>
    <w:p>
      <w:pPr>
        <w:jc w:val="center"/>
      </w:pPr>
      <w:r>
        <w:t>Dateiname: anlage_6x4_dominante_dimensionen.png. Das ergänzte Diagramm zeigt, welche semantischen Dimensionen in den Lehrkraftvektoren dominant auftreten.</w:t>
      </w:r>
    </w:p>
    <w:p>
      <w:pPr>
        <w:pStyle w:val="Heading1"/>
      </w:pPr>
      <w:r>
        <w:t>8. Dominante Dimensionen</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fill="D9EAF7"/>
          </w:tcPr>
          <w:p>
            <w:r>
              <w:rPr>
                <w:b/>
                <w:sz w:val="16"/>
              </w:rPr>
              <w:t>Dominante Dimension</w:t>
            </w:r>
          </w:p>
        </w:tc>
        <w:tc>
          <w:tcPr>
            <w:tcW w:type="dxa" w:w="3324"/>
            <w:shd w:fill="D9EAF7"/>
          </w:tcPr>
          <w:p>
            <w:r>
              <w:rPr>
                <w:b/>
                <w:sz w:val="16"/>
              </w:rPr>
              <w:t>n</w:t>
            </w:r>
          </w:p>
        </w:tc>
        <w:tc>
          <w:tcPr>
            <w:tcW w:type="dxa" w:w="3324"/>
            <w:shd w:fill="D9EAF7"/>
          </w:tcPr>
          <w:p>
            <w:r>
              <w:rPr>
                <w:b/>
                <w:sz w:val="16"/>
              </w:rPr>
              <w:t>Anteil</w:t>
            </w:r>
          </w:p>
        </w:tc>
      </w:tr>
      <w:tr>
        <w:tc>
          <w:tcPr>
            <w:tcW w:type="dxa" w:w="3324"/>
            <w:vAlign w:val="center"/>
          </w:tcPr>
          <w:p>
            <w:r>
              <w:rPr>
                <w:sz w:val="16"/>
              </w:rPr>
              <w:t>kognition</w:t>
            </w:r>
          </w:p>
        </w:tc>
        <w:tc>
          <w:tcPr>
            <w:tcW w:type="dxa" w:w="3324"/>
            <w:vAlign w:val="center"/>
          </w:tcPr>
          <w:p>
            <w:r>
              <w:rPr>
                <w:sz w:val="16"/>
              </w:rPr>
              <w:t>118</w:t>
            </w:r>
          </w:p>
        </w:tc>
        <w:tc>
          <w:tcPr>
            <w:tcW w:type="dxa" w:w="3324"/>
            <w:vAlign w:val="center"/>
          </w:tcPr>
          <w:p>
            <w:r>
              <w:rPr>
                <w:sz w:val="16"/>
              </w:rPr>
              <w:t>42,29 %</w:t>
            </w:r>
          </w:p>
        </w:tc>
      </w:tr>
      <w:tr>
        <w:tc>
          <w:tcPr>
            <w:tcW w:type="dxa" w:w="3324"/>
            <w:vAlign w:val="center"/>
          </w:tcPr>
          <w:p>
            <w:r>
              <w:rPr>
                <w:sz w:val="16"/>
              </w:rPr>
              <w:t>performanz</w:t>
            </w:r>
          </w:p>
        </w:tc>
        <w:tc>
          <w:tcPr>
            <w:tcW w:type="dxa" w:w="3324"/>
            <w:vAlign w:val="center"/>
          </w:tcPr>
          <w:p>
            <w:r>
              <w:rPr>
                <w:sz w:val="16"/>
              </w:rPr>
              <w:t>96</w:t>
            </w:r>
          </w:p>
        </w:tc>
        <w:tc>
          <w:tcPr>
            <w:tcW w:type="dxa" w:w="3324"/>
            <w:vAlign w:val="center"/>
          </w:tcPr>
          <w:p>
            <w:r>
              <w:rPr>
                <w:sz w:val="16"/>
              </w:rPr>
              <w:t>34,41 %</w:t>
            </w:r>
          </w:p>
        </w:tc>
      </w:tr>
      <w:tr>
        <w:tc>
          <w:tcPr>
            <w:tcW w:type="dxa" w:w="3324"/>
            <w:vAlign w:val="center"/>
          </w:tcPr>
          <w:p>
            <w:r>
              <w:rPr>
                <w:sz w:val="16"/>
              </w:rPr>
              <w:t>regulation</w:t>
            </w:r>
          </w:p>
        </w:tc>
        <w:tc>
          <w:tcPr>
            <w:tcW w:type="dxa" w:w="3324"/>
            <w:vAlign w:val="center"/>
          </w:tcPr>
          <w:p>
            <w:r>
              <w:rPr>
                <w:sz w:val="16"/>
              </w:rPr>
              <w:t>41</w:t>
            </w:r>
          </w:p>
        </w:tc>
        <w:tc>
          <w:tcPr>
            <w:tcW w:type="dxa" w:w="3324"/>
            <w:vAlign w:val="center"/>
          </w:tcPr>
          <w:p>
            <w:r>
              <w:rPr>
                <w:sz w:val="16"/>
              </w:rPr>
              <w:t>14,70 %</w:t>
            </w:r>
          </w:p>
        </w:tc>
      </w:tr>
      <w:tr>
        <w:tc>
          <w:tcPr>
            <w:tcW w:type="dxa" w:w="3324"/>
            <w:vAlign w:val="center"/>
          </w:tcPr>
          <w:p>
            <w:r>
              <w:rPr>
                <w:sz w:val="16"/>
              </w:rPr>
              <w:t>methodik</w:t>
            </w:r>
          </w:p>
        </w:tc>
        <w:tc>
          <w:tcPr>
            <w:tcW w:type="dxa" w:w="3324"/>
            <w:vAlign w:val="center"/>
          </w:tcPr>
          <w:p>
            <w:r>
              <w:rPr>
                <w:sz w:val="16"/>
              </w:rPr>
              <w:t>13</w:t>
            </w:r>
          </w:p>
        </w:tc>
        <w:tc>
          <w:tcPr>
            <w:tcW w:type="dxa" w:w="3324"/>
            <w:vAlign w:val="center"/>
          </w:tcPr>
          <w:p>
            <w:r>
              <w:rPr>
                <w:sz w:val="16"/>
              </w:rPr>
              <w:t>4,66 %</w:t>
            </w:r>
          </w:p>
        </w:tc>
      </w:tr>
      <w:tr>
        <w:tc>
          <w:tcPr>
            <w:tcW w:type="dxa" w:w="3324"/>
            <w:vAlign w:val="center"/>
          </w:tcPr>
          <w:p>
            <w:r>
              <w:rPr>
                <w:sz w:val="16"/>
              </w:rPr>
              <w:t>motivation</w:t>
            </w:r>
          </w:p>
        </w:tc>
        <w:tc>
          <w:tcPr>
            <w:tcW w:type="dxa" w:w="3324"/>
            <w:vAlign w:val="center"/>
          </w:tcPr>
          <w:p>
            <w:r>
              <w:rPr>
                <w:sz w:val="16"/>
              </w:rPr>
              <w:t>11</w:t>
            </w:r>
          </w:p>
        </w:tc>
        <w:tc>
          <w:tcPr>
            <w:tcW w:type="dxa" w:w="3324"/>
            <w:vAlign w:val="center"/>
          </w:tcPr>
          <w:p>
            <w:r>
              <w:rPr>
                <w:sz w:val="16"/>
              </w:rPr>
              <w:t>3,94 %</w:t>
            </w:r>
          </w:p>
        </w:tc>
      </w:tr>
    </w:tbl>
    <w:p>
      <w:r>
        <w:t>Die dominanten Lehrkraftdimensionen konzentrieren sich vor allem auf Kognition und Performanz. Kognition tritt in 118 gültigen Fällen als dominante Dimension auf, Performanz in 99 Fällen. Regulation folgt mit 41 Fällen. Diese Verteilung zeigt, dass die globale Resonanzkopplung nicht nur affektiv oder sozial getragen ist, sondern stark über fachlich-kognitive und leistungsbezogene Zustandsachsen organisiert wird.</w:t>
      </w:r>
    </w:p>
    <w:p>
      <w:pPr>
        <w:pStyle w:val="Heading1"/>
      </w:pPr>
      <w:r>
        <w:t>9. Technische Interpretation der Befunde</w:t>
      </w:r>
    </w:p>
    <w:p>
      <w:r>
        <w:t>Die technische Auswertung stützt die Aussage des Haupttextes, dass die globalen Kosinusähnlichkeiten mehrfach im Bereich von 0,93 bis 0,95 und darüber liegen. Der Mittelwert beträgt 0,9434, der Median 0,9568. 251 von 279 gültigen Fällen erreichen mindestens 0,90; 212 Fälle erreichen mindestens 0,93; 165 Fälle erreichen mindestens 0,95. Damit ist die Kopplung nicht nur punktuell sichtbar, sondern bildet den dominanten Normalfall der Auswertung.</w:t>
      </w:r>
    </w:p>
    <w:p>
      <w:r>
        <w:t>Für die Interpretation ist wichtig, dass die Kosinusähnlichkeit die Richtung der semantischen Vektoren misst. Teilnehmer- und Lehrkraftzustände müssen also nicht dieselbe absolute Intensität besitzen, um als gekoppelt zu gelten. Entscheidend ist, dass sie im 7D-Raum ähnlich orientiert sind. Genau dieser Befund liegt vor: Die Teilnehmerzustände erscheinen nicht unabhängig von der Lehrkraftstruktur, sondern innerhalb eines gemeinsamen semantischen Resonanzraumes.</w:t>
      </w:r>
    </w:p>
    <w:p>
      <w:pPr>
        <w:pStyle w:val="Heading1"/>
      </w:pPr>
      <w:r>
        <w:t>10. Grenzen der technischen Auswertung</w:t>
      </w:r>
    </w:p>
    <w:p>
      <w:r>
        <w:t>Die Anlage dokumentiert die globale Kopplung auf Grundlage des vorliegenden JSON-Exports. Da in diesem Export ausschließlich lehrkraft_id=1 enthalten ist, kann der Vergleich mit anderen Lehrkräften hier nicht empirisch ausgewiesen werden. Ebenso ersetzt die globale Kosinusähnlichkeit keine Kausalitätsprüfung. Sie zeigt eine starke strukturelle Kopplung, aber noch keine Richtung der Wirkung. Für weiterführende Validierungen sind zeitversetzte Resonanzanalysen, Zufallspermutationen und Gegenvergleiche mit falsch gematchten Gruppen erforderlich.</w:t>
      </w:r>
    </w:p>
    <w:p>
      <w:pPr>
        <w:pStyle w:val="Heading1"/>
      </w:pPr>
      <w:r>
        <w:t>11. Reproduzierbarkeit</w:t>
      </w:r>
    </w:p>
    <w:p>
      <w:r>
        <w:t>Alle Tabellen und Grafiken dieser Anlage lassen sich aus der Datei 6x4_globale_semantische_resonanz_match.json reproduzieren. Die wichtigsten abgeleiteten Tabellen wurden zusätzlich als CSV-Dateien gespeichert. Die zentrale Ergebnisdatei der technischen Anlage lautet: Anlage_6x4_Globale_semantische_Resonanzkopplung_Technik.docx.</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