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F30CC" w14:textId="77777777" w:rsidR="009933E1" w:rsidRPr="009933E1" w:rsidRDefault="009933E1" w:rsidP="009933E1">
      <w:pPr>
        <w:rPr>
          <w:b/>
        </w:rPr>
      </w:pPr>
      <w:r w:rsidRPr="009933E1">
        <w:rPr>
          <w:b/>
        </w:rPr>
        <w:t>6.x.7.A Methodisch-didaktische Anlage zur regulatorischen Stabilisierung zwischen Lehrkraftsicht und Teilnehmersicht</w:t>
      </w:r>
    </w:p>
    <w:p w14:paraId="2E5FB8BC" w14:textId="77777777" w:rsidR="009933E1" w:rsidRPr="009933E1" w:rsidRDefault="009933E1" w:rsidP="009933E1">
      <w:pPr>
        <w:rPr>
          <w:b/>
        </w:rPr>
      </w:pPr>
      <w:r w:rsidRPr="009933E1">
        <w:rPr>
          <w:b/>
        </w:rPr>
        <w:t>6.x.7.A.1 Einordnung der Analyse</w:t>
      </w:r>
    </w:p>
    <w:p w14:paraId="293EC7BC" w14:textId="77777777" w:rsidR="009933E1" w:rsidRPr="009933E1" w:rsidRDefault="009933E1" w:rsidP="009933E1">
      <w:r w:rsidRPr="009933E1">
        <w:t>Die regulatorische Stabilisierung stellt innerhalb der vorliegenden Lehrkraft-Teilnehmer-Korrelationsanalysen einen der theoretisch und praktisch bedeutsamsten Befunde dar. Während die vorhergehenden Analysen vor allem Resonanzkopplungen, Driftprozesse oder nichtlineare Dynamiken untersuchten, richtet sich die regulatorische Analyse auf die Frage, welche Mechanismen innerhalb pädagogischer Systeme überhaupt langfristige Stabilität erzeugen können.</w:t>
      </w:r>
    </w:p>
    <w:p w14:paraId="68813D0E" w14:textId="77777777" w:rsidR="009933E1" w:rsidRPr="009933E1" w:rsidRDefault="009933E1" w:rsidP="009933E1">
      <w:r w:rsidRPr="009933E1">
        <w:t xml:space="preserve">Aus Sicht des FRZK besitzt Regulation eine Sonderstellung. Regulation beschreibt nicht die Vermittlung fachlicher Inhalte, sondern die Fähigkeit eines Systems, seine eigene Dynamik zu organisieren. Damit steht Regulation an der Schnittstelle zwischen Kohärenzbildung, Selbststeuerung und Stabilisierung. Die theoretische Erwartung lautet daher, dass regulatorische Lehrkraftzustände nicht primär Wissen erzeugen, sondern die Bedingungen schaffen, unter denen Wissen stabil aufgebaut werden kann. Diese Annahme entspricht grundlegenden Konzepten der Selbstregulationsforschung, der </w:t>
      </w:r>
      <w:proofErr w:type="spellStart"/>
      <w:r w:rsidRPr="009933E1">
        <w:t>ko</w:t>
      </w:r>
      <w:proofErr w:type="spellEnd"/>
      <w:r w:rsidRPr="009933E1">
        <w:t>-regulierten Lernprozesse sowie moderner Theorien adaptiver Unterrichtsgestaltung [1–4].</w:t>
      </w:r>
    </w:p>
    <w:p w14:paraId="4110200C" w14:textId="77777777" w:rsidR="009933E1" w:rsidRPr="009933E1" w:rsidRDefault="009933E1" w:rsidP="009933E1">
      <w:r w:rsidRPr="009933E1">
        <w:t>Die empirischen Ergebnisse der Korrelationsanalyse zeigen genau diese Struktur. Hohe regulatorische Lehrkraftzustände gehen mit erhöhter Kohärenz (r = 0,723), reduzierter semantischer Breite (r = –0,732) und verringerter Drift (r = –0,346) einher. Gleichzeitig bestehen nahezu keine Zusammenhänge zur emotionalen Valenz (r = 0,009). Regulation wirkt damit nicht primär affektiv, sondern strukturell.</w:t>
      </w:r>
    </w:p>
    <w:p w14:paraId="22AA3DA9" w14:textId="77777777" w:rsidR="009933E1" w:rsidRPr="009933E1" w:rsidRDefault="009933E1" w:rsidP="009933E1">
      <w:r w:rsidRPr="009933E1">
        <w:pict w14:anchorId="76058BE4">
          <v:rect id="_x0000_i1235" style="width:0;height:1.5pt" o:hralign="center" o:hrstd="t" o:hr="t" fillcolor="#a0a0a0" stroked="f"/>
        </w:pict>
      </w:r>
    </w:p>
    <w:p w14:paraId="780C32F0" w14:textId="77777777" w:rsidR="009933E1" w:rsidRPr="009933E1" w:rsidRDefault="009933E1" w:rsidP="009933E1">
      <w:pPr>
        <w:rPr>
          <w:b/>
        </w:rPr>
      </w:pPr>
      <w:r w:rsidRPr="009933E1">
        <w:rPr>
          <w:b/>
        </w:rPr>
        <w:t>6.x.7.A.2 Regulation als Kohärenzmechanismus</w:t>
      </w:r>
    </w:p>
    <w:p w14:paraId="070B2A63" w14:textId="77777777" w:rsidR="009933E1" w:rsidRPr="009933E1" w:rsidRDefault="009933E1" w:rsidP="009933E1">
      <w:r w:rsidRPr="009933E1">
        <w:t>Der stärkste Befund der Analyse betrifft die Beziehung zwischen Regulation und Kohärenz. Die hohe Korrelation von r = 0,723 deutet darauf hin, dass regulatorische Lehrkraftzustände unmittelbar mit kohärenteren Teilnehmerzuständen verbunden sind.</w:t>
      </w:r>
    </w:p>
    <w:p w14:paraId="5265BB8E" w14:textId="77777777" w:rsidR="009933E1" w:rsidRPr="009933E1" w:rsidRDefault="009933E1" w:rsidP="009933E1">
      <w:r w:rsidRPr="009933E1">
        <w:t>Didaktisch betrachtet bedeutet dies, dass Regulation offenbar nicht lediglich Ordnung im organisatorischen Sinn erzeugt, sondern die Ausbildung konsistenter Bedeutungsräume unterstützt. Lernende erleben dadurch weniger konkurrierende Interpretationen, weniger widersprüchliche Zielzustände und insgesamt stabilere semantische Orientierungen.</w:t>
      </w:r>
    </w:p>
    <w:p w14:paraId="23D91B24" w14:textId="77777777" w:rsidR="009933E1" w:rsidRPr="009933E1" w:rsidRDefault="009933E1" w:rsidP="009933E1">
      <w:r w:rsidRPr="009933E1">
        <w:t xml:space="preserve">Dieser Befund entspricht den Arbeiten von Zimmerman [1], Bandura [2] und </w:t>
      </w:r>
      <w:proofErr w:type="spellStart"/>
      <w:r w:rsidRPr="009933E1">
        <w:t>Hadwin</w:t>
      </w:r>
      <w:proofErr w:type="spellEnd"/>
      <w:r w:rsidRPr="009933E1">
        <w:t xml:space="preserve"> et al. [3], die zeigen konnten, dass erfolgreiche Lernprozesse in hohem Maße von regulatorischen Strukturen abhängen. Die vorliegenden Daten erweitern diese Perspektive jedoch entscheidend. Regulation erscheint hier nicht mehr als individuelle Eigenschaft des Lernenden, sondern als Eigenschaft eines gekoppelten pädagogischen Systems.</w:t>
      </w:r>
    </w:p>
    <w:p w14:paraId="5AF304C6" w14:textId="77777777" w:rsidR="009933E1" w:rsidRPr="009933E1" w:rsidRDefault="009933E1" w:rsidP="009933E1">
      <w:r w:rsidRPr="009933E1">
        <w:t>Im FRZK bedeutet dies, dass Kohärenz nicht allein durch Wissen entsteht, sondern durch die Fähigkeit des Systems, Bedeutungsräume zu stabilisieren.</w:t>
      </w:r>
    </w:p>
    <w:p w14:paraId="380B11D2" w14:textId="77777777" w:rsidR="009933E1" w:rsidRPr="009933E1" w:rsidRDefault="009933E1" w:rsidP="009933E1">
      <w:r w:rsidRPr="009933E1">
        <w:pict w14:anchorId="4DD4A11D">
          <v:rect id="_x0000_i1236" style="width:0;height:1.5pt" o:hralign="center" o:hrstd="t" o:hr="t" fillcolor="#a0a0a0" stroked="f"/>
        </w:pict>
      </w:r>
    </w:p>
    <w:p w14:paraId="1BB782BA" w14:textId="77777777" w:rsidR="009933E1" w:rsidRPr="009933E1" w:rsidRDefault="009933E1" w:rsidP="009933E1">
      <w:pPr>
        <w:rPr>
          <w:b/>
        </w:rPr>
      </w:pPr>
      <w:r w:rsidRPr="009933E1">
        <w:rPr>
          <w:b/>
        </w:rPr>
        <w:t>6.x.7.A.3 Regulation und Driftreduktion</w:t>
      </w:r>
    </w:p>
    <w:p w14:paraId="6A1EE073" w14:textId="77777777" w:rsidR="009933E1" w:rsidRPr="009933E1" w:rsidRDefault="009933E1" w:rsidP="009933E1">
      <w:r w:rsidRPr="009933E1">
        <w:t>Besonders interessant erscheint die negative Korrelation zwischen Regulation und Drift.</w:t>
      </w:r>
    </w:p>
    <w:p w14:paraId="3D959589" w14:textId="77777777" w:rsidR="009933E1" w:rsidRPr="009933E1" w:rsidRDefault="009933E1" w:rsidP="009933E1">
      <w:r w:rsidRPr="009933E1">
        <w:t xml:space="preserve">r=−0,346r=-0,346r=−0,346 </w:t>
      </w:r>
    </w:p>
    <w:p w14:paraId="2E9688FB" w14:textId="77777777" w:rsidR="009933E1" w:rsidRPr="009933E1" w:rsidRDefault="009933E1" w:rsidP="009933E1">
      <w:r w:rsidRPr="009933E1">
        <w:lastRenderedPageBreak/>
        <w:t>Drift beschreibt im FRZK die Veränderung semantischer Zustände zwischen zwei Zeitpunkten. Hohe Driftwerte stehen für Instabilität, Orientierungswechsel oder Übergangsprozesse.</w:t>
      </w:r>
    </w:p>
    <w:p w14:paraId="6011C159" w14:textId="77777777" w:rsidR="009933E1" w:rsidRPr="009933E1" w:rsidRDefault="009933E1" w:rsidP="009933E1">
      <w:r w:rsidRPr="009933E1">
        <w:t>Die Daten zeigen, dass regulatorische Lehrkraftzustände die Drift der Teilnehmerzustände reduzieren. Aus didaktischer Perspektive bedeutet dies, dass regulatorische Interventionen nicht zwangsläufig neue Lernzustände erzeugen, sondern vielmehr bestehende Zustände stabilisieren.</w:t>
      </w:r>
    </w:p>
    <w:p w14:paraId="24336E11" w14:textId="77777777" w:rsidR="009933E1" w:rsidRPr="009933E1" w:rsidRDefault="009933E1" w:rsidP="009933E1">
      <w:r w:rsidRPr="009933E1">
        <w:t>Dieser Befund besitzt erhebliche praktische Bedeutung. Viele Lernschwierigkeiten entstehen nicht durch fehlende Wissensvermittlung, sondern durch mangelnde Stabilisierung bereits vorhandener Wissensstrukturen. Regulation wirkt hier wie ein Dämpfungsmechanismus, der verhindert, dass Lernende zwischen konkurrierenden Bedeutungsräumen oszillieren.</w:t>
      </w:r>
    </w:p>
    <w:p w14:paraId="641249E1" w14:textId="77777777" w:rsidR="009933E1" w:rsidRPr="009933E1" w:rsidRDefault="009933E1" w:rsidP="009933E1">
      <w:r w:rsidRPr="009933E1">
        <w:t xml:space="preserve">Die Ergebnisse stehen damit in enger Beziehung zu den Arbeiten von </w:t>
      </w:r>
      <w:proofErr w:type="spellStart"/>
      <w:r w:rsidRPr="009933E1">
        <w:t>Boekaerts</w:t>
      </w:r>
      <w:proofErr w:type="spellEnd"/>
      <w:r w:rsidRPr="009933E1">
        <w:t xml:space="preserve"> und Corno [4], welche Regulation als Schutzmechanismus gegen kognitive Überlastung und instabile Lernverläufe beschreiben.</w:t>
      </w:r>
    </w:p>
    <w:p w14:paraId="2CA9366C" w14:textId="77777777" w:rsidR="009933E1" w:rsidRPr="009933E1" w:rsidRDefault="009933E1" w:rsidP="009933E1">
      <w:r w:rsidRPr="009933E1">
        <w:pict w14:anchorId="7135B5F7">
          <v:rect id="_x0000_i1237" style="width:0;height:1.5pt" o:hralign="center" o:hrstd="t" o:hr="t" fillcolor="#a0a0a0" stroked="f"/>
        </w:pict>
      </w:r>
    </w:p>
    <w:p w14:paraId="7299A679" w14:textId="77777777" w:rsidR="009933E1" w:rsidRPr="009933E1" w:rsidRDefault="009933E1" w:rsidP="009933E1">
      <w:pPr>
        <w:rPr>
          <w:b/>
        </w:rPr>
      </w:pPr>
      <w:r w:rsidRPr="009933E1">
        <w:rPr>
          <w:b/>
        </w:rPr>
        <w:t>6.x.7.A.4 Regulation und semantische Fokussierung</w:t>
      </w:r>
    </w:p>
    <w:p w14:paraId="0B94569D" w14:textId="77777777" w:rsidR="009933E1" w:rsidRPr="009933E1" w:rsidRDefault="009933E1" w:rsidP="009933E1">
      <w:r w:rsidRPr="009933E1">
        <w:t>Der stärkste Effekt der gesamten Analyse betrifft die semantische Breite.</w:t>
      </w:r>
    </w:p>
    <w:p w14:paraId="54CB72D1" w14:textId="77777777" w:rsidR="009933E1" w:rsidRPr="009933E1" w:rsidRDefault="009933E1" w:rsidP="009933E1">
      <w:r w:rsidRPr="009933E1">
        <w:t xml:space="preserve">r=−0,732r=-0,732r=−0,732 </w:t>
      </w:r>
    </w:p>
    <w:p w14:paraId="1C009518" w14:textId="77777777" w:rsidR="009933E1" w:rsidRPr="009933E1" w:rsidRDefault="009933E1" w:rsidP="009933E1">
      <w:r w:rsidRPr="009933E1">
        <w:t>Semantische Breite beschreibt innerhalb des FRZK die Anzahl gleichzeitig aktiver Bedeutungsräume. Hohe Werte stehen für konkurrierende Interpretationen, hybride Zustände oder parallele Orientierungssysteme.</w:t>
      </w:r>
    </w:p>
    <w:p w14:paraId="5D64730A" w14:textId="77777777" w:rsidR="009933E1" w:rsidRPr="009933E1" w:rsidRDefault="009933E1" w:rsidP="009933E1">
      <w:r w:rsidRPr="009933E1">
        <w:t>Die Ergebnisse zeigen, dass hohe regulatorische Lehrkraftzustände mit einer deutlichen Reduktion semantischer Breite verbunden sind.</w:t>
      </w:r>
    </w:p>
    <w:p w14:paraId="719E1EBF" w14:textId="77777777" w:rsidR="009933E1" w:rsidRPr="009933E1" w:rsidRDefault="009933E1" w:rsidP="009933E1">
      <w:r w:rsidRPr="009933E1">
        <w:t>Didaktisch bedeutet dies, dass Regulation die Fokussierung von Aufmerksamkeit unterstützt. Lernende konzentrieren ihre Ressourcen auf weniger konkurrierende Bedeutungsräume und können dadurch stabilere Wissensstrukturen aufbauen.</w:t>
      </w:r>
    </w:p>
    <w:p w14:paraId="5A0E769A" w14:textId="77777777" w:rsidR="009933E1" w:rsidRPr="009933E1" w:rsidRDefault="009933E1" w:rsidP="009933E1">
      <w:r w:rsidRPr="009933E1">
        <w:t>Gerade im Nachhilfekontext erscheint dieser Befund plausibel. Viele Teilnehmende kommen mit einer Vielzahl konkurrierender Vorstellungen, Unsicherheiten und Fehlkonzepte in die Nachhilfe. Die regulatorische Funktion der Lehrkraft besteht häufig nicht darin, neues Wissen hinzuzufügen, sondern darin, die Zahl gleichzeitig aktiver Bedeutungsräume zu reduzieren.</w:t>
      </w:r>
    </w:p>
    <w:p w14:paraId="77E8DD77" w14:textId="77777777" w:rsidR="009933E1" w:rsidRPr="009933E1" w:rsidRDefault="009933E1" w:rsidP="009933E1">
      <w:r w:rsidRPr="009933E1">
        <w:t>Aus Sicht des FRZK entsteht Stabilität somit nicht durch Informationszuwachs, sondern durch semantische Fokussierung.</w:t>
      </w:r>
    </w:p>
    <w:p w14:paraId="3B85112C" w14:textId="77777777" w:rsidR="009933E1" w:rsidRPr="009933E1" w:rsidRDefault="009933E1" w:rsidP="009933E1">
      <w:r w:rsidRPr="009933E1">
        <w:pict w14:anchorId="3492BC2B">
          <v:rect id="_x0000_i1238" style="width:0;height:1.5pt" o:hralign="center" o:hrstd="t" o:hr="t" fillcolor="#a0a0a0" stroked="f"/>
        </w:pict>
      </w:r>
    </w:p>
    <w:p w14:paraId="7AF09109" w14:textId="77777777" w:rsidR="009933E1" w:rsidRPr="009933E1" w:rsidRDefault="009933E1" w:rsidP="009933E1">
      <w:pPr>
        <w:rPr>
          <w:b/>
        </w:rPr>
      </w:pPr>
      <w:r w:rsidRPr="009933E1">
        <w:rPr>
          <w:b/>
        </w:rPr>
        <w:t>6.x.7.A.5 Die überraschende Bedeutungslosigkeit der emotionalen Valenz</w:t>
      </w:r>
    </w:p>
    <w:p w14:paraId="79F8EE1E" w14:textId="77777777" w:rsidR="009933E1" w:rsidRPr="009933E1" w:rsidRDefault="009933E1" w:rsidP="009933E1">
      <w:r w:rsidRPr="009933E1">
        <w:t>Einer der interessantesten Befunde der Analyse besteht im nahezu vollständigen Fehlen eines Zusammenhangs zwischen Regulation und emotionaler Valenz.</w:t>
      </w:r>
    </w:p>
    <w:p w14:paraId="5DD3EBCF" w14:textId="77777777" w:rsidR="009933E1" w:rsidRPr="009933E1" w:rsidRDefault="009933E1" w:rsidP="009933E1">
      <w:r w:rsidRPr="009933E1">
        <w:t xml:space="preserve">r=0,009r=0,009r=0,009 </w:t>
      </w:r>
    </w:p>
    <w:p w14:paraId="260A483B" w14:textId="77777777" w:rsidR="009933E1" w:rsidRPr="009933E1" w:rsidRDefault="009933E1" w:rsidP="009933E1">
      <w:r w:rsidRPr="009933E1">
        <w:t>Intuitiv wäre zu erwarten gewesen, dass hohe regulatorische Zustände zu positiveren Emotionen führen. Die Daten zeigen jedoch das Gegenteil. Regulation verändert die emotionale Grundstimmung kaum.</w:t>
      </w:r>
    </w:p>
    <w:p w14:paraId="7381C5B7" w14:textId="77777777" w:rsidR="009933E1" w:rsidRPr="009933E1" w:rsidRDefault="009933E1" w:rsidP="009933E1">
      <w:r w:rsidRPr="009933E1">
        <w:lastRenderedPageBreak/>
        <w:t>Dieser Befund ist theoretisch außerordentlich bedeutsam. Er legt nahe, dass Regulation nicht primär auf der emotionalen Ebene wirkt, sondern auf der Ebene semantischer Organisation.</w:t>
      </w:r>
    </w:p>
    <w:p w14:paraId="548AE5DB" w14:textId="77777777" w:rsidR="009933E1" w:rsidRPr="009933E1" w:rsidRDefault="009933E1" w:rsidP="009933E1">
      <w:r w:rsidRPr="009933E1">
        <w:t>Lernende können gleichzeitig:</w:t>
      </w:r>
    </w:p>
    <w:p w14:paraId="6FA0DD72" w14:textId="77777777" w:rsidR="009933E1" w:rsidRPr="009933E1" w:rsidRDefault="009933E1" w:rsidP="009933E1">
      <w:pPr>
        <w:numPr>
          <w:ilvl w:val="0"/>
          <w:numId w:val="7"/>
        </w:numPr>
      </w:pPr>
      <w:r w:rsidRPr="009933E1">
        <w:t xml:space="preserve">frustriert sein, </w:t>
      </w:r>
    </w:p>
    <w:p w14:paraId="095C44EB" w14:textId="77777777" w:rsidR="009933E1" w:rsidRPr="009933E1" w:rsidRDefault="009933E1" w:rsidP="009933E1">
      <w:pPr>
        <w:numPr>
          <w:ilvl w:val="0"/>
          <w:numId w:val="7"/>
        </w:numPr>
      </w:pPr>
      <w:r w:rsidRPr="009933E1">
        <w:t xml:space="preserve">überfordert sein, </w:t>
      </w:r>
    </w:p>
    <w:p w14:paraId="33CCB16E" w14:textId="77777777" w:rsidR="009933E1" w:rsidRPr="009933E1" w:rsidRDefault="009933E1" w:rsidP="009933E1">
      <w:pPr>
        <w:numPr>
          <w:ilvl w:val="0"/>
          <w:numId w:val="7"/>
        </w:numPr>
      </w:pPr>
      <w:r w:rsidRPr="009933E1">
        <w:t xml:space="preserve">an ihren Grenzen arbeiten, </w:t>
      </w:r>
    </w:p>
    <w:p w14:paraId="4EBF9C6E" w14:textId="77777777" w:rsidR="009933E1" w:rsidRPr="009933E1" w:rsidRDefault="009933E1" w:rsidP="009933E1">
      <w:r w:rsidRPr="009933E1">
        <w:t>und dennoch hochregulierte und stabile Lernprozesse erleben.</w:t>
      </w:r>
    </w:p>
    <w:p w14:paraId="27E10F24" w14:textId="77777777" w:rsidR="009933E1" w:rsidRPr="009933E1" w:rsidRDefault="009933E1" w:rsidP="009933E1">
      <w:r w:rsidRPr="009933E1">
        <w:t>Gerade die Nachhilfe liefert hierfür zahlreiche Beispiele. Viele Lernende erleben während anspruchsvoller Lernphasen Frustration oder Zweifel, bleiben jedoch aufgrund stabiler regulatorischer Strukturen weiterhin handlungsfähig. Die Daten sprechen deshalb dafür, dass erfolgreiche Lernprozesse nicht zwingend positive Emotionen voraussetzen.</w:t>
      </w:r>
    </w:p>
    <w:p w14:paraId="000E9021" w14:textId="77777777" w:rsidR="009933E1" w:rsidRPr="009933E1" w:rsidRDefault="009933E1" w:rsidP="009933E1">
      <w:r w:rsidRPr="009933E1">
        <w:t>Dieser Befund steht in bemerkenswerter Übereinstimmung mit den Arbeiten von Pekrun [5], der zeigen konnte, dass auch negative Emotionen produktive Lernprozesse begleiten können, sofern ausreichende Regulationsmechanismen vorhanden sind.</w:t>
      </w:r>
    </w:p>
    <w:p w14:paraId="49BBF05E" w14:textId="77777777" w:rsidR="009933E1" w:rsidRPr="009933E1" w:rsidRDefault="009933E1" w:rsidP="009933E1">
      <w:r w:rsidRPr="009933E1">
        <w:pict w14:anchorId="7C4985C6">
          <v:rect id="_x0000_i1239" style="width:0;height:1.5pt" o:hralign="center" o:hrstd="t" o:hr="t" fillcolor="#a0a0a0" stroked="f"/>
        </w:pict>
      </w:r>
    </w:p>
    <w:p w14:paraId="4A0130B3" w14:textId="77777777" w:rsidR="009933E1" w:rsidRPr="009933E1" w:rsidRDefault="009933E1" w:rsidP="009933E1">
      <w:pPr>
        <w:rPr>
          <w:b/>
        </w:rPr>
      </w:pPr>
      <w:r w:rsidRPr="009933E1">
        <w:rPr>
          <w:b/>
        </w:rPr>
        <w:t>6.x.7.A.6 Bedeutung für die Nachhilfeforschung</w:t>
      </w:r>
    </w:p>
    <w:p w14:paraId="2AB60F62" w14:textId="77777777" w:rsidR="009933E1" w:rsidRPr="009933E1" w:rsidRDefault="009933E1" w:rsidP="009933E1">
      <w:r w:rsidRPr="009933E1">
        <w:t>Für die Nachhilfeforschung besitzen die Ergebnisse besondere Relevanz.</w:t>
      </w:r>
    </w:p>
    <w:p w14:paraId="2578D99A" w14:textId="77777777" w:rsidR="009933E1" w:rsidRPr="009933E1" w:rsidRDefault="009933E1" w:rsidP="009933E1">
      <w:r w:rsidRPr="009933E1">
        <w:t>Nachhilfe unterscheidet sich von schulischen Großgruppensettings durch:</w:t>
      </w:r>
    </w:p>
    <w:p w14:paraId="2840A8DC" w14:textId="77777777" w:rsidR="009933E1" w:rsidRPr="009933E1" w:rsidRDefault="009933E1" w:rsidP="009933E1">
      <w:pPr>
        <w:numPr>
          <w:ilvl w:val="0"/>
          <w:numId w:val="8"/>
        </w:numPr>
      </w:pPr>
      <w:r w:rsidRPr="009933E1">
        <w:t xml:space="preserve">kleine Gruppengrößen, </w:t>
      </w:r>
    </w:p>
    <w:p w14:paraId="539AD770" w14:textId="77777777" w:rsidR="009933E1" w:rsidRPr="009933E1" w:rsidRDefault="009933E1" w:rsidP="009933E1">
      <w:pPr>
        <w:numPr>
          <w:ilvl w:val="0"/>
          <w:numId w:val="8"/>
        </w:numPr>
      </w:pPr>
      <w:r w:rsidRPr="009933E1">
        <w:t xml:space="preserve">hohe Interaktionsdichte, </w:t>
      </w:r>
    </w:p>
    <w:p w14:paraId="7647C385" w14:textId="77777777" w:rsidR="009933E1" w:rsidRPr="009933E1" w:rsidRDefault="009933E1" w:rsidP="009933E1">
      <w:pPr>
        <w:numPr>
          <w:ilvl w:val="0"/>
          <w:numId w:val="8"/>
        </w:numPr>
      </w:pPr>
      <w:r w:rsidRPr="009933E1">
        <w:t xml:space="preserve">langfristige Betreuung, </w:t>
      </w:r>
    </w:p>
    <w:p w14:paraId="3A24AB5F" w14:textId="77777777" w:rsidR="009933E1" w:rsidRPr="009933E1" w:rsidRDefault="009933E1" w:rsidP="009933E1">
      <w:pPr>
        <w:numPr>
          <w:ilvl w:val="0"/>
          <w:numId w:val="8"/>
        </w:numPr>
      </w:pPr>
      <w:r w:rsidRPr="009933E1">
        <w:t xml:space="preserve">intensive Beziehungskontinuität. </w:t>
      </w:r>
    </w:p>
    <w:p w14:paraId="2BCF1E46" w14:textId="77777777" w:rsidR="009933E1" w:rsidRPr="009933E1" w:rsidRDefault="009933E1" w:rsidP="009933E1">
      <w:r w:rsidRPr="009933E1">
        <w:t>Diese Bedingungen begünstigen die Ausbildung regulatorischer Resonanzräume. Die Daten legen nahe, dass ein wesentlicher Teil des Erfolgs von Nachhilfe nicht allein auf fachlicher Unterstützung beruht, sondern auf der Fähigkeit, semantische Stabilität zu erzeugen.</w:t>
      </w:r>
    </w:p>
    <w:p w14:paraId="43C93733" w14:textId="77777777" w:rsidR="009933E1" w:rsidRPr="009933E1" w:rsidRDefault="009933E1" w:rsidP="009933E1">
      <w:r w:rsidRPr="009933E1">
        <w:t>Regulation erscheint damit als ein bislang unterschätzter Wirkfaktor erfolgreicher Nachhilfe.</w:t>
      </w:r>
    </w:p>
    <w:p w14:paraId="19577C37" w14:textId="77777777" w:rsidR="009933E1" w:rsidRPr="009933E1" w:rsidRDefault="009933E1" w:rsidP="009933E1">
      <w:r w:rsidRPr="009933E1">
        <w:t>Aus meiner Sicht erklärt dies auch viele Beobachtungen aus der Praxis. Lernende kommen häufig mit hoher Unsicherheit, Frustration oder Überforderung in den Unterricht. Entscheidend für den Lernerfolg scheint jedoch weniger die unmittelbare Emotionslage zu sein als die Frage, ob ein stabiler regulatorischer Rahmen aufgebaut werden kann.</w:t>
      </w:r>
    </w:p>
    <w:p w14:paraId="4C4517E8" w14:textId="77777777" w:rsidR="009933E1" w:rsidRPr="009933E1" w:rsidRDefault="009933E1" w:rsidP="009933E1">
      <w:r w:rsidRPr="009933E1">
        <w:pict w14:anchorId="2B9DFA10">
          <v:rect id="_x0000_i1240" style="width:0;height:1.5pt" o:hralign="center" o:hrstd="t" o:hr="t" fillcolor="#a0a0a0" stroked="f"/>
        </w:pict>
      </w:r>
    </w:p>
    <w:p w14:paraId="11B2F587" w14:textId="77777777" w:rsidR="009933E1" w:rsidRPr="009933E1" w:rsidRDefault="009933E1" w:rsidP="009933E1">
      <w:pPr>
        <w:rPr>
          <w:b/>
        </w:rPr>
      </w:pPr>
      <w:r w:rsidRPr="009933E1">
        <w:rPr>
          <w:b/>
        </w:rPr>
        <w:t>6.x.7.A.7 Konsequenzen für die Bildungsforschung</w:t>
      </w:r>
    </w:p>
    <w:p w14:paraId="1981F225" w14:textId="77777777" w:rsidR="009933E1" w:rsidRPr="009933E1" w:rsidRDefault="009933E1" w:rsidP="009933E1">
      <w:r w:rsidRPr="009933E1">
        <w:t>Die Ergebnisse besitzen mehrere bildungswissenschaftliche Implikationen.</w:t>
      </w:r>
    </w:p>
    <w:p w14:paraId="29332E77" w14:textId="77777777" w:rsidR="009933E1" w:rsidRPr="009933E1" w:rsidRDefault="009933E1" w:rsidP="009933E1">
      <w:r w:rsidRPr="009933E1">
        <w:t>Erstens sprechen sie gegen rein additive Unterrichtsmodelle. Lernen entsteht nicht einfach durch die Anhäufung von Informationen, sondern durch die Stabilisierung semantischer Zustandsräume.</w:t>
      </w:r>
    </w:p>
    <w:p w14:paraId="2B8A4779" w14:textId="77777777" w:rsidR="009933E1" w:rsidRPr="009933E1" w:rsidRDefault="009933E1" w:rsidP="009933E1">
      <w:r w:rsidRPr="009933E1">
        <w:t>Zweitens legen die Daten nahe, Regulation als Systemeigenschaft zu betrachten. Die klassische Trennung zwischen Lehrkraftregulation und Selbstregulation der Lernenden erscheint vor diesem Hintergrund zu kurz gegriffen.</w:t>
      </w:r>
    </w:p>
    <w:p w14:paraId="72E4C84B" w14:textId="77777777" w:rsidR="009933E1" w:rsidRPr="009933E1" w:rsidRDefault="009933E1" w:rsidP="009933E1">
      <w:r w:rsidRPr="009933E1">
        <w:lastRenderedPageBreak/>
        <w:t>Drittens eröffnet die Analyse neue Möglichkeiten empirischer Unterrichtsforschung. Anstatt ausschließlich Leistungsergebnisse oder emotionale Zustände zu betrachten, können semantische Stabilitätsparameter direkt untersucht werden.</w:t>
      </w:r>
    </w:p>
    <w:p w14:paraId="4DE4CF32" w14:textId="77777777" w:rsidR="009933E1" w:rsidRPr="009933E1" w:rsidRDefault="009933E1" w:rsidP="009933E1">
      <w:r w:rsidRPr="009933E1">
        <w:t>Damit liefert die regulatorische Stabilisierung einen ersten empirischen Hinweis darauf, dass pädagogische Systeme über messbare Kohärenzmechanismen verfügen, die sich durch semantische Zustandsanalysen sichtbar machen lassen.</w:t>
      </w:r>
    </w:p>
    <w:p w14:paraId="5DED8502" w14:textId="77777777" w:rsidR="009933E1" w:rsidRPr="009933E1" w:rsidRDefault="009933E1" w:rsidP="009933E1">
      <w:r w:rsidRPr="009933E1">
        <w:pict w14:anchorId="668EF879">
          <v:rect id="_x0000_i1241" style="width:0;height:1.5pt" o:hralign="center" o:hrstd="t" o:hr="t" fillcolor="#a0a0a0" stroked="f"/>
        </w:pict>
      </w:r>
    </w:p>
    <w:p w14:paraId="7C148161" w14:textId="77777777" w:rsidR="009933E1" w:rsidRPr="009933E1" w:rsidRDefault="009933E1" w:rsidP="009933E1">
      <w:pPr>
        <w:rPr>
          <w:b/>
        </w:rPr>
      </w:pPr>
      <w:r w:rsidRPr="009933E1">
        <w:rPr>
          <w:b/>
        </w:rPr>
        <w:t>Literaturverzeichnis</w:t>
      </w:r>
    </w:p>
    <w:p w14:paraId="39B45668" w14:textId="77777777" w:rsidR="009933E1" w:rsidRPr="009933E1" w:rsidRDefault="009933E1" w:rsidP="009933E1">
      <w:r w:rsidRPr="009933E1">
        <w:t xml:space="preserve">[1] Zimmerman, B. J. (2000). </w:t>
      </w:r>
      <w:proofErr w:type="spellStart"/>
      <w:r w:rsidRPr="009933E1">
        <w:rPr>
          <w:i/>
          <w:iCs/>
        </w:rPr>
        <w:t>Attaining</w:t>
      </w:r>
      <w:proofErr w:type="spellEnd"/>
      <w:r w:rsidRPr="009933E1">
        <w:rPr>
          <w:i/>
          <w:iCs/>
        </w:rPr>
        <w:t xml:space="preserve"> Self-Regulation: A </w:t>
      </w:r>
      <w:proofErr w:type="spellStart"/>
      <w:r w:rsidRPr="009933E1">
        <w:rPr>
          <w:i/>
          <w:iCs/>
        </w:rPr>
        <w:t>Social</w:t>
      </w:r>
      <w:proofErr w:type="spellEnd"/>
      <w:r w:rsidRPr="009933E1">
        <w:rPr>
          <w:i/>
          <w:iCs/>
        </w:rPr>
        <w:t xml:space="preserve"> </w:t>
      </w:r>
      <w:proofErr w:type="spellStart"/>
      <w:r w:rsidRPr="009933E1">
        <w:rPr>
          <w:i/>
          <w:iCs/>
        </w:rPr>
        <w:t>Cognitive</w:t>
      </w:r>
      <w:proofErr w:type="spellEnd"/>
      <w:r w:rsidRPr="009933E1">
        <w:rPr>
          <w:i/>
          <w:iCs/>
        </w:rPr>
        <w:t xml:space="preserve"> </w:t>
      </w:r>
      <w:proofErr w:type="spellStart"/>
      <w:r w:rsidRPr="009933E1">
        <w:rPr>
          <w:i/>
          <w:iCs/>
        </w:rPr>
        <w:t>Perspective</w:t>
      </w:r>
      <w:proofErr w:type="spellEnd"/>
      <w:r w:rsidRPr="009933E1">
        <w:t xml:space="preserve">. In: Handbook </w:t>
      </w:r>
      <w:proofErr w:type="spellStart"/>
      <w:r w:rsidRPr="009933E1">
        <w:t>of</w:t>
      </w:r>
      <w:proofErr w:type="spellEnd"/>
      <w:r w:rsidRPr="009933E1">
        <w:t xml:space="preserve"> Self-Regulation. Academic Press.</w:t>
      </w:r>
    </w:p>
    <w:p w14:paraId="5663AA79" w14:textId="77777777" w:rsidR="009933E1" w:rsidRPr="009933E1" w:rsidRDefault="009933E1" w:rsidP="009933E1">
      <w:r w:rsidRPr="009933E1">
        <w:t xml:space="preserve">[2] Bandura, A. (1991). </w:t>
      </w:r>
      <w:proofErr w:type="spellStart"/>
      <w:r w:rsidRPr="009933E1">
        <w:rPr>
          <w:i/>
          <w:iCs/>
        </w:rPr>
        <w:t>Social</w:t>
      </w:r>
      <w:proofErr w:type="spellEnd"/>
      <w:r w:rsidRPr="009933E1">
        <w:rPr>
          <w:i/>
          <w:iCs/>
        </w:rPr>
        <w:t xml:space="preserve"> </w:t>
      </w:r>
      <w:proofErr w:type="spellStart"/>
      <w:r w:rsidRPr="009933E1">
        <w:rPr>
          <w:i/>
          <w:iCs/>
        </w:rPr>
        <w:t>Cognitive</w:t>
      </w:r>
      <w:proofErr w:type="spellEnd"/>
      <w:r w:rsidRPr="009933E1">
        <w:rPr>
          <w:i/>
          <w:iCs/>
        </w:rPr>
        <w:t xml:space="preserve"> Theory </w:t>
      </w:r>
      <w:proofErr w:type="spellStart"/>
      <w:r w:rsidRPr="009933E1">
        <w:rPr>
          <w:i/>
          <w:iCs/>
        </w:rPr>
        <w:t>of</w:t>
      </w:r>
      <w:proofErr w:type="spellEnd"/>
      <w:r w:rsidRPr="009933E1">
        <w:rPr>
          <w:i/>
          <w:iCs/>
        </w:rPr>
        <w:t xml:space="preserve"> Self-Regulation</w:t>
      </w:r>
      <w:r w:rsidRPr="009933E1">
        <w:t xml:space="preserve">. Organizational </w:t>
      </w:r>
      <w:proofErr w:type="spellStart"/>
      <w:r w:rsidRPr="009933E1">
        <w:t>Behavior</w:t>
      </w:r>
      <w:proofErr w:type="spellEnd"/>
      <w:r w:rsidRPr="009933E1">
        <w:t xml:space="preserve"> and Human </w:t>
      </w:r>
      <w:proofErr w:type="spellStart"/>
      <w:r w:rsidRPr="009933E1">
        <w:t>Decision</w:t>
      </w:r>
      <w:proofErr w:type="spellEnd"/>
      <w:r w:rsidRPr="009933E1">
        <w:t xml:space="preserve"> </w:t>
      </w:r>
      <w:proofErr w:type="spellStart"/>
      <w:r w:rsidRPr="009933E1">
        <w:t>Processes</w:t>
      </w:r>
      <w:proofErr w:type="spellEnd"/>
      <w:r w:rsidRPr="009933E1">
        <w:t>, 50(2), 248–287.</w:t>
      </w:r>
    </w:p>
    <w:p w14:paraId="488FC3DD" w14:textId="77777777" w:rsidR="009933E1" w:rsidRPr="009933E1" w:rsidRDefault="009933E1" w:rsidP="009933E1">
      <w:r w:rsidRPr="009933E1">
        <w:t xml:space="preserve">[3] </w:t>
      </w:r>
      <w:proofErr w:type="spellStart"/>
      <w:r w:rsidRPr="009933E1">
        <w:t>Hadwin</w:t>
      </w:r>
      <w:proofErr w:type="spellEnd"/>
      <w:r w:rsidRPr="009933E1">
        <w:t xml:space="preserve">, A. F., </w:t>
      </w:r>
      <w:proofErr w:type="spellStart"/>
      <w:r w:rsidRPr="009933E1">
        <w:t>Järvelä</w:t>
      </w:r>
      <w:proofErr w:type="spellEnd"/>
      <w:r w:rsidRPr="009933E1">
        <w:t xml:space="preserve">, S., &amp; Miller, M. (2018). </w:t>
      </w:r>
      <w:r w:rsidRPr="009933E1">
        <w:rPr>
          <w:i/>
          <w:iCs/>
        </w:rPr>
        <w:t xml:space="preserve">Self-Regulation, Co-Regulation and </w:t>
      </w:r>
      <w:proofErr w:type="spellStart"/>
      <w:r w:rsidRPr="009933E1">
        <w:rPr>
          <w:i/>
          <w:iCs/>
        </w:rPr>
        <w:t>Shared</w:t>
      </w:r>
      <w:proofErr w:type="spellEnd"/>
      <w:r w:rsidRPr="009933E1">
        <w:rPr>
          <w:i/>
          <w:iCs/>
        </w:rPr>
        <w:t xml:space="preserve"> Regulation in Collaborative Learning Environments</w:t>
      </w:r>
      <w:r w:rsidRPr="009933E1">
        <w:t xml:space="preserve">. Educational </w:t>
      </w:r>
      <w:proofErr w:type="spellStart"/>
      <w:r w:rsidRPr="009933E1">
        <w:t>Psychologist</w:t>
      </w:r>
      <w:proofErr w:type="spellEnd"/>
      <w:r w:rsidRPr="009933E1">
        <w:t>, 53(2), 83–106.</w:t>
      </w:r>
    </w:p>
    <w:p w14:paraId="4E59E24E" w14:textId="77777777" w:rsidR="009933E1" w:rsidRPr="009933E1" w:rsidRDefault="009933E1" w:rsidP="009933E1">
      <w:r w:rsidRPr="009933E1">
        <w:t xml:space="preserve">[4] </w:t>
      </w:r>
      <w:proofErr w:type="spellStart"/>
      <w:r w:rsidRPr="009933E1">
        <w:t>Boekaerts</w:t>
      </w:r>
      <w:proofErr w:type="spellEnd"/>
      <w:r w:rsidRPr="009933E1">
        <w:t xml:space="preserve">, M., &amp; Corno, L. (2005). </w:t>
      </w:r>
      <w:r w:rsidRPr="009933E1">
        <w:rPr>
          <w:i/>
          <w:iCs/>
        </w:rPr>
        <w:t xml:space="preserve">Self-Regulation in </w:t>
      </w:r>
      <w:proofErr w:type="spellStart"/>
      <w:r w:rsidRPr="009933E1">
        <w:rPr>
          <w:i/>
          <w:iCs/>
        </w:rPr>
        <w:t>the</w:t>
      </w:r>
      <w:proofErr w:type="spellEnd"/>
      <w:r w:rsidRPr="009933E1">
        <w:rPr>
          <w:i/>
          <w:iCs/>
        </w:rPr>
        <w:t xml:space="preserve"> Classroom: A </w:t>
      </w:r>
      <w:proofErr w:type="spellStart"/>
      <w:r w:rsidRPr="009933E1">
        <w:rPr>
          <w:i/>
          <w:iCs/>
        </w:rPr>
        <w:t>Perspective</w:t>
      </w:r>
      <w:proofErr w:type="spellEnd"/>
      <w:r w:rsidRPr="009933E1">
        <w:rPr>
          <w:i/>
          <w:iCs/>
        </w:rPr>
        <w:t xml:space="preserve"> on Assessment and Intervention</w:t>
      </w:r>
      <w:r w:rsidRPr="009933E1">
        <w:t xml:space="preserve">. Applied </w:t>
      </w:r>
      <w:proofErr w:type="spellStart"/>
      <w:r w:rsidRPr="009933E1">
        <w:t>Psychology</w:t>
      </w:r>
      <w:proofErr w:type="spellEnd"/>
      <w:r w:rsidRPr="009933E1">
        <w:t>, 54(2), 199–231.</w:t>
      </w:r>
    </w:p>
    <w:p w14:paraId="694BAF30" w14:textId="77777777" w:rsidR="009933E1" w:rsidRPr="009933E1" w:rsidRDefault="009933E1" w:rsidP="009933E1">
      <w:r w:rsidRPr="009933E1">
        <w:t xml:space="preserve">[5] Pekrun, R. (2006). </w:t>
      </w:r>
      <w:r w:rsidRPr="009933E1">
        <w:rPr>
          <w:i/>
          <w:iCs/>
        </w:rPr>
        <w:t xml:space="preserve">The Control-Value Theory </w:t>
      </w:r>
      <w:proofErr w:type="spellStart"/>
      <w:r w:rsidRPr="009933E1">
        <w:rPr>
          <w:i/>
          <w:iCs/>
        </w:rPr>
        <w:t>of</w:t>
      </w:r>
      <w:proofErr w:type="spellEnd"/>
      <w:r w:rsidRPr="009933E1">
        <w:rPr>
          <w:i/>
          <w:iCs/>
        </w:rPr>
        <w:t xml:space="preserve"> Achievement </w:t>
      </w:r>
      <w:proofErr w:type="spellStart"/>
      <w:r w:rsidRPr="009933E1">
        <w:rPr>
          <w:i/>
          <w:iCs/>
        </w:rPr>
        <w:t>Emotions</w:t>
      </w:r>
      <w:proofErr w:type="spellEnd"/>
      <w:r w:rsidRPr="009933E1">
        <w:t xml:space="preserve">. Educational </w:t>
      </w:r>
      <w:proofErr w:type="spellStart"/>
      <w:r w:rsidRPr="009933E1">
        <w:t>Psychology</w:t>
      </w:r>
      <w:proofErr w:type="spellEnd"/>
      <w:r w:rsidRPr="009933E1">
        <w:t xml:space="preserve"> Review, 18(4), 315–341.</w:t>
      </w:r>
    </w:p>
    <w:p w14:paraId="178CB103" w14:textId="77777777" w:rsidR="009933E1" w:rsidRPr="009933E1" w:rsidRDefault="009933E1" w:rsidP="009933E1">
      <w:r w:rsidRPr="009933E1">
        <w:t xml:space="preserve">[6] Winne, P. H., &amp; </w:t>
      </w:r>
      <w:proofErr w:type="spellStart"/>
      <w:r w:rsidRPr="009933E1">
        <w:t>Hadwin</w:t>
      </w:r>
      <w:proofErr w:type="spellEnd"/>
      <w:r w:rsidRPr="009933E1">
        <w:t xml:space="preserve">, A. F. (1998). </w:t>
      </w:r>
      <w:proofErr w:type="spellStart"/>
      <w:r w:rsidRPr="009933E1">
        <w:rPr>
          <w:i/>
          <w:iCs/>
        </w:rPr>
        <w:t>Studying</w:t>
      </w:r>
      <w:proofErr w:type="spellEnd"/>
      <w:r w:rsidRPr="009933E1">
        <w:rPr>
          <w:i/>
          <w:iCs/>
        </w:rPr>
        <w:t xml:space="preserve"> </w:t>
      </w:r>
      <w:proofErr w:type="spellStart"/>
      <w:r w:rsidRPr="009933E1">
        <w:rPr>
          <w:i/>
          <w:iCs/>
        </w:rPr>
        <w:t>as</w:t>
      </w:r>
      <w:proofErr w:type="spellEnd"/>
      <w:r w:rsidRPr="009933E1">
        <w:rPr>
          <w:i/>
          <w:iCs/>
        </w:rPr>
        <w:t xml:space="preserve"> Self-</w:t>
      </w:r>
      <w:proofErr w:type="spellStart"/>
      <w:r w:rsidRPr="009933E1">
        <w:rPr>
          <w:i/>
          <w:iCs/>
        </w:rPr>
        <w:t>Regulated</w:t>
      </w:r>
      <w:proofErr w:type="spellEnd"/>
      <w:r w:rsidRPr="009933E1">
        <w:rPr>
          <w:i/>
          <w:iCs/>
        </w:rPr>
        <w:t xml:space="preserve"> Learning</w:t>
      </w:r>
      <w:r w:rsidRPr="009933E1">
        <w:t xml:space="preserve">. In: </w:t>
      </w:r>
      <w:proofErr w:type="spellStart"/>
      <w:r w:rsidRPr="009933E1">
        <w:t>Metacognition</w:t>
      </w:r>
      <w:proofErr w:type="spellEnd"/>
      <w:r w:rsidRPr="009933E1">
        <w:t xml:space="preserve"> in Educational Theory and Practice.</w:t>
      </w:r>
    </w:p>
    <w:p w14:paraId="0B6F7B23" w14:textId="77777777" w:rsidR="009933E1" w:rsidRPr="009933E1" w:rsidRDefault="009933E1" w:rsidP="009933E1">
      <w:r w:rsidRPr="009933E1">
        <w:t xml:space="preserve">[7] Hattie, J. (2023). </w:t>
      </w:r>
      <w:r w:rsidRPr="009933E1">
        <w:rPr>
          <w:i/>
          <w:iCs/>
        </w:rPr>
        <w:t>Visible Learning: The Sequel</w:t>
      </w:r>
      <w:r w:rsidRPr="009933E1">
        <w:t>. London: Routledge.</w:t>
      </w:r>
    </w:p>
    <w:p w14:paraId="4ED3A649" w14:textId="77777777" w:rsidR="009933E1" w:rsidRPr="009933E1" w:rsidRDefault="009933E1" w:rsidP="009933E1">
      <w:r w:rsidRPr="009933E1">
        <w:t xml:space="preserve">[8] Helmke, A. (2022). </w:t>
      </w:r>
      <w:r w:rsidRPr="009933E1">
        <w:rPr>
          <w:i/>
          <w:iCs/>
        </w:rPr>
        <w:t>Unterrichtsqualität und Lehrerprofessionalität</w:t>
      </w:r>
      <w:r w:rsidRPr="009933E1">
        <w:t>. Seelze: Klett-Kallmeyer.</w:t>
      </w:r>
    </w:p>
    <w:p w14:paraId="289F1DAE" w14:textId="77777777" w:rsidR="009933E1" w:rsidRPr="009933E1" w:rsidRDefault="009933E1" w:rsidP="009933E1">
      <w:r w:rsidRPr="009933E1">
        <w:t xml:space="preserve">[9] </w:t>
      </w:r>
      <w:proofErr w:type="spellStart"/>
      <w:r w:rsidRPr="009933E1">
        <w:t>Shavelson</w:t>
      </w:r>
      <w:proofErr w:type="spellEnd"/>
      <w:r w:rsidRPr="009933E1">
        <w:t xml:space="preserve">, R. J. (2010). </w:t>
      </w:r>
      <w:r w:rsidRPr="009933E1">
        <w:rPr>
          <w:i/>
          <w:iCs/>
        </w:rPr>
        <w:t xml:space="preserve">On </w:t>
      </w:r>
      <w:proofErr w:type="spellStart"/>
      <w:r w:rsidRPr="009933E1">
        <w:rPr>
          <w:i/>
          <w:iCs/>
        </w:rPr>
        <w:t>the</w:t>
      </w:r>
      <w:proofErr w:type="spellEnd"/>
      <w:r w:rsidRPr="009933E1">
        <w:rPr>
          <w:i/>
          <w:iCs/>
        </w:rPr>
        <w:t xml:space="preserve"> Measurement </w:t>
      </w:r>
      <w:proofErr w:type="spellStart"/>
      <w:r w:rsidRPr="009933E1">
        <w:rPr>
          <w:i/>
          <w:iCs/>
        </w:rPr>
        <w:t>of</w:t>
      </w:r>
      <w:proofErr w:type="spellEnd"/>
      <w:r w:rsidRPr="009933E1">
        <w:rPr>
          <w:i/>
          <w:iCs/>
        </w:rPr>
        <w:t xml:space="preserve"> </w:t>
      </w:r>
      <w:proofErr w:type="spellStart"/>
      <w:r w:rsidRPr="009933E1">
        <w:rPr>
          <w:i/>
          <w:iCs/>
        </w:rPr>
        <w:t>Competency</w:t>
      </w:r>
      <w:proofErr w:type="spellEnd"/>
      <w:r w:rsidRPr="009933E1">
        <w:t>. Educational Researcher, 39(4), 253–259.</w:t>
      </w:r>
    </w:p>
    <w:p w14:paraId="7B4269E9" w14:textId="77777777" w:rsidR="009933E1" w:rsidRPr="009933E1" w:rsidRDefault="009933E1" w:rsidP="009933E1">
      <w:r w:rsidRPr="009933E1">
        <w:t xml:space="preserve">[10] Deci, E. L., &amp; Ryan, R. M. (2000). </w:t>
      </w:r>
      <w:r w:rsidRPr="009933E1">
        <w:rPr>
          <w:i/>
          <w:iCs/>
        </w:rPr>
        <w:t xml:space="preserve">The </w:t>
      </w:r>
      <w:proofErr w:type="spellStart"/>
      <w:r w:rsidRPr="009933E1">
        <w:rPr>
          <w:i/>
          <w:iCs/>
        </w:rPr>
        <w:t>What</w:t>
      </w:r>
      <w:proofErr w:type="spellEnd"/>
      <w:r w:rsidRPr="009933E1">
        <w:rPr>
          <w:i/>
          <w:iCs/>
        </w:rPr>
        <w:t xml:space="preserve"> and </w:t>
      </w:r>
      <w:proofErr w:type="spellStart"/>
      <w:r w:rsidRPr="009933E1">
        <w:rPr>
          <w:i/>
          <w:iCs/>
        </w:rPr>
        <w:t>Why</w:t>
      </w:r>
      <w:proofErr w:type="spellEnd"/>
      <w:r w:rsidRPr="009933E1">
        <w:rPr>
          <w:i/>
          <w:iCs/>
        </w:rPr>
        <w:t xml:space="preserve"> </w:t>
      </w:r>
      <w:proofErr w:type="spellStart"/>
      <w:r w:rsidRPr="009933E1">
        <w:rPr>
          <w:i/>
          <w:iCs/>
        </w:rPr>
        <w:t>of</w:t>
      </w:r>
      <w:proofErr w:type="spellEnd"/>
      <w:r w:rsidRPr="009933E1">
        <w:rPr>
          <w:i/>
          <w:iCs/>
        </w:rPr>
        <w:t xml:space="preserve"> Goal </w:t>
      </w:r>
      <w:proofErr w:type="spellStart"/>
      <w:r w:rsidRPr="009933E1">
        <w:rPr>
          <w:i/>
          <w:iCs/>
        </w:rPr>
        <w:t>Pursuits</w:t>
      </w:r>
      <w:proofErr w:type="spellEnd"/>
      <w:r w:rsidRPr="009933E1">
        <w:rPr>
          <w:i/>
          <w:iCs/>
        </w:rPr>
        <w:t xml:space="preserve">: Human Needs and </w:t>
      </w:r>
      <w:proofErr w:type="spellStart"/>
      <w:r w:rsidRPr="009933E1">
        <w:rPr>
          <w:i/>
          <w:iCs/>
        </w:rPr>
        <w:t>the</w:t>
      </w:r>
      <w:proofErr w:type="spellEnd"/>
      <w:r w:rsidRPr="009933E1">
        <w:rPr>
          <w:i/>
          <w:iCs/>
        </w:rPr>
        <w:t xml:space="preserve"> Self-Determination </w:t>
      </w:r>
      <w:proofErr w:type="spellStart"/>
      <w:r w:rsidRPr="009933E1">
        <w:rPr>
          <w:i/>
          <w:iCs/>
        </w:rPr>
        <w:t>of</w:t>
      </w:r>
      <w:proofErr w:type="spellEnd"/>
      <w:r w:rsidRPr="009933E1">
        <w:rPr>
          <w:i/>
          <w:iCs/>
        </w:rPr>
        <w:t xml:space="preserve"> </w:t>
      </w:r>
      <w:proofErr w:type="spellStart"/>
      <w:r w:rsidRPr="009933E1">
        <w:rPr>
          <w:i/>
          <w:iCs/>
        </w:rPr>
        <w:t>Behavior</w:t>
      </w:r>
      <w:proofErr w:type="spellEnd"/>
      <w:r w:rsidRPr="009933E1">
        <w:t xml:space="preserve">. Psychological </w:t>
      </w:r>
      <w:proofErr w:type="spellStart"/>
      <w:r w:rsidRPr="009933E1">
        <w:t>Inquiry</w:t>
      </w:r>
      <w:proofErr w:type="spellEnd"/>
      <w:r w:rsidRPr="009933E1">
        <w:t>, 11(4), 227–268.</w:t>
      </w:r>
    </w:p>
    <w:p w14:paraId="574A05C8" w14:textId="77777777" w:rsidR="00106528" w:rsidRPr="009933E1" w:rsidRDefault="00106528" w:rsidP="009933E1">
      <w:pPr>
        <w:rPr>
          <w:rStyle w:val="SQLTabellen"/>
          <w:rFonts w:ascii="Calibri" w:hAnsi="Calibri"/>
          <w:b w:val="0"/>
          <w:sz w:val="24"/>
        </w:rPr>
      </w:pPr>
    </w:p>
    <w:sectPr w:rsidR="00106528" w:rsidRPr="009933E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E3F23"/>
    <w:multiLevelType w:val="multilevel"/>
    <w:tmpl w:val="B27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F654B"/>
    <w:multiLevelType w:val="multilevel"/>
    <w:tmpl w:val="65D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6573C"/>
    <w:multiLevelType w:val="multilevel"/>
    <w:tmpl w:val="AC6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6"/>
  </w:num>
  <w:num w:numId="5" w16cid:durableId="15216999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6081799">
    <w:abstractNumId w:val="4"/>
  </w:num>
  <w:num w:numId="7" w16cid:durableId="1049644062">
    <w:abstractNumId w:val="5"/>
  </w:num>
  <w:num w:numId="8" w16cid:durableId="213852900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15"/>
    <w:rsid w:val="00003048"/>
    <w:rsid w:val="000467F2"/>
    <w:rsid w:val="00082214"/>
    <w:rsid w:val="000B0C44"/>
    <w:rsid w:val="00103784"/>
    <w:rsid w:val="00106528"/>
    <w:rsid w:val="001830F2"/>
    <w:rsid w:val="0019229D"/>
    <w:rsid w:val="002B03D4"/>
    <w:rsid w:val="002C7415"/>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33E1"/>
    <w:rsid w:val="00997246"/>
    <w:rsid w:val="009D04D3"/>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12A0"/>
  <w15:chartTrackingRefBased/>
  <w15:docId w15:val="{A9DEA60D-6E13-4D10-BE33-D93B6778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8035958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8817724">
      <w:bodyDiv w:val="1"/>
      <w:marLeft w:val="0"/>
      <w:marRight w:val="0"/>
      <w:marTop w:val="0"/>
      <w:marBottom w:val="0"/>
      <w:divBdr>
        <w:top w:val="none" w:sz="0" w:space="0" w:color="auto"/>
        <w:left w:val="none" w:sz="0" w:space="0" w:color="auto"/>
        <w:bottom w:val="none" w:sz="0" w:space="0" w:color="auto"/>
        <w:right w:val="none" w:sz="0" w:space="0" w:color="auto"/>
      </w:divBdr>
      <w:divsChild>
        <w:div w:id="595016749">
          <w:marLeft w:val="0"/>
          <w:marRight w:val="0"/>
          <w:marTop w:val="0"/>
          <w:marBottom w:val="0"/>
          <w:divBdr>
            <w:top w:val="none" w:sz="0" w:space="0" w:color="auto"/>
            <w:left w:val="none" w:sz="0" w:space="0" w:color="auto"/>
            <w:bottom w:val="none" w:sz="0" w:space="0" w:color="auto"/>
            <w:right w:val="none" w:sz="0" w:space="0" w:color="auto"/>
          </w:divBdr>
          <w:divsChild>
            <w:div w:id="1059792876">
              <w:marLeft w:val="0"/>
              <w:marRight w:val="0"/>
              <w:marTop w:val="0"/>
              <w:marBottom w:val="0"/>
              <w:divBdr>
                <w:top w:val="none" w:sz="0" w:space="0" w:color="auto"/>
                <w:left w:val="none" w:sz="0" w:space="0" w:color="auto"/>
                <w:bottom w:val="none" w:sz="0" w:space="0" w:color="auto"/>
                <w:right w:val="none" w:sz="0" w:space="0" w:color="auto"/>
              </w:divBdr>
            </w:div>
          </w:divsChild>
        </w:div>
        <w:div w:id="1828588891">
          <w:marLeft w:val="0"/>
          <w:marRight w:val="0"/>
          <w:marTop w:val="0"/>
          <w:marBottom w:val="0"/>
          <w:divBdr>
            <w:top w:val="none" w:sz="0" w:space="0" w:color="auto"/>
            <w:left w:val="none" w:sz="0" w:space="0" w:color="auto"/>
            <w:bottom w:val="none" w:sz="0" w:space="0" w:color="auto"/>
            <w:right w:val="none" w:sz="0" w:space="0" w:color="auto"/>
          </w:divBdr>
          <w:divsChild>
            <w:div w:id="3716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01159">
      <w:bodyDiv w:val="1"/>
      <w:marLeft w:val="0"/>
      <w:marRight w:val="0"/>
      <w:marTop w:val="0"/>
      <w:marBottom w:val="0"/>
      <w:divBdr>
        <w:top w:val="none" w:sz="0" w:space="0" w:color="auto"/>
        <w:left w:val="none" w:sz="0" w:space="0" w:color="auto"/>
        <w:bottom w:val="none" w:sz="0" w:space="0" w:color="auto"/>
        <w:right w:val="none" w:sz="0" w:space="0" w:color="auto"/>
      </w:divBdr>
    </w:div>
    <w:div w:id="1126049366">
      <w:bodyDiv w:val="1"/>
      <w:marLeft w:val="0"/>
      <w:marRight w:val="0"/>
      <w:marTop w:val="0"/>
      <w:marBottom w:val="0"/>
      <w:divBdr>
        <w:top w:val="none" w:sz="0" w:space="0" w:color="auto"/>
        <w:left w:val="none" w:sz="0" w:space="0" w:color="auto"/>
        <w:bottom w:val="none" w:sz="0" w:space="0" w:color="auto"/>
        <w:right w:val="none" w:sz="0" w:space="0" w:color="auto"/>
      </w:divBdr>
    </w:div>
    <w:div w:id="1619138108">
      <w:bodyDiv w:val="1"/>
      <w:marLeft w:val="0"/>
      <w:marRight w:val="0"/>
      <w:marTop w:val="0"/>
      <w:marBottom w:val="0"/>
      <w:divBdr>
        <w:top w:val="none" w:sz="0" w:space="0" w:color="auto"/>
        <w:left w:val="none" w:sz="0" w:space="0" w:color="auto"/>
        <w:bottom w:val="none" w:sz="0" w:space="0" w:color="auto"/>
        <w:right w:val="none" w:sz="0" w:space="0" w:color="auto"/>
      </w:divBdr>
    </w:div>
    <w:div w:id="1987973737">
      <w:bodyDiv w:val="1"/>
      <w:marLeft w:val="0"/>
      <w:marRight w:val="0"/>
      <w:marTop w:val="0"/>
      <w:marBottom w:val="0"/>
      <w:divBdr>
        <w:top w:val="none" w:sz="0" w:space="0" w:color="auto"/>
        <w:left w:val="none" w:sz="0" w:space="0" w:color="auto"/>
        <w:bottom w:val="none" w:sz="0" w:space="0" w:color="auto"/>
        <w:right w:val="none" w:sz="0" w:space="0" w:color="auto"/>
      </w:divBdr>
      <w:divsChild>
        <w:div w:id="300959401">
          <w:marLeft w:val="0"/>
          <w:marRight w:val="0"/>
          <w:marTop w:val="0"/>
          <w:marBottom w:val="0"/>
          <w:divBdr>
            <w:top w:val="none" w:sz="0" w:space="0" w:color="auto"/>
            <w:left w:val="none" w:sz="0" w:space="0" w:color="auto"/>
            <w:bottom w:val="none" w:sz="0" w:space="0" w:color="auto"/>
            <w:right w:val="none" w:sz="0" w:space="0" w:color="auto"/>
          </w:divBdr>
          <w:divsChild>
            <w:div w:id="1654866365">
              <w:marLeft w:val="0"/>
              <w:marRight w:val="0"/>
              <w:marTop w:val="0"/>
              <w:marBottom w:val="0"/>
              <w:divBdr>
                <w:top w:val="none" w:sz="0" w:space="0" w:color="auto"/>
                <w:left w:val="none" w:sz="0" w:space="0" w:color="auto"/>
                <w:bottom w:val="none" w:sz="0" w:space="0" w:color="auto"/>
                <w:right w:val="none" w:sz="0" w:space="0" w:color="auto"/>
              </w:divBdr>
            </w:div>
          </w:divsChild>
        </w:div>
        <w:div w:id="70738421">
          <w:marLeft w:val="0"/>
          <w:marRight w:val="0"/>
          <w:marTop w:val="0"/>
          <w:marBottom w:val="0"/>
          <w:divBdr>
            <w:top w:val="none" w:sz="0" w:space="0" w:color="auto"/>
            <w:left w:val="none" w:sz="0" w:space="0" w:color="auto"/>
            <w:bottom w:val="none" w:sz="0" w:space="0" w:color="auto"/>
            <w:right w:val="none" w:sz="0" w:space="0" w:color="auto"/>
          </w:divBdr>
          <w:divsChild>
            <w:div w:id="18331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4</Pages>
  <Words>1357</Words>
  <Characters>8555</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2026-06-01T04:36:00Z</dcterms:created>
  <dcterms:modified xsi:type="dcterms:W3CDTF">2026-06-01T05:03:00Z</dcterms:modified>
</cp:coreProperties>
</file>