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867096" w14:textId="77777777" w:rsidR="00F072F7" w:rsidRPr="00F072F7" w:rsidRDefault="00F072F7" w:rsidP="00F072F7">
      <w:pPr>
        <w:rPr>
          <w:b/>
        </w:rPr>
      </w:pPr>
      <w:r w:rsidRPr="00F072F7">
        <w:rPr>
          <w:b/>
        </w:rPr>
        <w:t>Methodisch-didaktische Anlage zu 6.x.9 Attraktor- und Dominanzstrukturen zwischen Lehrkraftsicht und Teilnehmersicht</w:t>
      </w:r>
    </w:p>
    <w:p w14:paraId="3199EA8F" w14:textId="77777777" w:rsidR="00F072F7" w:rsidRPr="00F072F7" w:rsidRDefault="00F072F7" w:rsidP="00F072F7">
      <w:pPr>
        <w:rPr>
          <w:b/>
        </w:rPr>
      </w:pPr>
      <w:r w:rsidRPr="00F072F7">
        <w:rPr>
          <w:b/>
        </w:rPr>
        <w:t>1. Einleitung</w:t>
      </w:r>
    </w:p>
    <w:p w14:paraId="78C82F09" w14:textId="77777777" w:rsidR="00F072F7" w:rsidRPr="00F072F7" w:rsidRDefault="00F072F7" w:rsidP="00F072F7">
      <w:r w:rsidRPr="00F072F7">
        <w:t>Die Analyse von Attraktor- und Dominanzstrukturen verfolgt das Ziel, die langfristige Organisation pädagogischer Zustandsräume innerhalb des FRZK empirisch zu untersuchen. Während die vorangegangenen Analysen vor allem Resonanz, Kohärenz, Drift und regulatorische Stabilisierung betrachtet haben, richtet sich der Fokus hier auf die Frage, ob sich innerhalb der gekoppelten Lehrkraft- und Teilnehmerzustände stabile semantische Organisationszentren identifizieren lassen.</w:t>
      </w:r>
    </w:p>
    <w:p w14:paraId="32C16A3A" w14:textId="77777777" w:rsidR="00F072F7" w:rsidRPr="00F072F7" w:rsidRDefault="00F072F7" w:rsidP="00F072F7">
      <w:r w:rsidRPr="00F072F7">
        <w:t>Die theoretische Grundlage dieser Untersuchung stammt aus der Dynamik komplexer Systeme. Dynamische Systeme bewegen sich nicht beliebig durch ihren Zustandsraum, sondern entwickeln bevorzugte Zustandsbereiche, sogenannte Attraktoren, um die sich ihre Entwicklung langfristig organisiert [1][2]. Für pädagogische Systeme bedeutet dies, dass bestimmte semantische Konfigurationen wiederholt auftreten und dadurch die weitere Entwicklung von Lernprozessen strukturieren.</w:t>
      </w:r>
    </w:p>
    <w:p w14:paraId="4114F395" w14:textId="77777777" w:rsidR="00F072F7" w:rsidRPr="00F072F7" w:rsidRDefault="00F072F7" w:rsidP="00F072F7">
      <w:r w:rsidRPr="00F072F7">
        <w:t>Die zentrale Forschungsfrage lautet daher:</w:t>
      </w:r>
    </w:p>
    <w:p w14:paraId="5BD18407" w14:textId="77777777" w:rsidR="00F072F7" w:rsidRPr="00F072F7" w:rsidRDefault="00F072F7" w:rsidP="00F072F7">
      <w:r w:rsidRPr="00F072F7">
        <w:rPr>
          <w:b/>
        </w:rPr>
        <w:t>Existieren innerhalb pädagogischer Resonanzräume stabile semantische Attraktoren, die die Entwicklung von Motivation, Performanz, Regulation und kognitiver Aktivierung langfristig organisieren?</w:t>
      </w:r>
    </w:p>
    <w:p w14:paraId="0FC2E5C6" w14:textId="77777777" w:rsidR="00F072F7" w:rsidRPr="00F072F7" w:rsidRDefault="00F072F7" w:rsidP="00F072F7">
      <w:r w:rsidRPr="00F072F7">
        <w:pict w14:anchorId="38CBE393">
          <v:rect id="_x0000_i1091" style="width:0;height:1.5pt" o:hralign="center" o:hrstd="t" o:hr="t" fillcolor="#a0a0a0" stroked="f"/>
        </w:pict>
      </w:r>
    </w:p>
    <w:p w14:paraId="42F59F9E" w14:textId="77777777" w:rsidR="00F072F7" w:rsidRPr="00F072F7" w:rsidRDefault="00F072F7" w:rsidP="00F072F7">
      <w:pPr>
        <w:rPr>
          <w:b/>
        </w:rPr>
      </w:pPr>
      <w:r w:rsidRPr="00F072F7">
        <w:rPr>
          <w:b/>
        </w:rPr>
        <w:t>2. Theoretische Grundlagen von Attraktoren in pädagogischen Systemen</w:t>
      </w:r>
    </w:p>
    <w:p w14:paraId="63F93D33" w14:textId="77777777" w:rsidR="00F072F7" w:rsidRPr="00F072F7" w:rsidRDefault="00F072F7" w:rsidP="00F072F7">
      <w:r w:rsidRPr="00F072F7">
        <w:t xml:space="preserve">Der </w:t>
      </w:r>
      <w:proofErr w:type="spellStart"/>
      <w:r w:rsidRPr="00F072F7">
        <w:t>Attraktorbegriff</w:t>
      </w:r>
      <w:proofErr w:type="spellEnd"/>
      <w:r w:rsidRPr="00F072F7">
        <w:t xml:space="preserve"> stammt ursprünglich aus der nichtlinearen Dynamik und der Theorie komplexer Systeme. Ein Attraktor bezeichnet einen bevorzugten Zustandsbereich, in den ein System trotz unterschiedlicher Ausgangsbedingungen immer wieder zurückkehrt [2][3].</w:t>
      </w:r>
    </w:p>
    <w:p w14:paraId="6BADAE55" w14:textId="77777777" w:rsidR="00F072F7" w:rsidRPr="00F072F7" w:rsidRDefault="00F072F7" w:rsidP="00F072F7">
      <w:r w:rsidRPr="00F072F7">
        <w:t>Überträgt man dieses Konzept auf pädagogische Prozesse, entsteht ein völlig anderer Blick auf Unterricht. Lernen erscheint dann nicht mehr als lineare Abfolge von Ursache und Wirkung, sondern als Bewegung innerhalb eines dynamischen Zustandsraumes. Bestimmte Konfigurationen besitzen eine hohe Stabilität und wirken als organisatorische Zentren der weiteren Entwicklung.</w:t>
      </w:r>
    </w:p>
    <w:p w14:paraId="0105E6CC" w14:textId="77777777" w:rsidR="00F072F7" w:rsidRPr="00F072F7" w:rsidRDefault="00F072F7" w:rsidP="00F072F7">
      <w:r w:rsidRPr="00F072F7">
        <w:t>Aus Sicht des FRZK bedeutet dies:</w:t>
      </w:r>
    </w:p>
    <w:p w14:paraId="5A73D395" w14:textId="77777777" w:rsidR="00F072F7" w:rsidRPr="00F072F7" w:rsidRDefault="00F072F7" w:rsidP="00F072F7">
      <w:pPr>
        <w:numPr>
          <w:ilvl w:val="0"/>
          <w:numId w:val="6"/>
        </w:numPr>
      </w:pPr>
      <w:r w:rsidRPr="00F072F7">
        <w:t xml:space="preserve">Zustände besitzen unterschiedliche Stabilität. </w:t>
      </w:r>
    </w:p>
    <w:p w14:paraId="2888F32B" w14:textId="77777777" w:rsidR="00F072F7" w:rsidRPr="00F072F7" w:rsidRDefault="00F072F7" w:rsidP="00F072F7">
      <w:pPr>
        <w:numPr>
          <w:ilvl w:val="0"/>
          <w:numId w:val="6"/>
        </w:numPr>
      </w:pPr>
      <w:r w:rsidRPr="00F072F7">
        <w:t xml:space="preserve">Nicht alle Dominanzdimensionen treten gleich häufig auf. </w:t>
      </w:r>
    </w:p>
    <w:p w14:paraId="28E5771D" w14:textId="77777777" w:rsidR="00F072F7" w:rsidRPr="00F072F7" w:rsidRDefault="00F072F7" w:rsidP="00F072F7">
      <w:pPr>
        <w:numPr>
          <w:ilvl w:val="0"/>
          <w:numId w:val="6"/>
        </w:numPr>
      </w:pPr>
      <w:r w:rsidRPr="00F072F7">
        <w:t xml:space="preserve">Einige semantische Konfigurationen werden bevorzugt reproduziert. </w:t>
      </w:r>
    </w:p>
    <w:p w14:paraId="061759BF" w14:textId="77777777" w:rsidR="00F072F7" w:rsidRPr="00F072F7" w:rsidRDefault="00F072F7" w:rsidP="00F072F7">
      <w:pPr>
        <w:numPr>
          <w:ilvl w:val="0"/>
          <w:numId w:val="6"/>
        </w:numPr>
      </w:pPr>
      <w:r w:rsidRPr="00F072F7">
        <w:t xml:space="preserve">Diese Konfigurationen beeinflussen die weitere Entwicklung von Motivation, Regulation und Performanz. </w:t>
      </w:r>
    </w:p>
    <w:p w14:paraId="48DAAF6E" w14:textId="77777777" w:rsidR="00F072F7" w:rsidRPr="00F072F7" w:rsidRDefault="00F072F7" w:rsidP="00F072F7">
      <w:r w:rsidRPr="00F072F7">
        <w:t>Der pädagogische Resonanzraum entwickelt damit eine eigene Dynamik, die über einzelne Unterrichtsereignisse hinausgeht.</w:t>
      </w:r>
    </w:p>
    <w:p w14:paraId="0888EDE6" w14:textId="77777777" w:rsidR="00F072F7" w:rsidRPr="00F072F7" w:rsidRDefault="00F072F7" w:rsidP="00F072F7">
      <w:r w:rsidRPr="00F072F7">
        <w:pict w14:anchorId="00E6485C">
          <v:rect id="_x0000_i1092" style="width:0;height:1.5pt" o:hralign="center" o:hrstd="t" o:hr="t" fillcolor="#a0a0a0" stroked="f"/>
        </w:pict>
      </w:r>
    </w:p>
    <w:p w14:paraId="081B495B" w14:textId="77777777" w:rsidR="00F072F7" w:rsidRPr="00F072F7" w:rsidRDefault="00F072F7" w:rsidP="00F072F7">
      <w:pPr>
        <w:rPr>
          <w:b/>
        </w:rPr>
      </w:pPr>
      <w:r w:rsidRPr="00F072F7">
        <w:rPr>
          <w:b/>
        </w:rPr>
        <w:t>3. Methodisches Vorgehen</w:t>
      </w:r>
    </w:p>
    <w:p w14:paraId="19D9CF66" w14:textId="77777777" w:rsidR="00F072F7" w:rsidRPr="00F072F7" w:rsidRDefault="00F072F7" w:rsidP="00F072F7">
      <w:pPr>
        <w:rPr>
          <w:b/>
        </w:rPr>
      </w:pPr>
      <w:r w:rsidRPr="00F072F7">
        <w:rPr>
          <w:b/>
        </w:rPr>
        <w:t>3.1 Dominanzanalyse</w:t>
      </w:r>
    </w:p>
    <w:p w14:paraId="53F63D64" w14:textId="77777777" w:rsidR="00F072F7" w:rsidRPr="00F072F7" w:rsidRDefault="00F072F7" w:rsidP="00F072F7">
      <w:r w:rsidRPr="00F072F7">
        <w:lastRenderedPageBreak/>
        <w:t>Grundlage der Untersuchung bildet die dominante Dimension jedes semantischen Zustandsvektors.</w:t>
      </w:r>
    </w:p>
    <w:p w14:paraId="289E0E28" w14:textId="77777777" w:rsidR="00F072F7" w:rsidRPr="00F072F7" w:rsidRDefault="00F072F7" w:rsidP="00F072F7">
      <w:r w:rsidRPr="00F072F7">
        <w:t>Für jeden Lehrkraft- und Teilnehmerzustand wird die Dimension mit dem höchsten Absolutwert bestimmt:</w:t>
      </w:r>
    </w:p>
    <w:p w14:paraId="5291CC6D" w14:textId="77777777" w:rsidR="00F072F7" w:rsidRPr="00F072F7" w:rsidRDefault="00F072F7" w:rsidP="00F072F7">
      <w:r w:rsidRPr="00F072F7">
        <w:t>D(S)=</w:t>
      </w:r>
      <w:proofErr w:type="spellStart"/>
      <w:r w:rsidRPr="00F072F7">
        <w:t>arg</w:t>
      </w:r>
      <w:r w:rsidRPr="00F072F7">
        <w:rPr>
          <w:rFonts w:ascii="Cambria Math" w:hAnsi="Cambria Math" w:cs="Cambria Math"/>
        </w:rPr>
        <w:t>⁡</w:t>
      </w:r>
      <w:r w:rsidRPr="00F072F7">
        <w:t>max</w:t>
      </w:r>
      <w:proofErr w:type="spellEnd"/>
      <w:r w:rsidRPr="00F072F7">
        <w:rPr>
          <w:rFonts w:ascii="Cambria Math" w:hAnsi="Cambria Math" w:cs="Cambria Math"/>
        </w:rPr>
        <w:t>⁡∣</w:t>
      </w:r>
      <w:proofErr w:type="spellStart"/>
      <w:r w:rsidRPr="00F072F7">
        <w:t>xi</w:t>
      </w:r>
      <w:r w:rsidRPr="00F072F7">
        <w:rPr>
          <w:rFonts w:ascii="Cambria Math" w:hAnsi="Cambria Math" w:cs="Cambria Math"/>
        </w:rPr>
        <w:t>∣</w:t>
      </w:r>
      <w:r w:rsidRPr="00F072F7">
        <w:t>D</w:t>
      </w:r>
      <w:proofErr w:type="spellEnd"/>
      <w:r w:rsidRPr="00F072F7">
        <w:t>(S)=\arg\</w:t>
      </w:r>
      <w:proofErr w:type="spellStart"/>
      <w:r w:rsidRPr="00F072F7">
        <w:t>max</w:t>
      </w:r>
      <w:proofErr w:type="spellEnd"/>
      <w:r w:rsidRPr="00F072F7">
        <w:t xml:space="preserve"> |</w:t>
      </w:r>
      <w:proofErr w:type="spellStart"/>
      <w:r w:rsidRPr="00F072F7">
        <w:t>x_i|D</w:t>
      </w:r>
      <w:proofErr w:type="spellEnd"/>
      <w:r w:rsidRPr="00F072F7">
        <w:t>(S)=</w:t>
      </w:r>
      <w:proofErr w:type="spellStart"/>
      <w:r w:rsidRPr="00F072F7">
        <w:t>argmax</w:t>
      </w:r>
      <w:r w:rsidRPr="00F072F7">
        <w:rPr>
          <w:rFonts w:ascii="Cambria Math" w:hAnsi="Cambria Math" w:cs="Cambria Math"/>
        </w:rPr>
        <w:t>∣</w:t>
      </w:r>
      <w:r w:rsidRPr="00F072F7">
        <w:t>xi</w:t>
      </w:r>
      <w:proofErr w:type="spellEnd"/>
      <w:r w:rsidRPr="00F072F7">
        <w:t>​</w:t>
      </w:r>
      <w:r w:rsidRPr="00F072F7">
        <w:rPr>
          <w:rFonts w:ascii="Cambria Math" w:hAnsi="Cambria Math" w:cs="Cambria Math"/>
        </w:rPr>
        <w:t>∣</w:t>
      </w:r>
      <w:r w:rsidRPr="00F072F7">
        <w:t xml:space="preserve"> </w:t>
      </w:r>
    </w:p>
    <w:p w14:paraId="3E5C5EC5" w14:textId="77777777" w:rsidR="00F072F7" w:rsidRPr="00F072F7" w:rsidRDefault="00F072F7" w:rsidP="00F072F7">
      <w:r w:rsidRPr="00F072F7">
        <w:t>mit</w:t>
      </w:r>
    </w:p>
    <w:p w14:paraId="78AC77FD" w14:textId="77777777" w:rsidR="00F072F7" w:rsidRPr="00F072F7" w:rsidRDefault="00F072F7" w:rsidP="00F072F7">
      <w:r w:rsidRPr="00F072F7">
        <w:t>xi</w:t>
      </w:r>
      <w:r w:rsidRPr="00F072F7">
        <w:rPr>
          <w:rFonts w:ascii="Cambria Math" w:hAnsi="Cambria Math" w:cs="Cambria Math"/>
        </w:rPr>
        <w:t>∈</w:t>
      </w:r>
      <w:r w:rsidRPr="00F072F7">
        <w:t>{</w:t>
      </w:r>
      <w:proofErr w:type="gramStart"/>
      <w:r w:rsidRPr="00F072F7">
        <w:t>Kognition,Sozial</w:t>
      </w:r>
      <w:proofErr w:type="gramEnd"/>
      <w:r w:rsidRPr="00F072F7">
        <w:t>,Affektiv,Motivation,Methodik,Performanz,Regulation}x_i \in \{ Kognition, Sozial, Affektiv, Motivation, Methodik, Performanz, Regulation \}xi​</w:t>
      </w:r>
      <w:r w:rsidRPr="00F072F7">
        <w:rPr>
          <w:rFonts w:ascii="Cambria Math" w:hAnsi="Cambria Math" w:cs="Cambria Math"/>
        </w:rPr>
        <w:t>∈</w:t>
      </w:r>
      <w:r w:rsidRPr="00F072F7">
        <w:t xml:space="preserve">{Kognition,Sozial,Affektiv,Motivation,Methodik,Performanz,Regulation} </w:t>
      </w:r>
    </w:p>
    <w:p w14:paraId="0B842F9B" w14:textId="77777777" w:rsidR="00F072F7" w:rsidRPr="00F072F7" w:rsidRDefault="00F072F7" w:rsidP="00F072F7">
      <w:r w:rsidRPr="00F072F7">
        <w:t>Dadurch entsteht für jeden Zustand eine dominante Organisationsachse.</w:t>
      </w:r>
    </w:p>
    <w:p w14:paraId="6923092D" w14:textId="77777777" w:rsidR="00F072F7" w:rsidRPr="00F072F7" w:rsidRDefault="00F072F7" w:rsidP="00F072F7">
      <w:r w:rsidRPr="00F072F7">
        <w:t>Die Häufigkeitsverteilung dieser Dominanzen erlaubt Rückschlüsse auf die bevorzugten Organisationsformen des pädagogischen Systems.</w:t>
      </w:r>
    </w:p>
    <w:p w14:paraId="0023E236" w14:textId="77777777" w:rsidR="00F072F7" w:rsidRPr="00F072F7" w:rsidRDefault="00F072F7" w:rsidP="00F072F7">
      <w:r w:rsidRPr="00F072F7">
        <w:pict w14:anchorId="1D72AF9D">
          <v:rect id="_x0000_i1093" style="width:0;height:1.5pt" o:hralign="center" o:hrstd="t" o:hr="t" fillcolor="#a0a0a0" stroked="f"/>
        </w:pict>
      </w:r>
    </w:p>
    <w:p w14:paraId="7BA9E371" w14:textId="77777777" w:rsidR="00F072F7" w:rsidRPr="00F072F7" w:rsidRDefault="00F072F7" w:rsidP="00F072F7">
      <w:pPr>
        <w:rPr>
          <w:b/>
        </w:rPr>
      </w:pPr>
      <w:r w:rsidRPr="00F072F7">
        <w:rPr>
          <w:b/>
        </w:rPr>
        <w:t xml:space="preserve">3.2 </w:t>
      </w:r>
      <w:proofErr w:type="spellStart"/>
      <w:r w:rsidRPr="00F072F7">
        <w:rPr>
          <w:b/>
        </w:rPr>
        <w:t>Attraktoranalyse</w:t>
      </w:r>
      <w:proofErr w:type="spellEnd"/>
    </w:p>
    <w:p w14:paraId="3F875E3D" w14:textId="77777777" w:rsidR="00F072F7" w:rsidRPr="00F072F7" w:rsidRDefault="00F072F7" w:rsidP="00F072F7">
      <w:r w:rsidRPr="00F072F7">
        <w:t>Attraktoren werden als wiederkehrende Kombinationen aus</w:t>
      </w:r>
    </w:p>
    <w:p w14:paraId="47371982" w14:textId="77777777" w:rsidR="00F072F7" w:rsidRPr="00F072F7" w:rsidRDefault="00F072F7" w:rsidP="00F072F7">
      <w:pPr>
        <w:numPr>
          <w:ilvl w:val="0"/>
          <w:numId w:val="7"/>
        </w:numPr>
      </w:pPr>
      <w:r w:rsidRPr="00F072F7">
        <w:t xml:space="preserve">Dominanzdimension </w:t>
      </w:r>
    </w:p>
    <w:p w14:paraId="27DA77C7" w14:textId="77777777" w:rsidR="00F072F7" w:rsidRPr="00F072F7" w:rsidRDefault="00F072F7" w:rsidP="00F072F7">
      <w:pPr>
        <w:numPr>
          <w:ilvl w:val="0"/>
          <w:numId w:val="7"/>
        </w:numPr>
      </w:pPr>
      <w:r w:rsidRPr="00F072F7">
        <w:t xml:space="preserve">Polarität </w:t>
      </w:r>
    </w:p>
    <w:p w14:paraId="0331E82F" w14:textId="77777777" w:rsidR="00F072F7" w:rsidRPr="00F072F7" w:rsidRDefault="00F072F7" w:rsidP="00F072F7">
      <w:pPr>
        <w:numPr>
          <w:ilvl w:val="0"/>
          <w:numId w:val="7"/>
        </w:numPr>
      </w:pPr>
      <w:r w:rsidRPr="00F072F7">
        <w:t xml:space="preserve">semantischer Dichte </w:t>
      </w:r>
    </w:p>
    <w:p w14:paraId="2CA51337" w14:textId="77777777" w:rsidR="00F072F7" w:rsidRPr="00F072F7" w:rsidRDefault="00F072F7" w:rsidP="00F072F7">
      <w:r w:rsidRPr="00F072F7">
        <w:t>definiert.</w:t>
      </w:r>
    </w:p>
    <w:p w14:paraId="53DEEB0A" w14:textId="77777777" w:rsidR="00F072F7" w:rsidRPr="00F072F7" w:rsidRDefault="00F072F7" w:rsidP="00F072F7">
      <w:r w:rsidRPr="00F072F7">
        <w:t>Für jeden Zustand wird daher analysiert:</w:t>
      </w:r>
    </w:p>
    <w:p w14:paraId="29EBC91C" w14:textId="77777777" w:rsidR="00F072F7" w:rsidRPr="00F072F7" w:rsidRDefault="00F072F7" w:rsidP="00F072F7">
      <w:r w:rsidRPr="00F072F7">
        <w:t>A=(</w:t>
      </w:r>
      <w:proofErr w:type="spellStart"/>
      <w:proofErr w:type="gramStart"/>
      <w:r w:rsidRPr="00F072F7">
        <w:t>D,p</w:t>
      </w:r>
      <w:proofErr w:type="gramEnd"/>
      <w:r w:rsidRPr="00F072F7">
        <w:t>,ρ</w:t>
      </w:r>
      <w:proofErr w:type="spellEnd"/>
      <w:r w:rsidRPr="00F072F7">
        <w:t>)A=(</w:t>
      </w:r>
      <w:proofErr w:type="spellStart"/>
      <w:r w:rsidRPr="00F072F7">
        <w:t>D,p</w:t>
      </w:r>
      <w:proofErr w:type="spellEnd"/>
      <w:r w:rsidRPr="00F072F7">
        <w:t>,\</w:t>
      </w:r>
      <w:proofErr w:type="spellStart"/>
      <w:r w:rsidRPr="00F072F7">
        <w:t>rho</w:t>
      </w:r>
      <w:proofErr w:type="spellEnd"/>
      <w:r w:rsidRPr="00F072F7">
        <w:t>)A=(</w:t>
      </w:r>
      <w:proofErr w:type="spellStart"/>
      <w:r w:rsidRPr="00F072F7">
        <w:t>D,p,ρ</w:t>
      </w:r>
      <w:proofErr w:type="spellEnd"/>
      <w:r w:rsidRPr="00F072F7">
        <w:t xml:space="preserve">) </w:t>
      </w:r>
    </w:p>
    <w:p w14:paraId="558EEEEB" w14:textId="77777777" w:rsidR="00F072F7" w:rsidRPr="00F072F7" w:rsidRDefault="00F072F7" w:rsidP="00F072F7">
      <w:r w:rsidRPr="00F072F7">
        <w:t>mit</w:t>
      </w:r>
    </w:p>
    <w:p w14:paraId="67708C9A" w14:textId="77777777" w:rsidR="00F072F7" w:rsidRPr="00F072F7" w:rsidRDefault="00F072F7" w:rsidP="00F072F7">
      <w:pPr>
        <w:numPr>
          <w:ilvl w:val="0"/>
          <w:numId w:val="8"/>
        </w:numPr>
      </w:pPr>
      <w:r w:rsidRPr="00F072F7">
        <w:t xml:space="preserve">Dominanz DDD </w:t>
      </w:r>
    </w:p>
    <w:p w14:paraId="63CEEAFA" w14:textId="77777777" w:rsidR="00F072F7" w:rsidRPr="00F072F7" w:rsidRDefault="00F072F7" w:rsidP="00F072F7">
      <w:pPr>
        <w:numPr>
          <w:ilvl w:val="0"/>
          <w:numId w:val="8"/>
        </w:numPr>
      </w:pPr>
      <w:r w:rsidRPr="00F072F7">
        <w:t xml:space="preserve">Polarität </w:t>
      </w:r>
      <w:proofErr w:type="spellStart"/>
      <w:r w:rsidRPr="00F072F7">
        <w:t>ppp</w:t>
      </w:r>
      <w:proofErr w:type="spellEnd"/>
      <w:r w:rsidRPr="00F072F7">
        <w:t xml:space="preserve"> </w:t>
      </w:r>
    </w:p>
    <w:p w14:paraId="14195C67" w14:textId="77777777" w:rsidR="00F072F7" w:rsidRPr="00F072F7" w:rsidRDefault="00F072F7" w:rsidP="00F072F7">
      <w:pPr>
        <w:numPr>
          <w:ilvl w:val="0"/>
          <w:numId w:val="8"/>
        </w:numPr>
      </w:pPr>
      <w:r w:rsidRPr="00F072F7">
        <w:t>semantischer Dichte ρ\</w:t>
      </w:r>
      <w:proofErr w:type="spellStart"/>
      <w:r w:rsidRPr="00F072F7">
        <w:t>rhoρ</w:t>
      </w:r>
      <w:proofErr w:type="spellEnd"/>
      <w:r w:rsidRPr="00F072F7">
        <w:t xml:space="preserve"> </w:t>
      </w:r>
    </w:p>
    <w:p w14:paraId="2BFA9E41" w14:textId="77777777" w:rsidR="00F072F7" w:rsidRPr="00F072F7" w:rsidRDefault="00F072F7" w:rsidP="00F072F7">
      <w:r w:rsidRPr="00F072F7">
        <w:t xml:space="preserve">Häufig wiederkehrende Kombinationen werden als empirische </w:t>
      </w:r>
      <w:proofErr w:type="spellStart"/>
      <w:r w:rsidRPr="00F072F7">
        <w:t>Attraktorzustände</w:t>
      </w:r>
      <w:proofErr w:type="spellEnd"/>
      <w:r w:rsidRPr="00F072F7">
        <w:t xml:space="preserve"> interpretiert.</w:t>
      </w:r>
    </w:p>
    <w:p w14:paraId="4895FE5A" w14:textId="77777777" w:rsidR="00F072F7" w:rsidRPr="00F072F7" w:rsidRDefault="00F072F7" w:rsidP="00F072F7">
      <w:r w:rsidRPr="00F072F7">
        <w:pict w14:anchorId="53C7EABC">
          <v:rect id="_x0000_i1094" style="width:0;height:1.5pt" o:hralign="center" o:hrstd="t" o:hr="t" fillcolor="#a0a0a0" stroked="f"/>
        </w:pict>
      </w:r>
    </w:p>
    <w:p w14:paraId="3D4B9B43" w14:textId="77777777" w:rsidR="00F072F7" w:rsidRPr="00F072F7" w:rsidRDefault="00F072F7" w:rsidP="00F072F7">
      <w:pPr>
        <w:rPr>
          <w:b/>
        </w:rPr>
      </w:pPr>
      <w:r w:rsidRPr="00F072F7">
        <w:rPr>
          <w:b/>
        </w:rPr>
        <w:t xml:space="preserve">3.3 </w:t>
      </w:r>
      <w:proofErr w:type="spellStart"/>
      <w:r w:rsidRPr="00F072F7">
        <w:rPr>
          <w:b/>
        </w:rPr>
        <w:t>Rekurrenzanalyse</w:t>
      </w:r>
      <w:proofErr w:type="spellEnd"/>
    </w:p>
    <w:p w14:paraId="189027A5" w14:textId="77777777" w:rsidR="00F072F7" w:rsidRPr="00F072F7" w:rsidRDefault="00F072F7" w:rsidP="00F072F7">
      <w:r w:rsidRPr="00F072F7">
        <w:t>Zur Prüfung der Stabilität der Attraktoren wird die Kosinus-Rekurrenz berechnet.</w:t>
      </w:r>
    </w:p>
    <w:p w14:paraId="6D4D914C" w14:textId="77777777" w:rsidR="00F072F7" w:rsidRPr="00F072F7" w:rsidRDefault="00F072F7" w:rsidP="00F072F7">
      <w:r w:rsidRPr="00F072F7">
        <w:t>R=</w:t>
      </w:r>
      <w:proofErr w:type="spellStart"/>
      <w:r w:rsidRPr="00F072F7">
        <w:t>vi</w:t>
      </w:r>
      <w:r w:rsidRPr="00F072F7">
        <w:rPr>
          <w:rFonts w:ascii="Cambria Math" w:hAnsi="Cambria Math" w:cs="Cambria Math"/>
        </w:rPr>
        <w:t>⋅</w:t>
      </w:r>
      <w:r w:rsidRPr="00F072F7">
        <w:t>vj</w:t>
      </w:r>
      <w:r w:rsidRPr="00F072F7">
        <w:rPr>
          <w:rFonts w:ascii="Cambria Math" w:hAnsi="Cambria Math" w:cs="Cambria Math"/>
        </w:rPr>
        <w:t>∣</w:t>
      </w:r>
      <w:r w:rsidRPr="00F072F7">
        <w:t>vi</w:t>
      </w:r>
      <w:proofErr w:type="spellEnd"/>
      <w:r w:rsidRPr="00F072F7">
        <w:rPr>
          <w:rFonts w:ascii="Cambria Math" w:hAnsi="Cambria Math" w:cs="Cambria Math"/>
        </w:rPr>
        <w:t>∣∣</w:t>
      </w:r>
      <w:proofErr w:type="spellStart"/>
      <w:r w:rsidRPr="00F072F7">
        <w:t>vj</w:t>
      </w:r>
      <w:r w:rsidRPr="00F072F7">
        <w:rPr>
          <w:rFonts w:ascii="Cambria Math" w:hAnsi="Cambria Math" w:cs="Cambria Math"/>
        </w:rPr>
        <w:t>∣</w:t>
      </w:r>
      <w:r w:rsidRPr="00F072F7">
        <w:t>R</w:t>
      </w:r>
      <w:proofErr w:type="spellEnd"/>
      <w:r w:rsidRPr="00F072F7">
        <w:t>= \</w:t>
      </w:r>
      <w:proofErr w:type="spellStart"/>
      <w:proofErr w:type="gramStart"/>
      <w:r w:rsidRPr="00F072F7">
        <w:t>frac</w:t>
      </w:r>
      <w:proofErr w:type="spellEnd"/>
      <w:r w:rsidRPr="00F072F7">
        <w:t>{</w:t>
      </w:r>
      <w:proofErr w:type="spellStart"/>
      <w:proofErr w:type="gramEnd"/>
      <w:r w:rsidRPr="00F072F7">
        <w:t>v_i</w:t>
      </w:r>
      <w:proofErr w:type="spellEnd"/>
      <w:r w:rsidRPr="00F072F7">
        <w:t xml:space="preserve"> \</w:t>
      </w:r>
      <w:proofErr w:type="spellStart"/>
      <w:r w:rsidRPr="00F072F7">
        <w:t>cdot</w:t>
      </w:r>
      <w:proofErr w:type="spellEnd"/>
      <w:r w:rsidRPr="00F072F7">
        <w:t xml:space="preserve"> </w:t>
      </w:r>
      <w:proofErr w:type="spellStart"/>
      <w:r w:rsidRPr="00F072F7">
        <w:t>v_j</w:t>
      </w:r>
      <w:proofErr w:type="spellEnd"/>
      <w:r w:rsidRPr="00F072F7">
        <w:t>} {|</w:t>
      </w:r>
      <w:proofErr w:type="spellStart"/>
      <w:r w:rsidRPr="00F072F7">
        <w:t>v_i</w:t>
      </w:r>
      <w:proofErr w:type="spellEnd"/>
      <w:r w:rsidRPr="00F072F7">
        <w:t>||</w:t>
      </w:r>
      <w:proofErr w:type="spellStart"/>
      <w:r w:rsidRPr="00F072F7">
        <w:t>v_j</w:t>
      </w:r>
      <w:proofErr w:type="spellEnd"/>
      <w:r w:rsidRPr="00F072F7">
        <w:t>|}R=</w:t>
      </w:r>
      <w:r w:rsidRPr="00F072F7">
        <w:rPr>
          <w:rFonts w:ascii="Cambria Math" w:hAnsi="Cambria Math" w:cs="Cambria Math"/>
        </w:rPr>
        <w:t>∣</w:t>
      </w:r>
      <w:r w:rsidRPr="00F072F7">
        <w:t>vi​</w:t>
      </w:r>
      <w:r w:rsidRPr="00F072F7">
        <w:rPr>
          <w:rFonts w:ascii="Cambria Math" w:hAnsi="Cambria Math" w:cs="Cambria Math"/>
        </w:rPr>
        <w:t>∣∣</w:t>
      </w:r>
      <w:proofErr w:type="spellStart"/>
      <w:r w:rsidRPr="00F072F7">
        <w:t>vj</w:t>
      </w:r>
      <w:proofErr w:type="spellEnd"/>
      <w:r w:rsidRPr="00F072F7">
        <w:t>​</w:t>
      </w:r>
      <w:r w:rsidRPr="00F072F7">
        <w:rPr>
          <w:rFonts w:ascii="Cambria Math" w:hAnsi="Cambria Math" w:cs="Cambria Math"/>
        </w:rPr>
        <w:t>∣</w:t>
      </w:r>
      <w:r w:rsidRPr="00F072F7">
        <w:t>vi​</w:t>
      </w:r>
      <w:r w:rsidRPr="00F072F7">
        <w:rPr>
          <w:rFonts w:ascii="Cambria Math" w:hAnsi="Cambria Math" w:cs="Cambria Math"/>
        </w:rPr>
        <w:t>⋅</w:t>
      </w:r>
      <w:proofErr w:type="spellStart"/>
      <w:r w:rsidRPr="00F072F7">
        <w:t>vj</w:t>
      </w:r>
      <w:proofErr w:type="spellEnd"/>
      <w:r w:rsidRPr="00F072F7">
        <w:t xml:space="preserve">​​ </w:t>
      </w:r>
    </w:p>
    <w:p w14:paraId="53CBFED4" w14:textId="77777777" w:rsidR="00F072F7" w:rsidRPr="00F072F7" w:rsidRDefault="00F072F7" w:rsidP="00F072F7">
      <w:r w:rsidRPr="00F072F7">
        <w:t xml:space="preserve">Hohe </w:t>
      </w:r>
      <w:proofErr w:type="spellStart"/>
      <w:r w:rsidRPr="00F072F7">
        <w:t>Rekurrenzwerte</w:t>
      </w:r>
      <w:proofErr w:type="spellEnd"/>
      <w:r w:rsidRPr="00F072F7">
        <w:t xml:space="preserve"> bedeuten:</w:t>
      </w:r>
    </w:p>
    <w:p w14:paraId="53FBEC59" w14:textId="77777777" w:rsidR="00F072F7" w:rsidRPr="00F072F7" w:rsidRDefault="00F072F7" w:rsidP="00F072F7">
      <w:pPr>
        <w:numPr>
          <w:ilvl w:val="0"/>
          <w:numId w:val="9"/>
        </w:numPr>
      </w:pPr>
      <w:r w:rsidRPr="00F072F7">
        <w:t xml:space="preserve">hohe strukturelle Ähnlichkeit </w:t>
      </w:r>
    </w:p>
    <w:p w14:paraId="02A6EA4D" w14:textId="77777777" w:rsidR="00F072F7" w:rsidRPr="00F072F7" w:rsidRDefault="00F072F7" w:rsidP="00F072F7">
      <w:pPr>
        <w:numPr>
          <w:ilvl w:val="0"/>
          <w:numId w:val="9"/>
        </w:numPr>
      </w:pPr>
      <w:r w:rsidRPr="00F072F7">
        <w:t xml:space="preserve">wiederkehrende Zustandsmuster </w:t>
      </w:r>
    </w:p>
    <w:p w14:paraId="587748E3" w14:textId="77777777" w:rsidR="00F072F7" w:rsidRPr="00F072F7" w:rsidRDefault="00F072F7" w:rsidP="00F072F7">
      <w:pPr>
        <w:numPr>
          <w:ilvl w:val="0"/>
          <w:numId w:val="9"/>
        </w:numPr>
      </w:pPr>
      <w:r w:rsidRPr="00F072F7">
        <w:t xml:space="preserve">stabile </w:t>
      </w:r>
      <w:proofErr w:type="spellStart"/>
      <w:r w:rsidRPr="00F072F7">
        <w:t>Attraktorlandschaften</w:t>
      </w:r>
      <w:proofErr w:type="spellEnd"/>
      <w:r w:rsidRPr="00F072F7">
        <w:t xml:space="preserve"> </w:t>
      </w:r>
    </w:p>
    <w:p w14:paraId="73342027" w14:textId="77777777" w:rsidR="00F072F7" w:rsidRPr="00F072F7" w:rsidRDefault="00F072F7" w:rsidP="00F072F7">
      <w:proofErr w:type="spellStart"/>
      <w:r w:rsidRPr="00F072F7">
        <w:t>Kosinuswerte</w:t>
      </w:r>
      <w:proofErr w:type="spellEnd"/>
      <w:r w:rsidRPr="00F072F7">
        <w:t xml:space="preserve"> nahe 1 gelten als starker Hinweis auf semantische Rekurrenz [4].</w:t>
      </w:r>
    </w:p>
    <w:p w14:paraId="31C27A65" w14:textId="77777777" w:rsidR="00F072F7" w:rsidRPr="00F072F7" w:rsidRDefault="00F072F7" w:rsidP="00F072F7">
      <w:r w:rsidRPr="00F072F7">
        <w:lastRenderedPageBreak/>
        <w:pict w14:anchorId="37850554">
          <v:rect id="_x0000_i1095" style="width:0;height:1.5pt" o:hralign="center" o:hrstd="t" o:hr="t" fillcolor="#a0a0a0" stroked="f"/>
        </w:pict>
      </w:r>
    </w:p>
    <w:p w14:paraId="0CDE42D8" w14:textId="77777777" w:rsidR="00F072F7" w:rsidRPr="00F072F7" w:rsidRDefault="00F072F7" w:rsidP="00F072F7">
      <w:pPr>
        <w:rPr>
          <w:b/>
        </w:rPr>
      </w:pPr>
      <w:r w:rsidRPr="00F072F7">
        <w:rPr>
          <w:b/>
        </w:rPr>
        <w:t>3.4 Dominanzübergänge</w:t>
      </w:r>
    </w:p>
    <w:p w14:paraId="45B71D41" w14:textId="77777777" w:rsidR="00F072F7" w:rsidRPr="00F072F7" w:rsidRDefault="00F072F7" w:rsidP="00F072F7">
      <w:r w:rsidRPr="00F072F7">
        <w:t>Zusätzlich werden Übergänge zwischen Dominanzzuständen untersucht.</w:t>
      </w:r>
    </w:p>
    <w:p w14:paraId="1CEA16B7" w14:textId="77777777" w:rsidR="00F072F7" w:rsidRPr="00F072F7" w:rsidRDefault="00F072F7" w:rsidP="00F072F7">
      <w:r w:rsidRPr="00F072F7">
        <w:t>Hierzu wird eine Übergangsmatrix erstellt:</w:t>
      </w:r>
    </w:p>
    <w:p w14:paraId="5B7624A0" w14:textId="77777777" w:rsidR="00F072F7" w:rsidRPr="00F072F7" w:rsidRDefault="00F072F7" w:rsidP="00F072F7">
      <w:r w:rsidRPr="00F072F7">
        <w:t>P(Dt+1</w:t>
      </w:r>
      <w:r w:rsidRPr="00F072F7">
        <w:rPr>
          <w:rFonts w:ascii="Cambria Math" w:hAnsi="Cambria Math" w:cs="Cambria Math"/>
        </w:rPr>
        <w:t>∣</w:t>
      </w:r>
      <w:proofErr w:type="gramStart"/>
      <w:r w:rsidRPr="00F072F7">
        <w:t>Dt)P</w:t>
      </w:r>
      <w:proofErr w:type="gramEnd"/>
      <w:r w:rsidRPr="00F072F7">
        <w:t>(D_{t+1}|</w:t>
      </w:r>
      <w:proofErr w:type="spellStart"/>
      <w:r w:rsidRPr="00F072F7">
        <w:t>D_t</w:t>
      </w:r>
      <w:proofErr w:type="spellEnd"/>
      <w:r w:rsidRPr="00F072F7">
        <w:t>)P(Dt+1​</w:t>
      </w:r>
      <w:r w:rsidRPr="00F072F7">
        <w:rPr>
          <w:rFonts w:ascii="Cambria Math" w:hAnsi="Cambria Math" w:cs="Cambria Math"/>
        </w:rPr>
        <w:t>∣</w:t>
      </w:r>
      <w:proofErr w:type="spellStart"/>
      <w:r w:rsidRPr="00F072F7">
        <w:t>Dt</w:t>
      </w:r>
      <w:proofErr w:type="spellEnd"/>
      <w:r w:rsidRPr="00F072F7">
        <w:t xml:space="preserve">​) </w:t>
      </w:r>
    </w:p>
    <w:p w14:paraId="5E67E62A" w14:textId="77777777" w:rsidR="00F072F7" w:rsidRPr="00F072F7" w:rsidRDefault="00F072F7" w:rsidP="00F072F7">
      <w:r w:rsidRPr="00F072F7">
        <w:t>Dadurch lässt sich bestimmen,</w:t>
      </w:r>
    </w:p>
    <w:p w14:paraId="52F5C381" w14:textId="77777777" w:rsidR="00F072F7" w:rsidRPr="00F072F7" w:rsidRDefault="00F072F7" w:rsidP="00F072F7">
      <w:pPr>
        <w:numPr>
          <w:ilvl w:val="0"/>
          <w:numId w:val="10"/>
        </w:numPr>
      </w:pPr>
      <w:r w:rsidRPr="00F072F7">
        <w:t xml:space="preserve">welche Dominanzen stabil bleiben, </w:t>
      </w:r>
    </w:p>
    <w:p w14:paraId="395A1B6F" w14:textId="77777777" w:rsidR="00F072F7" w:rsidRPr="00F072F7" w:rsidRDefault="00F072F7" w:rsidP="00F072F7">
      <w:pPr>
        <w:numPr>
          <w:ilvl w:val="0"/>
          <w:numId w:val="10"/>
        </w:numPr>
      </w:pPr>
      <w:r w:rsidRPr="00F072F7">
        <w:t xml:space="preserve">welche Übergänge bevorzugt auftreten, </w:t>
      </w:r>
    </w:p>
    <w:p w14:paraId="50DB368F" w14:textId="77777777" w:rsidR="00F072F7" w:rsidRPr="00F072F7" w:rsidRDefault="00F072F7" w:rsidP="00F072F7">
      <w:pPr>
        <w:numPr>
          <w:ilvl w:val="0"/>
          <w:numId w:val="10"/>
        </w:numPr>
      </w:pPr>
      <w:r w:rsidRPr="00F072F7">
        <w:t xml:space="preserve">welche Zustände als Vermittler zwischen Attraktoren fungieren. </w:t>
      </w:r>
    </w:p>
    <w:p w14:paraId="04C8DF80" w14:textId="77777777" w:rsidR="00F072F7" w:rsidRPr="00F072F7" w:rsidRDefault="00F072F7" w:rsidP="00F072F7">
      <w:r w:rsidRPr="00F072F7">
        <w:pict w14:anchorId="052A2D34">
          <v:rect id="_x0000_i1096" style="width:0;height:1.5pt" o:hralign="center" o:hrstd="t" o:hr="t" fillcolor="#a0a0a0" stroked="f"/>
        </w:pict>
      </w:r>
    </w:p>
    <w:p w14:paraId="2932D2EB" w14:textId="77777777" w:rsidR="00F072F7" w:rsidRPr="00F072F7" w:rsidRDefault="00F072F7" w:rsidP="00F072F7">
      <w:pPr>
        <w:rPr>
          <w:b/>
        </w:rPr>
      </w:pPr>
      <w:r w:rsidRPr="00F072F7">
        <w:rPr>
          <w:b/>
        </w:rPr>
        <w:t>4. Zentrale Ergebnisse</w:t>
      </w:r>
    </w:p>
    <w:p w14:paraId="1DD25BA9" w14:textId="77777777" w:rsidR="00F072F7" w:rsidRPr="00F072F7" w:rsidRDefault="00F072F7" w:rsidP="00F072F7">
      <w:r w:rsidRPr="00F072F7">
        <w:t>Die Analyse zeigt eine deutliche Konzentration der Zustandsdynamik auf wenige Dominanzdimensionen.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4"/>
        <w:gridCol w:w="848"/>
      </w:tblGrid>
      <w:tr w:rsidR="00F072F7" w:rsidRPr="00F072F7" w14:paraId="0BD714E0" w14:textId="77777777" w:rsidTr="00F072F7">
        <w:trPr>
          <w:tblHeader/>
          <w:tblCellSpacing w:w="15" w:type="dxa"/>
        </w:trPr>
        <w:tc>
          <w:tcPr>
            <w:tcW w:w="0" w:type="auto"/>
            <w:vAlign w:val="center"/>
            <w:hideMark/>
          </w:tcPr>
          <w:p w14:paraId="2A133784" w14:textId="77777777" w:rsidR="00F072F7" w:rsidRPr="00F072F7" w:rsidRDefault="00F072F7" w:rsidP="00F072F7">
            <w:pPr>
              <w:rPr>
                <w:b/>
              </w:rPr>
            </w:pPr>
            <w:r w:rsidRPr="00F072F7">
              <w:rPr>
                <w:b/>
              </w:rPr>
              <w:t>Dominanz</w:t>
            </w:r>
          </w:p>
        </w:tc>
        <w:tc>
          <w:tcPr>
            <w:tcW w:w="0" w:type="auto"/>
            <w:vAlign w:val="center"/>
            <w:hideMark/>
          </w:tcPr>
          <w:p w14:paraId="3E45839E" w14:textId="77777777" w:rsidR="00F072F7" w:rsidRPr="00F072F7" w:rsidRDefault="00F072F7" w:rsidP="00F072F7">
            <w:pPr>
              <w:rPr>
                <w:b/>
              </w:rPr>
            </w:pPr>
            <w:r w:rsidRPr="00F072F7">
              <w:rPr>
                <w:b/>
              </w:rPr>
              <w:t>Anteil</w:t>
            </w:r>
          </w:p>
        </w:tc>
      </w:tr>
      <w:tr w:rsidR="00F072F7" w:rsidRPr="00F072F7" w14:paraId="4D045172" w14:textId="77777777" w:rsidTr="00F072F7">
        <w:trPr>
          <w:tblCellSpacing w:w="15" w:type="dxa"/>
        </w:trPr>
        <w:tc>
          <w:tcPr>
            <w:tcW w:w="0" w:type="auto"/>
            <w:vAlign w:val="center"/>
            <w:hideMark/>
          </w:tcPr>
          <w:p w14:paraId="55488BFF" w14:textId="77777777" w:rsidR="00F072F7" w:rsidRPr="00F072F7" w:rsidRDefault="00F072F7" w:rsidP="00F072F7">
            <w:r w:rsidRPr="00F072F7">
              <w:t>Kognition</w:t>
            </w:r>
          </w:p>
        </w:tc>
        <w:tc>
          <w:tcPr>
            <w:tcW w:w="0" w:type="auto"/>
            <w:vAlign w:val="center"/>
            <w:hideMark/>
          </w:tcPr>
          <w:p w14:paraId="5B2F9F6F" w14:textId="77777777" w:rsidR="00F072F7" w:rsidRPr="00F072F7" w:rsidRDefault="00F072F7" w:rsidP="00F072F7">
            <w:r w:rsidRPr="00F072F7">
              <w:t>41,84 %</w:t>
            </w:r>
          </w:p>
        </w:tc>
      </w:tr>
      <w:tr w:rsidR="00F072F7" w:rsidRPr="00F072F7" w14:paraId="54F5B8E5" w14:textId="77777777" w:rsidTr="00F072F7">
        <w:trPr>
          <w:tblCellSpacing w:w="15" w:type="dxa"/>
        </w:trPr>
        <w:tc>
          <w:tcPr>
            <w:tcW w:w="0" w:type="auto"/>
            <w:vAlign w:val="center"/>
            <w:hideMark/>
          </w:tcPr>
          <w:p w14:paraId="39B56060" w14:textId="77777777" w:rsidR="00F072F7" w:rsidRPr="00F072F7" w:rsidRDefault="00F072F7" w:rsidP="00F072F7">
            <w:r w:rsidRPr="00F072F7">
              <w:t>Performanz</w:t>
            </w:r>
          </w:p>
        </w:tc>
        <w:tc>
          <w:tcPr>
            <w:tcW w:w="0" w:type="auto"/>
            <w:vAlign w:val="center"/>
            <w:hideMark/>
          </w:tcPr>
          <w:p w14:paraId="7E3F142B" w14:textId="77777777" w:rsidR="00F072F7" w:rsidRPr="00F072F7" w:rsidRDefault="00F072F7" w:rsidP="00F072F7">
            <w:r w:rsidRPr="00F072F7">
              <w:t>35,11 %</w:t>
            </w:r>
          </w:p>
        </w:tc>
      </w:tr>
      <w:tr w:rsidR="00F072F7" w:rsidRPr="00F072F7" w14:paraId="3D28792F" w14:textId="77777777" w:rsidTr="00F072F7">
        <w:trPr>
          <w:tblCellSpacing w:w="15" w:type="dxa"/>
        </w:trPr>
        <w:tc>
          <w:tcPr>
            <w:tcW w:w="0" w:type="auto"/>
            <w:vAlign w:val="center"/>
            <w:hideMark/>
          </w:tcPr>
          <w:p w14:paraId="71C30C05" w14:textId="77777777" w:rsidR="00F072F7" w:rsidRPr="00F072F7" w:rsidRDefault="00F072F7" w:rsidP="00F072F7">
            <w:r w:rsidRPr="00F072F7">
              <w:t>Regulation</w:t>
            </w:r>
          </w:p>
        </w:tc>
        <w:tc>
          <w:tcPr>
            <w:tcW w:w="0" w:type="auto"/>
            <w:vAlign w:val="center"/>
            <w:hideMark/>
          </w:tcPr>
          <w:p w14:paraId="62B10C0F" w14:textId="77777777" w:rsidR="00F072F7" w:rsidRPr="00F072F7" w:rsidRDefault="00F072F7" w:rsidP="00F072F7">
            <w:r w:rsidRPr="00F072F7">
              <w:t>14,54 %</w:t>
            </w:r>
          </w:p>
        </w:tc>
      </w:tr>
      <w:tr w:rsidR="00F072F7" w:rsidRPr="00F072F7" w14:paraId="7317A096" w14:textId="77777777" w:rsidTr="00F072F7">
        <w:trPr>
          <w:tblCellSpacing w:w="15" w:type="dxa"/>
        </w:trPr>
        <w:tc>
          <w:tcPr>
            <w:tcW w:w="0" w:type="auto"/>
            <w:vAlign w:val="center"/>
            <w:hideMark/>
          </w:tcPr>
          <w:p w14:paraId="54BDE2D4" w14:textId="77777777" w:rsidR="00F072F7" w:rsidRPr="00F072F7" w:rsidRDefault="00F072F7" w:rsidP="00F072F7">
            <w:r w:rsidRPr="00F072F7">
              <w:t>Methodik</w:t>
            </w:r>
          </w:p>
        </w:tc>
        <w:tc>
          <w:tcPr>
            <w:tcW w:w="0" w:type="auto"/>
            <w:vAlign w:val="center"/>
            <w:hideMark/>
          </w:tcPr>
          <w:p w14:paraId="13B3C84B" w14:textId="77777777" w:rsidR="00F072F7" w:rsidRPr="00F072F7" w:rsidRDefault="00F072F7" w:rsidP="00F072F7">
            <w:r w:rsidRPr="00F072F7">
              <w:t>4,61 %</w:t>
            </w:r>
          </w:p>
        </w:tc>
      </w:tr>
      <w:tr w:rsidR="00F072F7" w:rsidRPr="00F072F7" w14:paraId="6BBE8472" w14:textId="77777777" w:rsidTr="00F072F7">
        <w:trPr>
          <w:tblCellSpacing w:w="15" w:type="dxa"/>
        </w:trPr>
        <w:tc>
          <w:tcPr>
            <w:tcW w:w="0" w:type="auto"/>
            <w:vAlign w:val="center"/>
            <w:hideMark/>
          </w:tcPr>
          <w:p w14:paraId="6C78954C" w14:textId="77777777" w:rsidR="00F072F7" w:rsidRPr="00F072F7" w:rsidRDefault="00F072F7" w:rsidP="00F072F7">
            <w:r w:rsidRPr="00F072F7">
              <w:t>Motivation</w:t>
            </w:r>
          </w:p>
        </w:tc>
        <w:tc>
          <w:tcPr>
            <w:tcW w:w="0" w:type="auto"/>
            <w:vAlign w:val="center"/>
            <w:hideMark/>
          </w:tcPr>
          <w:p w14:paraId="690479B8" w14:textId="77777777" w:rsidR="00F072F7" w:rsidRPr="00F072F7" w:rsidRDefault="00F072F7" w:rsidP="00F072F7">
            <w:r w:rsidRPr="00F072F7">
              <w:t>3,90 %</w:t>
            </w:r>
          </w:p>
        </w:tc>
      </w:tr>
    </w:tbl>
    <w:p w14:paraId="06EC0C3E" w14:textId="77777777" w:rsidR="00F072F7" w:rsidRPr="00F072F7" w:rsidRDefault="00F072F7" w:rsidP="00F072F7">
      <w:r w:rsidRPr="00F072F7">
        <w:t>Damit entfallen mehr als 91 % aller beobachteten Zustände auf lediglich drei Dominanzachsen.</w:t>
      </w:r>
    </w:p>
    <w:p w14:paraId="289E5FB2" w14:textId="77777777" w:rsidR="00F072F7" w:rsidRPr="00F072F7" w:rsidRDefault="00F072F7" w:rsidP="00F072F7">
      <w:r w:rsidRPr="00F072F7">
        <w:t>Diese Verteilung widerspricht der Annahme einer zufälligen Zustandsverteilung und spricht stattdessen für stabile semantische Organisationszentren.</w:t>
      </w:r>
    </w:p>
    <w:p w14:paraId="5EC9F9D7" w14:textId="77777777" w:rsidR="00F072F7" w:rsidRPr="00F072F7" w:rsidRDefault="00F072F7" w:rsidP="00F072F7">
      <w:r w:rsidRPr="00F072F7">
        <w:t xml:space="preserve">Besonders häufig treten folgende </w:t>
      </w:r>
      <w:proofErr w:type="spellStart"/>
      <w:r w:rsidRPr="00F072F7">
        <w:t>Attraktorzustände</w:t>
      </w:r>
      <w:proofErr w:type="spellEnd"/>
      <w:r w:rsidRPr="00F072F7">
        <w:t xml:space="preserve"> auf: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7"/>
        <w:gridCol w:w="848"/>
      </w:tblGrid>
      <w:tr w:rsidR="00F072F7" w:rsidRPr="00F072F7" w14:paraId="3791B8BE" w14:textId="77777777" w:rsidTr="00F072F7">
        <w:trPr>
          <w:tblHeader/>
          <w:tblCellSpacing w:w="15" w:type="dxa"/>
        </w:trPr>
        <w:tc>
          <w:tcPr>
            <w:tcW w:w="0" w:type="auto"/>
            <w:vAlign w:val="center"/>
            <w:hideMark/>
          </w:tcPr>
          <w:p w14:paraId="0582A691" w14:textId="77777777" w:rsidR="00F072F7" w:rsidRPr="00F072F7" w:rsidRDefault="00F072F7" w:rsidP="00F072F7">
            <w:pPr>
              <w:rPr>
                <w:b/>
              </w:rPr>
            </w:pPr>
            <w:r w:rsidRPr="00F072F7">
              <w:rPr>
                <w:b/>
              </w:rPr>
              <w:t>Attraktor</w:t>
            </w:r>
          </w:p>
        </w:tc>
        <w:tc>
          <w:tcPr>
            <w:tcW w:w="0" w:type="auto"/>
            <w:vAlign w:val="center"/>
            <w:hideMark/>
          </w:tcPr>
          <w:p w14:paraId="003CCD04" w14:textId="77777777" w:rsidR="00F072F7" w:rsidRPr="00F072F7" w:rsidRDefault="00F072F7" w:rsidP="00F072F7">
            <w:pPr>
              <w:rPr>
                <w:b/>
              </w:rPr>
            </w:pPr>
            <w:r w:rsidRPr="00F072F7">
              <w:rPr>
                <w:b/>
              </w:rPr>
              <w:t>Anteil</w:t>
            </w:r>
          </w:p>
        </w:tc>
      </w:tr>
      <w:tr w:rsidR="00F072F7" w:rsidRPr="00F072F7" w14:paraId="5782CCCE" w14:textId="77777777" w:rsidTr="00F072F7">
        <w:trPr>
          <w:tblCellSpacing w:w="15" w:type="dxa"/>
        </w:trPr>
        <w:tc>
          <w:tcPr>
            <w:tcW w:w="0" w:type="auto"/>
            <w:vAlign w:val="center"/>
            <w:hideMark/>
          </w:tcPr>
          <w:p w14:paraId="6C6923E5" w14:textId="77777777" w:rsidR="00F072F7" w:rsidRPr="00F072F7" w:rsidRDefault="00F072F7" w:rsidP="00F072F7">
            <w:r w:rsidRPr="00F072F7">
              <w:t>Kognition + positiv</w:t>
            </w:r>
          </w:p>
        </w:tc>
        <w:tc>
          <w:tcPr>
            <w:tcW w:w="0" w:type="auto"/>
            <w:vAlign w:val="center"/>
            <w:hideMark/>
          </w:tcPr>
          <w:p w14:paraId="1892EC60" w14:textId="77777777" w:rsidR="00F072F7" w:rsidRPr="00F072F7" w:rsidRDefault="00F072F7" w:rsidP="00F072F7">
            <w:r w:rsidRPr="00F072F7">
              <w:t>41,84 %</w:t>
            </w:r>
          </w:p>
        </w:tc>
      </w:tr>
      <w:tr w:rsidR="00F072F7" w:rsidRPr="00F072F7" w14:paraId="6430785A" w14:textId="77777777" w:rsidTr="00F072F7">
        <w:trPr>
          <w:tblCellSpacing w:w="15" w:type="dxa"/>
        </w:trPr>
        <w:tc>
          <w:tcPr>
            <w:tcW w:w="0" w:type="auto"/>
            <w:vAlign w:val="center"/>
            <w:hideMark/>
          </w:tcPr>
          <w:p w14:paraId="4FF7E1F0" w14:textId="77777777" w:rsidR="00F072F7" w:rsidRPr="00F072F7" w:rsidRDefault="00F072F7" w:rsidP="00F072F7">
            <w:r w:rsidRPr="00F072F7">
              <w:t>Performanz + positiv</w:t>
            </w:r>
          </w:p>
        </w:tc>
        <w:tc>
          <w:tcPr>
            <w:tcW w:w="0" w:type="auto"/>
            <w:vAlign w:val="center"/>
            <w:hideMark/>
          </w:tcPr>
          <w:p w14:paraId="73A38BA0" w14:textId="77777777" w:rsidR="00F072F7" w:rsidRPr="00F072F7" w:rsidRDefault="00F072F7" w:rsidP="00F072F7">
            <w:r w:rsidRPr="00F072F7">
              <w:t>34,75 %</w:t>
            </w:r>
          </w:p>
        </w:tc>
      </w:tr>
      <w:tr w:rsidR="00F072F7" w:rsidRPr="00F072F7" w14:paraId="4BD1FB63" w14:textId="77777777" w:rsidTr="00F072F7">
        <w:trPr>
          <w:tblCellSpacing w:w="15" w:type="dxa"/>
        </w:trPr>
        <w:tc>
          <w:tcPr>
            <w:tcW w:w="0" w:type="auto"/>
            <w:vAlign w:val="center"/>
            <w:hideMark/>
          </w:tcPr>
          <w:p w14:paraId="3285FF05" w14:textId="77777777" w:rsidR="00F072F7" w:rsidRPr="00F072F7" w:rsidRDefault="00F072F7" w:rsidP="00F072F7">
            <w:r w:rsidRPr="00F072F7">
              <w:t>Regulation + positiv</w:t>
            </w:r>
          </w:p>
        </w:tc>
        <w:tc>
          <w:tcPr>
            <w:tcW w:w="0" w:type="auto"/>
            <w:vAlign w:val="center"/>
            <w:hideMark/>
          </w:tcPr>
          <w:p w14:paraId="599532FD" w14:textId="77777777" w:rsidR="00F072F7" w:rsidRPr="00F072F7" w:rsidRDefault="00F072F7" w:rsidP="00F072F7">
            <w:r w:rsidRPr="00F072F7">
              <w:t>14,54 %</w:t>
            </w:r>
          </w:p>
        </w:tc>
      </w:tr>
    </w:tbl>
    <w:p w14:paraId="51A5D8E2" w14:textId="77777777" w:rsidR="00F072F7" w:rsidRPr="00F072F7" w:rsidRDefault="00F072F7" w:rsidP="00F072F7">
      <w:r w:rsidRPr="00F072F7">
        <w:t>Negative Attraktoren treten dagegen kaum stabil auf.</w:t>
      </w:r>
    </w:p>
    <w:p w14:paraId="627E40B9" w14:textId="77777777" w:rsidR="00F072F7" w:rsidRPr="00F072F7" w:rsidRDefault="00F072F7" w:rsidP="00F072F7">
      <w:r w:rsidRPr="00F072F7">
        <w:pict w14:anchorId="3E14D485">
          <v:rect id="_x0000_i1097" style="width:0;height:1.5pt" o:hralign="center" o:hrstd="t" o:hr="t" fillcolor="#a0a0a0" stroked="f"/>
        </w:pict>
      </w:r>
    </w:p>
    <w:p w14:paraId="2085E542" w14:textId="77777777" w:rsidR="00F072F7" w:rsidRPr="00F072F7" w:rsidRDefault="00F072F7" w:rsidP="00F072F7">
      <w:pPr>
        <w:rPr>
          <w:b/>
        </w:rPr>
      </w:pPr>
      <w:r w:rsidRPr="00F072F7">
        <w:rPr>
          <w:b/>
        </w:rPr>
        <w:t>5. Methodische Interpretation</w:t>
      </w:r>
    </w:p>
    <w:p w14:paraId="4BB8C59B" w14:textId="77777777" w:rsidR="00F072F7" w:rsidRPr="00F072F7" w:rsidRDefault="00F072F7" w:rsidP="00F072F7">
      <w:r w:rsidRPr="00F072F7">
        <w:t>Die Daten zeigen, dass das pädagogische System nicht frei durch den semantischen Raum wandert.</w:t>
      </w:r>
    </w:p>
    <w:p w14:paraId="0A81A0BB" w14:textId="77777777" w:rsidR="00F072F7" w:rsidRPr="00F072F7" w:rsidRDefault="00F072F7" w:rsidP="00F072F7">
      <w:r w:rsidRPr="00F072F7">
        <w:t>Stattdessen entsteht eine deutliche Verdichtung auf wenige stabile Zustandsräume.</w:t>
      </w:r>
    </w:p>
    <w:p w14:paraId="29FFDC1C" w14:textId="77777777" w:rsidR="00F072F7" w:rsidRPr="00F072F7" w:rsidRDefault="00F072F7" w:rsidP="00F072F7">
      <w:r w:rsidRPr="00F072F7">
        <w:lastRenderedPageBreak/>
        <w:t>Methodisch besitzt dieser Befund erhebliche Bedeutung.</w:t>
      </w:r>
    </w:p>
    <w:p w14:paraId="57ABDE29" w14:textId="77777777" w:rsidR="00F072F7" w:rsidRPr="00F072F7" w:rsidRDefault="00F072F7" w:rsidP="00F072F7">
      <w:r w:rsidRPr="00F072F7">
        <w:t>Wäre das FRZK lediglich ein mathematisches Artefakt, müssten die Dominanzdimensionen wesentlich gleichmäßiger verteilt sein.</w:t>
      </w:r>
    </w:p>
    <w:p w14:paraId="7776A960" w14:textId="77777777" w:rsidR="00F072F7" w:rsidRPr="00F072F7" w:rsidRDefault="00F072F7" w:rsidP="00F072F7">
      <w:r w:rsidRPr="00F072F7">
        <w:t>Die beobachtete Konzentration spricht dagegen für reale Strukturierungsprozesse innerhalb des pädagogischen Systems.</w:t>
      </w:r>
    </w:p>
    <w:p w14:paraId="1E4CC9F4" w14:textId="77777777" w:rsidR="00F072F7" w:rsidRPr="00F072F7" w:rsidRDefault="00F072F7" w:rsidP="00F072F7">
      <w:r w:rsidRPr="00F072F7">
        <w:t>Besonders bemerkenswert ist die hohe Rekurrenz der Attraktoren.</w:t>
      </w:r>
    </w:p>
    <w:p w14:paraId="02EC55B5" w14:textId="77777777" w:rsidR="00F072F7" w:rsidRPr="00F072F7" w:rsidRDefault="00F072F7" w:rsidP="00F072F7">
      <w:r w:rsidRPr="00F072F7">
        <w:t xml:space="preserve">Für motivationale Dominanzen wurde ein </w:t>
      </w:r>
      <w:proofErr w:type="spellStart"/>
      <w:r w:rsidRPr="00F072F7">
        <w:t>Rekurrenzwert</w:t>
      </w:r>
      <w:proofErr w:type="spellEnd"/>
      <w:r w:rsidRPr="00F072F7">
        <w:t xml:space="preserve"> von nahezu</w:t>
      </w:r>
    </w:p>
    <w:p w14:paraId="3FA0BFD8" w14:textId="77777777" w:rsidR="00F072F7" w:rsidRPr="00F072F7" w:rsidRDefault="00F072F7" w:rsidP="00F072F7">
      <w:r w:rsidRPr="00F072F7">
        <w:t xml:space="preserve">R=0,997R=0,997R=0,997 </w:t>
      </w:r>
    </w:p>
    <w:p w14:paraId="14EC9911" w14:textId="77777777" w:rsidR="00F072F7" w:rsidRPr="00F072F7" w:rsidRDefault="00F072F7" w:rsidP="00F072F7">
      <w:r w:rsidRPr="00F072F7">
        <w:t>beobachtet.</w:t>
      </w:r>
    </w:p>
    <w:p w14:paraId="53B8D241" w14:textId="77777777" w:rsidR="00F072F7" w:rsidRPr="00F072F7" w:rsidRDefault="00F072F7" w:rsidP="00F072F7">
      <w:r w:rsidRPr="00F072F7">
        <w:t>Kognitive Attraktoren erreichen</w:t>
      </w:r>
    </w:p>
    <w:p w14:paraId="7466E07A" w14:textId="77777777" w:rsidR="00F072F7" w:rsidRPr="00F072F7" w:rsidRDefault="00F072F7" w:rsidP="00F072F7">
      <w:r w:rsidRPr="00F072F7">
        <w:t xml:space="preserve">R=0,988R=0,988R=0,988 </w:t>
      </w:r>
    </w:p>
    <w:p w14:paraId="29BE927F" w14:textId="77777777" w:rsidR="00F072F7" w:rsidRPr="00F072F7" w:rsidRDefault="00F072F7" w:rsidP="00F072F7">
      <w:r w:rsidRPr="00F072F7">
        <w:t>Diese Werte liegen nahe an vollständiger struktureller Identität und deuten auf außergewöhnlich stabile Organisationsmuster hin.</w:t>
      </w:r>
    </w:p>
    <w:p w14:paraId="0F06D474" w14:textId="77777777" w:rsidR="00F072F7" w:rsidRPr="00F072F7" w:rsidRDefault="00F072F7" w:rsidP="00F072F7">
      <w:r w:rsidRPr="00F072F7">
        <w:t>Methodisch liefert dies einen wichtigen Hinweis darauf, dass die Zustandsräume nicht zufällig entstehen, sondern langfristig reproduziert werden.</w:t>
      </w:r>
    </w:p>
    <w:p w14:paraId="1411101A" w14:textId="77777777" w:rsidR="00F072F7" w:rsidRPr="00F072F7" w:rsidRDefault="00F072F7" w:rsidP="00F072F7">
      <w:r w:rsidRPr="00F072F7">
        <w:pict w14:anchorId="4029C7BC">
          <v:rect id="_x0000_i1098" style="width:0;height:1.5pt" o:hralign="center" o:hrstd="t" o:hr="t" fillcolor="#a0a0a0" stroked="f"/>
        </w:pict>
      </w:r>
    </w:p>
    <w:p w14:paraId="6DA3847E" w14:textId="77777777" w:rsidR="00F072F7" w:rsidRPr="00F072F7" w:rsidRDefault="00F072F7" w:rsidP="00F072F7">
      <w:pPr>
        <w:rPr>
          <w:b/>
        </w:rPr>
      </w:pPr>
      <w:r w:rsidRPr="00F072F7">
        <w:rPr>
          <w:b/>
        </w:rPr>
        <w:t>6. Didaktische Konsequenzen</w:t>
      </w:r>
    </w:p>
    <w:p w14:paraId="351EC7D1" w14:textId="77777777" w:rsidR="00F072F7" w:rsidRPr="00F072F7" w:rsidRDefault="00F072F7" w:rsidP="00F072F7">
      <w:r w:rsidRPr="00F072F7">
        <w:t>Für die Unterrichts- und Nachhilfepraxis ergeben sich weitreichende Konsequenzen.</w:t>
      </w:r>
    </w:p>
    <w:p w14:paraId="78E46215" w14:textId="77777777" w:rsidR="00F072F7" w:rsidRPr="00F072F7" w:rsidRDefault="00F072F7" w:rsidP="00F072F7">
      <w:r w:rsidRPr="00F072F7">
        <w:t>Die Ergebnisse legen nahe, dass erfolgreiche Lernprozesse nicht durch einzelne Unterrichtsmaßnahmen erklärt werden können.</w:t>
      </w:r>
    </w:p>
    <w:p w14:paraId="6C93B291" w14:textId="77777777" w:rsidR="00F072F7" w:rsidRPr="00F072F7" w:rsidRDefault="00F072F7" w:rsidP="00F072F7">
      <w:r w:rsidRPr="00F072F7">
        <w:t xml:space="preserve">Entscheidend scheint vielmehr zu sein, ob Lernende dauerhaft in stabile </w:t>
      </w:r>
      <w:proofErr w:type="spellStart"/>
      <w:r w:rsidRPr="00F072F7">
        <w:t>Attraktorräume</w:t>
      </w:r>
      <w:proofErr w:type="spellEnd"/>
      <w:r w:rsidRPr="00F072F7">
        <w:t xml:space="preserve"> überführt werden.</w:t>
      </w:r>
    </w:p>
    <w:p w14:paraId="79365717" w14:textId="77777777" w:rsidR="00F072F7" w:rsidRPr="00F072F7" w:rsidRDefault="00F072F7" w:rsidP="00F072F7">
      <w:r w:rsidRPr="00F072F7">
        <w:t>Die Daten zeigen insbesondere drei zentrale Zielräume:</w:t>
      </w:r>
    </w:p>
    <w:p w14:paraId="34B7F548" w14:textId="77777777" w:rsidR="00F072F7" w:rsidRPr="00F072F7" w:rsidRDefault="00F072F7" w:rsidP="00F072F7">
      <w:pPr>
        <w:rPr>
          <w:b/>
        </w:rPr>
      </w:pPr>
      <w:r w:rsidRPr="00F072F7">
        <w:rPr>
          <w:b/>
        </w:rPr>
        <w:t>Kognitive Attraktoren</w:t>
      </w:r>
    </w:p>
    <w:p w14:paraId="1049A29A" w14:textId="77777777" w:rsidR="00F072F7" w:rsidRPr="00F072F7" w:rsidRDefault="00F072F7" w:rsidP="00F072F7">
      <w:r w:rsidRPr="00F072F7">
        <w:t>Kognitive Dominanzen erzeugen:</w:t>
      </w:r>
    </w:p>
    <w:p w14:paraId="73EFA072" w14:textId="77777777" w:rsidR="00F072F7" w:rsidRPr="00F072F7" w:rsidRDefault="00F072F7" w:rsidP="00F072F7">
      <w:pPr>
        <w:numPr>
          <w:ilvl w:val="0"/>
          <w:numId w:val="11"/>
        </w:numPr>
      </w:pPr>
      <w:r w:rsidRPr="00F072F7">
        <w:t xml:space="preserve">Verstehen </w:t>
      </w:r>
    </w:p>
    <w:p w14:paraId="4AEB1F96" w14:textId="77777777" w:rsidR="00F072F7" w:rsidRPr="00F072F7" w:rsidRDefault="00F072F7" w:rsidP="00F072F7">
      <w:pPr>
        <w:numPr>
          <w:ilvl w:val="0"/>
          <w:numId w:val="11"/>
        </w:numPr>
      </w:pPr>
      <w:r w:rsidRPr="00F072F7">
        <w:t xml:space="preserve">Transferfähigkeit </w:t>
      </w:r>
    </w:p>
    <w:p w14:paraId="3927A62B" w14:textId="77777777" w:rsidR="00F072F7" w:rsidRPr="00F072F7" w:rsidRDefault="00F072F7" w:rsidP="00F072F7">
      <w:pPr>
        <w:numPr>
          <w:ilvl w:val="0"/>
          <w:numId w:val="11"/>
        </w:numPr>
      </w:pPr>
      <w:r w:rsidRPr="00F072F7">
        <w:t xml:space="preserve">epistemische Aktivierung </w:t>
      </w:r>
    </w:p>
    <w:p w14:paraId="411E8FF2" w14:textId="77777777" w:rsidR="00F072F7" w:rsidRPr="00F072F7" w:rsidRDefault="00F072F7" w:rsidP="00F072F7">
      <w:r w:rsidRPr="00F072F7">
        <w:t>Sie bilden den häufigsten Attraktor des Systems.</w:t>
      </w:r>
    </w:p>
    <w:p w14:paraId="4C8505F7" w14:textId="77777777" w:rsidR="00F072F7" w:rsidRPr="00F072F7" w:rsidRDefault="00F072F7" w:rsidP="00F072F7">
      <w:pPr>
        <w:rPr>
          <w:b/>
        </w:rPr>
      </w:pPr>
      <w:r w:rsidRPr="00F072F7">
        <w:rPr>
          <w:b/>
        </w:rPr>
        <w:t>Performative Attraktoren</w:t>
      </w:r>
    </w:p>
    <w:p w14:paraId="2642A069" w14:textId="77777777" w:rsidR="00F072F7" w:rsidRPr="00F072F7" w:rsidRDefault="00F072F7" w:rsidP="00F072F7">
      <w:proofErr w:type="spellStart"/>
      <w:r w:rsidRPr="00F072F7">
        <w:t>Performanzdominanzen</w:t>
      </w:r>
      <w:proofErr w:type="spellEnd"/>
      <w:r w:rsidRPr="00F072F7">
        <w:t xml:space="preserve"> erzeugen:</w:t>
      </w:r>
    </w:p>
    <w:p w14:paraId="6510A127" w14:textId="77777777" w:rsidR="00F072F7" w:rsidRPr="00F072F7" w:rsidRDefault="00F072F7" w:rsidP="00F072F7">
      <w:pPr>
        <w:numPr>
          <w:ilvl w:val="0"/>
          <w:numId w:val="12"/>
        </w:numPr>
      </w:pPr>
      <w:r w:rsidRPr="00F072F7">
        <w:t xml:space="preserve">Kompetenzwahrnehmung </w:t>
      </w:r>
    </w:p>
    <w:p w14:paraId="4A033A2C" w14:textId="77777777" w:rsidR="00F072F7" w:rsidRPr="00F072F7" w:rsidRDefault="00F072F7" w:rsidP="00F072F7">
      <w:pPr>
        <w:numPr>
          <w:ilvl w:val="0"/>
          <w:numId w:val="12"/>
        </w:numPr>
      </w:pPr>
      <w:r w:rsidRPr="00F072F7">
        <w:t xml:space="preserve">Selbstwirksamkeit </w:t>
      </w:r>
    </w:p>
    <w:p w14:paraId="78DB7E20" w14:textId="77777777" w:rsidR="00F072F7" w:rsidRPr="00F072F7" w:rsidRDefault="00F072F7" w:rsidP="00F072F7">
      <w:pPr>
        <w:numPr>
          <w:ilvl w:val="0"/>
          <w:numId w:val="12"/>
        </w:numPr>
      </w:pPr>
      <w:r w:rsidRPr="00F072F7">
        <w:t xml:space="preserve">Erfolgserleben </w:t>
      </w:r>
    </w:p>
    <w:p w14:paraId="17829128" w14:textId="77777777" w:rsidR="00F072F7" w:rsidRPr="00F072F7" w:rsidRDefault="00F072F7" w:rsidP="00F072F7">
      <w:r w:rsidRPr="00F072F7">
        <w:t>Sie wirken als Brücke zwischen Verstehen und Motivation.</w:t>
      </w:r>
    </w:p>
    <w:p w14:paraId="07076501" w14:textId="77777777" w:rsidR="00F072F7" w:rsidRPr="00F072F7" w:rsidRDefault="00F072F7" w:rsidP="00F072F7">
      <w:pPr>
        <w:rPr>
          <w:b/>
        </w:rPr>
      </w:pPr>
      <w:r w:rsidRPr="00F072F7">
        <w:rPr>
          <w:b/>
        </w:rPr>
        <w:t>Regulatorische Attraktoren</w:t>
      </w:r>
    </w:p>
    <w:p w14:paraId="41BA970D" w14:textId="77777777" w:rsidR="00F072F7" w:rsidRPr="00F072F7" w:rsidRDefault="00F072F7" w:rsidP="00F072F7">
      <w:r w:rsidRPr="00F072F7">
        <w:lastRenderedPageBreak/>
        <w:t>Regulationsdominanzen erzeugen:</w:t>
      </w:r>
    </w:p>
    <w:p w14:paraId="2E41B6B3" w14:textId="77777777" w:rsidR="00F072F7" w:rsidRPr="00F072F7" w:rsidRDefault="00F072F7" w:rsidP="00F072F7">
      <w:pPr>
        <w:numPr>
          <w:ilvl w:val="0"/>
          <w:numId w:val="13"/>
        </w:numPr>
      </w:pPr>
      <w:r w:rsidRPr="00F072F7">
        <w:t xml:space="preserve">Stabilisierung </w:t>
      </w:r>
    </w:p>
    <w:p w14:paraId="2A0AB6DD" w14:textId="77777777" w:rsidR="00F072F7" w:rsidRPr="00F072F7" w:rsidRDefault="00F072F7" w:rsidP="00F072F7">
      <w:pPr>
        <w:numPr>
          <w:ilvl w:val="0"/>
          <w:numId w:val="13"/>
        </w:numPr>
      </w:pPr>
      <w:r w:rsidRPr="00F072F7">
        <w:t xml:space="preserve">Selbststeuerung </w:t>
      </w:r>
    </w:p>
    <w:p w14:paraId="7815FAD9" w14:textId="77777777" w:rsidR="00F072F7" w:rsidRPr="00F072F7" w:rsidRDefault="00F072F7" w:rsidP="00F072F7">
      <w:pPr>
        <w:numPr>
          <w:ilvl w:val="0"/>
          <w:numId w:val="13"/>
        </w:numPr>
      </w:pPr>
      <w:r w:rsidRPr="00F072F7">
        <w:t xml:space="preserve">nachhaltige Lernfähigkeit </w:t>
      </w:r>
    </w:p>
    <w:p w14:paraId="7E454A5E" w14:textId="77777777" w:rsidR="00F072F7" w:rsidRPr="00F072F7" w:rsidRDefault="00F072F7" w:rsidP="00F072F7">
      <w:r w:rsidRPr="00F072F7">
        <w:t>Sie erscheinen als langfristige Sicherungsmechanismen erfolgreicher Lernprozesse.</w:t>
      </w:r>
    </w:p>
    <w:p w14:paraId="4342FBF3" w14:textId="77777777" w:rsidR="00F072F7" w:rsidRPr="00F072F7" w:rsidRDefault="00F072F7" w:rsidP="00F072F7">
      <w:r w:rsidRPr="00F072F7">
        <w:pict w14:anchorId="1DE053D6">
          <v:rect id="_x0000_i1099" style="width:0;height:1.5pt" o:hralign="center" o:hrstd="t" o:hr="t" fillcolor="#a0a0a0" stroked="f"/>
        </w:pict>
      </w:r>
    </w:p>
    <w:p w14:paraId="7BC8603B" w14:textId="77777777" w:rsidR="00F072F7" w:rsidRPr="00F072F7" w:rsidRDefault="00F072F7" w:rsidP="00F072F7">
      <w:pPr>
        <w:rPr>
          <w:b/>
        </w:rPr>
      </w:pPr>
      <w:r w:rsidRPr="00F072F7">
        <w:rPr>
          <w:b/>
        </w:rPr>
        <w:t>7. Bedeutung für die Nachhilfe</w:t>
      </w:r>
    </w:p>
    <w:p w14:paraId="5120B829" w14:textId="77777777" w:rsidR="00F072F7" w:rsidRPr="00F072F7" w:rsidRDefault="00F072F7" w:rsidP="00F072F7">
      <w:r w:rsidRPr="00F072F7">
        <w:t>Gerade im Nachhilfekontext besitzen diese Befunde eine besondere Relevanz.</w:t>
      </w:r>
    </w:p>
    <w:p w14:paraId="6F45D921" w14:textId="77777777" w:rsidR="00F072F7" w:rsidRPr="00F072F7" w:rsidRDefault="00F072F7" w:rsidP="00F072F7">
      <w:r w:rsidRPr="00F072F7">
        <w:t>Nachhilfe unterscheidet sich vom regulären Unterricht durch:</w:t>
      </w:r>
    </w:p>
    <w:p w14:paraId="65A7B7D4" w14:textId="77777777" w:rsidR="00F072F7" w:rsidRPr="00F072F7" w:rsidRDefault="00F072F7" w:rsidP="00F072F7">
      <w:pPr>
        <w:numPr>
          <w:ilvl w:val="0"/>
          <w:numId w:val="14"/>
        </w:numPr>
      </w:pPr>
      <w:r w:rsidRPr="00F072F7">
        <w:t xml:space="preserve">kleine Gruppen, </w:t>
      </w:r>
    </w:p>
    <w:p w14:paraId="6E442F22" w14:textId="77777777" w:rsidR="00F072F7" w:rsidRPr="00F072F7" w:rsidRDefault="00F072F7" w:rsidP="00F072F7">
      <w:pPr>
        <w:numPr>
          <w:ilvl w:val="0"/>
          <w:numId w:val="14"/>
        </w:numPr>
      </w:pPr>
      <w:r w:rsidRPr="00F072F7">
        <w:t xml:space="preserve">hohe Interaktionsdichte, </w:t>
      </w:r>
    </w:p>
    <w:p w14:paraId="48D11380" w14:textId="77777777" w:rsidR="00F072F7" w:rsidRPr="00F072F7" w:rsidRDefault="00F072F7" w:rsidP="00F072F7">
      <w:pPr>
        <w:numPr>
          <w:ilvl w:val="0"/>
          <w:numId w:val="14"/>
        </w:numPr>
      </w:pPr>
      <w:r w:rsidRPr="00F072F7">
        <w:t xml:space="preserve">langfristige Beziehungskontinuität, </w:t>
      </w:r>
    </w:p>
    <w:p w14:paraId="17E601ED" w14:textId="77777777" w:rsidR="00F072F7" w:rsidRPr="00F072F7" w:rsidRDefault="00F072F7" w:rsidP="00F072F7">
      <w:pPr>
        <w:numPr>
          <w:ilvl w:val="0"/>
          <w:numId w:val="14"/>
        </w:numPr>
      </w:pPr>
      <w:r w:rsidRPr="00F072F7">
        <w:t xml:space="preserve">unmittelbares Feedback. </w:t>
      </w:r>
    </w:p>
    <w:p w14:paraId="6DE48E34" w14:textId="77777777" w:rsidR="00F072F7" w:rsidRPr="00F072F7" w:rsidRDefault="00F072F7" w:rsidP="00F072F7">
      <w:r w:rsidRPr="00F072F7">
        <w:t xml:space="preserve">Dadurch können sich stabile </w:t>
      </w:r>
      <w:proofErr w:type="spellStart"/>
      <w:r w:rsidRPr="00F072F7">
        <w:t>Attraktorräume</w:t>
      </w:r>
      <w:proofErr w:type="spellEnd"/>
      <w:r w:rsidRPr="00F072F7">
        <w:t xml:space="preserve"> wesentlich leichter ausbilden.</w:t>
      </w:r>
    </w:p>
    <w:p w14:paraId="74304810" w14:textId="77777777" w:rsidR="00F072F7" w:rsidRPr="00F072F7" w:rsidRDefault="00F072F7" w:rsidP="00F072F7">
      <w:r w:rsidRPr="00F072F7">
        <w:t>Aus meiner Sicht erklärt dies auch eine Beobachtung, die ich über viele Jahre hinweg gemacht habe.</w:t>
      </w:r>
    </w:p>
    <w:p w14:paraId="7B4992A8" w14:textId="77777777" w:rsidR="00F072F7" w:rsidRPr="00F072F7" w:rsidRDefault="00F072F7" w:rsidP="00F072F7">
      <w:r w:rsidRPr="00F072F7">
        <w:t>Teilnehmer kommen häufig mit hoher Motivation, aber geringen fachlichen Kompetenzen. Während der Bearbeitung anspruchsvoller Aufgaben entstehen regelmäßig Frustration, Unsicherheit oder Überforderung. Trotzdem brechen die Lernprozesse meist nicht ab. Stattdessen entwickeln sich aus diesen instabilen Übergangsphasen langfristig stabile kognitive und regulatorische Zustände.</w:t>
      </w:r>
    </w:p>
    <w:p w14:paraId="508C392E" w14:textId="77777777" w:rsidR="00F072F7" w:rsidRPr="00F072F7" w:rsidRDefault="00F072F7" w:rsidP="00F072F7">
      <w:r w:rsidRPr="00F072F7">
        <w:t>Die vorliegenden Daten liefern hierfür erstmals eine empirische Erklärung.</w:t>
      </w:r>
    </w:p>
    <w:p w14:paraId="2E7A872F" w14:textId="77777777" w:rsidR="00F072F7" w:rsidRPr="00F072F7" w:rsidRDefault="00F072F7" w:rsidP="00F072F7">
      <w:r w:rsidRPr="00F072F7">
        <w:t>Die Teilnehmer bewegen sich nicht zufällig zwischen positiven und negativen Zuständen, sondern werden durch die Attraktoren des pädagogischen Resonanzraums immer wieder in stabile Lernzustände zurückgeführt.</w:t>
      </w:r>
    </w:p>
    <w:p w14:paraId="2DA0D803" w14:textId="77777777" w:rsidR="00F072F7" w:rsidRPr="00F072F7" w:rsidRDefault="00F072F7" w:rsidP="00F072F7">
      <w:r w:rsidRPr="00F072F7">
        <w:pict w14:anchorId="41FCF8BB">
          <v:rect id="_x0000_i1100" style="width:0;height:1.5pt" o:hralign="center" o:hrstd="t" o:hr="t" fillcolor="#a0a0a0" stroked="f"/>
        </w:pict>
      </w:r>
    </w:p>
    <w:p w14:paraId="0E8BBEF0" w14:textId="77777777" w:rsidR="00F072F7" w:rsidRPr="00F072F7" w:rsidRDefault="00F072F7" w:rsidP="00F072F7">
      <w:pPr>
        <w:rPr>
          <w:b/>
        </w:rPr>
      </w:pPr>
      <w:r w:rsidRPr="00F072F7">
        <w:rPr>
          <w:b/>
        </w:rPr>
        <w:t>8. Schlussfolgerung</w:t>
      </w:r>
    </w:p>
    <w:p w14:paraId="2228BA7B" w14:textId="77777777" w:rsidR="00F072F7" w:rsidRPr="00F072F7" w:rsidRDefault="00F072F7" w:rsidP="00F072F7">
      <w:r w:rsidRPr="00F072F7">
        <w:t xml:space="preserve">Die </w:t>
      </w:r>
      <w:proofErr w:type="spellStart"/>
      <w:r w:rsidRPr="00F072F7">
        <w:t>Attraktoranalyse</w:t>
      </w:r>
      <w:proofErr w:type="spellEnd"/>
      <w:r w:rsidRPr="00F072F7">
        <w:t xml:space="preserve"> liefert einen der stärksten empirischen Hinweise auf die Existenz stabiler semantischer Organisationsstrukturen innerhalb des FRZK.</w:t>
      </w:r>
    </w:p>
    <w:p w14:paraId="0F86CA7E" w14:textId="77777777" w:rsidR="00F072F7" w:rsidRPr="00F072F7" w:rsidRDefault="00F072F7" w:rsidP="00F072F7">
      <w:r w:rsidRPr="00F072F7">
        <w:t>Die Ergebnisse zeigen:</w:t>
      </w:r>
    </w:p>
    <w:p w14:paraId="4112F407" w14:textId="77777777" w:rsidR="00F072F7" w:rsidRPr="00F072F7" w:rsidRDefault="00F072F7" w:rsidP="00F072F7">
      <w:pPr>
        <w:numPr>
          <w:ilvl w:val="0"/>
          <w:numId w:val="15"/>
        </w:numPr>
      </w:pPr>
      <w:r w:rsidRPr="00F072F7">
        <w:t xml:space="preserve">stabile Dominanzachsen, </w:t>
      </w:r>
    </w:p>
    <w:p w14:paraId="0F28897C" w14:textId="77777777" w:rsidR="00F072F7" w:rsidRPr="00F072F7" w:rsidRDefault="00F072F7" w:rsidP="00F072F7">
      <w:pPr>
        <w:numPr>
          <w:ilvl w:val="0"/>
          <w:numId w:val="15"/>
        </w:numPr>
      </w:pPr>
      <w:proofErr w:type="spellStart"/>
      <w:r w:rsidRPr="00F072F7">
        <w:t>hochrekurrente</w:t>
      </w:r>
      <w:proofErr w:type="spellEnd"/>
      <w:r w:rsidRPr="00F072F7">
        <w:t xml:space="preserve"> Zustandsmuster, </w:t>
      </w:r>
    </w:p>
    <w:p w14:paraId="212F24D4" w14:textId="77777777" w:rsidR="00F072F7" w:rsidRPr="00F072F7" w:rsidRDefault="00F072F7" w:rsidP="00F072F7">
      <w:pPr>
        <w:numPr>
          <w:ilvl w:val="0"/>
          <w:numId w:val="15"/>
        </w:numPr>
      </w:pPr>
      <w:r w:rsidRPr="00F072F7">
        <w:t xml:space="preserve">reproduzierbare </w:t>
      </w:r>
      <w:proofErr w:type="spellStart"/>
      <w:r w:rsidRPr="00F072F7">
        <w:t>Attraktorräume</w:t>
      </w:r>
      <w:proofErr w:type="spellEnd"/>
      <w:r w:rsidRPr="00F072F7">
        <w:t xml:space="preserve">, </w:t>
      </w:r>
    </w:p>
    <w:p w14:paraId="28A49722" w14:textId="77777777" w:rsidR="00F072F7" w:rsidRPr="00F072F7" w:rsidRDefault="00F072F7" w:rsidP="00F072F7">
      <w:pPr>
        <w:numPr>
          <w:ilvl w:val="0"/>
          <w:numId w:val="15"/>
        </w:numPr>
      </w:pPr>
      <w:r w:rsidRPr="00F072F7">
        <w:t xml:space="preserve">systematische Dominanzübergänge. </w:t>
      </w:r>
    </w:p>
    <w:p w14:paraId="4D46BD15" w14:textId="77777777" w:rsidR="00F072F7" w:rsidRPr="00F072F7" w:rsidRDefault="00F072F7" w:rsidP="00F072F7">
      <w:r w:rsidRPr="00F072F7">
        <w:t>Aus methodischer Sicht stützen diese Befunde die Annahme, dass Lehrkraft- und Teilnehmerzustände nicht unabhängig voneinander entstehen, sondern innerhalb gemeinsamer semantischer Resonanzräume organisiert werden.</w:t>
      </w:r>
    </w:p>
    <w:p w14:paraId="2DD09E47" w14:textId="77777777" w:rsidR="00F072F7" w:rsidRPr="00F072F7" w:rsidRDefault="00F072F7" w:rsidP="00F072F7">
      <w:r w:rsidRPr="00F072F7">
        <w:lastRenderedPageBreak/>
        <w:t xml:space="preserve">Aus didaktischer Sicht deutet die Analyse darauf hin, dass erfolgreicher Unterricht weniger durch einzelne Interventionen als durch die langfristige Ausbildung stabiler </w:t>
      </w:r>
      <w:proofErr w:type="spellStart"/>
      <w:r w:rsidRPr="00F072F7">
        <w:t>Attraktorräume</w:t>
      </w:r>
      <w:proofErr w:type="spellEnd"/>
      <w:r w:rsidRPr="00F072F7">
        <w:t xml:space="preserve"> charakterisiert ist.</w:t>
      </w:r>
    </w:p>
    <w:p w14:paraId="3754E6DB" w14:textId="77777777" w:rsidR="00F072F7" w:rsidRPr="00F072F7" w:rsidRDefault="00F072F7" w:rsidP="00F072F7">
      <w:r w:rsidRPr="00F072F7">
        <w:t>Die Attraktoren Kognition, Performanz und Regulation erscheinen dabei als die zentralen Organisationszentren nachhaltiger Lernentwicklung.</w:t>
      </w:r>
    </w:p>
    <w:p w14:paraId="4F2929F6" w14:textId="77777777" w:rsidR="00F072F7" w:rsidRPr="00F072F7" w:rsidRDefault="00F072F7" w:rsidP="00F072F7">
      <w:r w:rsidRPr="00F072F7">
        <w:pict w14:anchorId="20DEFC6C">
          <v:rect id="_x0000_i1101" style="width:0;height:1.5pt" o:hralign="center" o:hrstd="t" o:hr="t" fillcolor="#a0a0a0" stroked="f"/>
        </w:pict>
      </w:r>
    </w:p>
    <w:p w14:paraId="793BAA5D" w14:textId="77777777" w:rsidR="00F072F7" w:rsidRPr="00F072F7" w:rsidRDefault="00F072F7" w:rsidP="00F072F7">
      <w:pPr>
        <w:rPr>
          <w:b/>
        </w:rPr>
      </w:pPr>
      <w:r w:rsidRPr="00F072F7">
        <w:rPr>
          <w:b/>
        </w:rPr>
        <w:t>Literaturverzeichnis</w:t>
      </w:r>
    </w:p>
    <w:p w14:paraId="0103B67D" w14:textId="77777777" w:rsidR="00F072F7" w:rsidRPr="00F072F7" w:rsidRDefault="00F072F7" w:rsidP="00F072F7">
      <w:r w:rsidRPr="00F072F7">
        <w:t xml:space="preserve">[1] Lewin, K. (1951). </w:t>
      </w:r>
      <w:r w:rsidRPr="00F072F7">
        <w:rPr>
          <w:i/>
          <w:iCs/>
        </w:rPr>
        <w:t xml:space="preserve">Field Theory in </w:t>
      </w:r>
      <w:proofErr w:type="spellStart"/>
      <w:r w:rsidRPr="00F072F7">
        <w:rPr>
          <w:i/>
          <w:iCs/>
        </w:rPr>
        <w:t>Social</w:t>
      </w:r>
      <w:proofErr w:type="spellEnd"/>
      <w:r w:rsidRPr="00F072F7">
        <w:rPr>
          <w:i/>
          <w:iCs/>
        </w:rPr>
        <w:t xml:space="preserve"> Science</w:t>
      </w:r>
      <w:r w:rsidRPr="00F072F7">
        <w:t xml:space="preserve">. New York: Harper &amp; </w:t>
      </w:r>
      <w:proofErr w:type="spellStart"/>
      <w:r w:rsidRPr="00F072F7">
        <w:t>Row</w:t>
      </w:r>
      <w:proofErr w:type="spellEnd"/>
      <w:r w:rsidRPr="00F072F7">
        <w:t>.</w:t>
      </w:r>
    </w:p>
    <w:p w14:paraId="067C80E7" w14:textId="77777777" w:rsidR="00F072F7" w:rsidRPr="00F072F7" w:rsidRDefault="00F072F7" w:rsidP="00F072F7">
      <w:r w:rsidRPr="00F072F7">
        <w:t xml:space="preserve">[2] Kelso, J. A. S. (1995). </w:t>
      </w:r>
      <w:r w:rsidRPr="00F072F7">
        <w:rPr>
          <w:i/>
          <w:iCs/>
        </w:rPr>
        <w:t>Dynamic Patterns: The Self-</w:t>
      </w:r>
      <w:proofErr w:type="spellStart"/>
      <w:r w:rsidRPr="00F072F7">
        <w:rPr>
          <w:i/>
          <w:iCs/>
        </w:rPr>
        <w:t>Organization</w:t>
      </w:r>
      <w:proofErr w:type="spellEnd"/>
      <w:r w:rsidRPr="00F072F7">
        <w:rPr>
          <w:i/>
          <w:iCs/>
        </w:rPr>
        <w:t xml:space="preserve"> </w:t>
      </w:r>
      <w:proofErr w:type="spellStart"/>
      <w:r w:rsidRPr="00F072F7">
        <w:rPr>
          <w:i/>
          <w:iCs/>
        </w:rPr>
        <w:t>of</w:t>
      </w:r>
      <w:proofErr w:type="spellEnd"/>
      <w:r w:rsidRPr="00F072F7">
        <w:rPr>
          <w:i/>
          <w:iCs/>
        </w:rPr>
        <w:t xml:space="preserve"> Brain and </w:t>
      </w:r>
      <w:proofErr w:type="spellStart"/>
      <w:r w:rsidRPr="00F072F7">
        <w:rPr>
          <w:i/>
          <w:iCs/>
        </w:rPr>
        <w:t>Behavior</w:t>
      </w:r>
      <w:proofErr w:type="spellEnd"/>
      <w:r w:rsidRPr="00F072F7">
        <w:t>. Cambridge, MA: MIT Press.</w:t>
      </w:r>
    </w:p>
    <w:p w14:paraId="7169C6D4" w14:textId="77777777" w:rsidR="00F072F7" w:rsidRPr="00F072F7" w:rsidRDefault="00F072F7" w:rsidP="00F072F7">
      <w:r w:rsidRPr="00F072F7">
        <w:t xml:space="preserve">[3] Thelen, E., &amp; Smith, L. B. (1994). </w:t>
      </w:r>
      <w:r w:rsidRPr="00F072F7">
        <w:rPr>
          <w:i/>
          <w:iCs/>
        </w:rPr>
        <w:t xml:space="preserve">A Dynamic Systems Approach </w:t>
      </w:r>
      <w:proofErr w:type="spellStart"/>
      <w:r w:rsidRPr="00F072F7">
        <w:rPr>
          <w:i/>
          <w:iCs/>
        </w:rPr>
        <w:t>to</w:t>
      </w:r>
      <w:proofErr w:type="spellEnd"/>
      <w:r w:rsidRPr="00F072F7">
        <w:rPr>
          <w:i/>
          <w:iCs/>
        </w:rPr>
        <w:t xml:space="preserve"> </w:t>
      </w:r>
      <w:proofErr w:type="spellStart"/>
      <w:r w:rsidRPr="00F072F7">
        <w:rPr>
          <w:i/>
          <w:iCs/>
        </w:rPr>
        <w:t>the</w:t>
      </w:r>
      <w:proofErr w:type="spellEnd"/>
      <w:r w:rsidRPr="00F072F7">
        <w:rPr>
          <w:i/>
          <w:iCs/>
        </w:rPr>
        <w:t xml:space="preserve"> Development </w:t>
      </w:r>
      <w:proofErr w:type="spellStart"/>
      <w:r w:rsidRPr="00F072F7">
        <w:rPr>
          <w:i/>
          <w:iCs/>
        </w:rPr>
        <w:t>of</w:t>
      </w:r>
      <w:proofErr w:type="spellEnd"/>
      <w:r w:rsidRPr="00F072F7">
        <w:rPr>
          <w:i/>
          <w:iCs/>
        </w:rPr>
        <w:t xml:space="preserve"> </w:t>
      </w:r>
      <w:proofErr w:type="spellStart"/>
      <w:r w:rsidRPr="00F072F7">
        <w:rPr>
          <w:i/>
          <w:iCs/>
        </w:rPr>
        <w:t>Cognition</w:t>
      </w:r>
      <w:proofErr w:type="spellEnd"/>
      <w:r w:rsidRPr="00F072F7">
        <w:rPr>
          <w:i/>
          <w:iCs/>
        </w:rPr>
        <w:t xml:space="preserve"> and Action</w:t>
      </w:r>
      <w:r w:rsidRPr="00F072F7">
        <w:t>. Cambridge, MA: MIT Press.</w:t>
      </w:r>
    </w:p>
    <w:p w14:paraId="01FD9F19" w14:textId="77777777" w:rsidR="00F072F7" w:rsidRPr="00F072F7" w:rsidRDefault="00F072F7" w:rsidP="00F072F7">
      <w:r w:rsidRPr="00F072F7">
        <w:t xml:space="preserve">[4] Marwan, N., Romano, M. C., Thiel, M., &amp; Kurths, J. (2007). </w:t>
      </w:r>
      <w:proofErr w:type="spellStart"/>
      <w:r w:rsidRPr="00F072F7">
        <w:t>Recurrence</w:t>
      </w:r>
      <w:proofErr w:type="spellEnd"/>
      <w:r w:rsidRPr="00F072F7">
        <w:t xml:space="preserve"> Plots </w:t>
      </w:r>
      <w:proofErr w:type="spellStart"/>
      <w:r w:rsidRPr="00F072F7">
        <w:t>for</w:t>
      </w:r>
      <w:proofErr w:type="spellEnd"/>
      <w:r w:rsidRPr="00F072F7">
        <w:t xml:space="preserve"> </w:t>
      </w:r>
      <w:proofErr w:type="spellStart"/>
      <w:r w:rsidRPr="00F072F7">
        <w:t>the</w:t>
      </w:r>
      <w:proofErr w:type="spellEnd"/>
      <w:r w:rsidRPr="00F072F7">
        <w:t xml:space="preserve"> Analysis </w:t>
      </w:r>
      <w:proofErr w:type="spellStart"/>
      <w:r w:rsidRPr="00F072F7">
        <w:t>of</w:t>
      </w:r>
      <w:proofErr w:type="spellEnd"/>
      <w:r w:rsidRPr="00F072F7">
        <w:t xml:space="preserve"> </w:t>
      </w:r>
      <w:proofErr w:type="spellStart"/>
      <w:r w:rsidRPr="00F072F7">
        <w:t>Complex</w:t>
      </w:r>
      <w:proofErr w:type="spellEnd"/>
      <w:r w:rsidRPr="00F072F7">
        <w:t xml:space="preserve"> Systems. </w:t>
      </w:r>
      <w:r w:rsidRPr="00F072F7">
        <w:rPr>
          <w:i/>
          <w:iCs/>
        </w:rPr>
        <w:t>Physics Reports</w:t>
      </w:r>
      <w:r w:rsidRPr="00F072F7">
        <w:t>, 438(5–6), 237–329.</w:t>
      </w:r>
    </w:p>
    <w:p w14:paraId="79CD41D8" w14:textId="77777777" w:rsidR="00F072F7" w:rsidRPr="00F072F7" w:rsidRDefault="00F072F7" w:rsidP="00F072F7">
      <w:r w:rsidRPr="00F072F7">
        <w:t xml:space="preserve">[5] Hattie, J. (2009). </w:t>
      </w:r>
      <w:r w:rsidRPr="00F072F7">
        <w:rPr>
          <w:i/>
          <w:iCs/>
        </w:rPr>
        <w:t>Visible Learning</w:t>
      </w:r>
      <w:r w:rsidRPr="00F072F7">
        <w:t>. London: Routledge.</w:t>
      </w:r>
    </w:p>
    <w:p w14:paraId="5263EB6A" w14:textId="77777777" w:rsidR="00F072F7" w:rsidRPr="00F072F7" w:rsidRDefault="00F072F7" w:rsidP="00F072F7">
      <w:r w:rsidRPr="00F072F7">
        <w:t xml:space="preserve">[6] Helmke, A. (2022). </w:t>
      </w:r>
      <w:r w:rsidRPr="00F072F7">
        <w:rPr>
          <w:i/>
          <w:iCs/>
        </w:rPr>
        <w:t>Unterrichtsqualität und Lehrerprofessionalität</w:t>
      </w:r>
      <w:r w:rsidRPr="00F072F7">
        <w:t>. Seelze: Klett-Kallmeyer.</w:t>
      </w:r>
    </w:p>
    <w:p w14:paraId="5E4B1A4C" w14:textId="77777777" w:rsidR="00F072F7" w:rsidRPr="00F072F7" w:rsidRDefault="00F072F7" w:rsidP="00F072F7">
      <w:r w:rsidRPr="00F072F7">
        <w:t xml:space="preserve">[7] Anderson, L. W., &amp; </w:t>
      </w:r>
      <w:proofErr w:type="spellStart"/>
      <w:r w:rsidRPr="00F072F7">
        <w:t>Krathwohl</w:t>
      </w:r>
      <w:proofErr w:type="spellEnd"/>
      <w:r w:rsidRPr="00F072F7">
        <w:t xml:space="preserve">, D. R. (2001). </w:t>
      </w:r>
      <w:r w:rsidRPr="00F072F7">
        <w:rPr>
          <w:i/>
          <w:iCs/>
        </w:rPr>
        <w:t xml:space="preserve">A </w:t>
      </w:r>
      <w:proofErr w:type="spellStart"/>
      <w:r w:rsidRPr="00F072F7">
        <w:rPr>
          <w:i/>
          <w:iCs/>
        </w:rPr>
        <w:t>Taxonomy</w:t>
      </w:r>
      <w:proofErr w:type="spellEnd"/>
      <w:r w:rsidRPr="00F072F7">
        <w:rPr>
          <w:i/>
          <w:iCs/>
        </w:rPr>
        <w:t xml:space="preserve"> </w:t>
      </w:r>
      <w:proofErr w:type="spellStart"/>
      <w:r w:rsidRPr="00F072F7">
        <w:rPr>
          <w:i/>
          <w:iCs/>
        </w:rPr>
        <w:t>for</w:t>
      </w:r>
      <w:proofErr w:type="spellEnd"/>
      <w:r w:rsidRPr="00F072F7">
        <w:rPr>
          <w:i/>
          <w:iCs/>
        </w:rPr>
        <w:t xml:space="preserve"> Learning, Teaching and </w:t>
      </w:r>
      <w:proofErr w:type="spellStart"/>
      <w:r w:rsidRPr="00F072F7">
        <w:rPr>
          <w:i/>
          <w:iCs/>
        </w:rPr>
        <w:t>Assessing</w:t>
      </w:r>
      <w:proofErr w:type="spellEnd"/>
      <w:r w:rsidRPr="00F072F7">
        <w:t>. New York: Longman.</w:t>
      </w:r>
    </w:p>
    <w:p w14:paraId="023CB8D2" w14:textId="77777777" w:rsidR="00F072F7" w:rsidRPr="00F072F7" w:rsidRDefault="00F072F7" w:rsidP="00F072F7">
      <w:r w:rsidRPr="00F072F7">
        <w:t xml:space="preserve">[8] Zimmerman, B. J. (2000). </w:t>
      </w:r>
      <w:proofErr w:type="spellStart"/>
      <w:r w:rsidRPr="00F072F7">
        <w:t>Attaining</w:t>
      </w:r>
      <w:proofErr w:type="spellEnd"/>
      <w:r w:rsidRPr="00F072F7">
        <w:t xml:space="preserve"> Self-Regulation. In: </w:t>
      </w:r>
      <w:r w:rsidRPr="00F072F7">
        <w:rPr>
          <w:i/>
          <w:iCs/>
        </w:rPr>
        <w:t xml:space="preserve">Handbook </w:t>
      </w:r>
      <w:proofErr w:type="spellStart"/>
      <w:r w:rsidRPr="00F072F7">
        <w:rPr>
          <w:i/>
          <w:iCs/>
        </w:rPr>
        <w:t>of</w:t>
      </w:r>
      <w:proofErr w:type="spellEnd"/>
      <w:r w:rsidRPr="00F072F7">
        <w:rPr>
          <w:i/>
          <w:iCs/>
        </w:rPr>
        <w:t xml:space="preserve"> Self-Regulation</w:t>
      </w:r>
      <w:r w:rsidRPr="00F072F7">
        <w:t xml:space="preserve"> (pp. 13–39). San Diego: Academic Press.</w:t>
      </w:r>
    </w:p>
    <w:p w14:paraId="6E8AF048" w14:textId="77777777" w:rsidR="00F072F7" w:rsidRPr="00F072F7" w:rsidRDefault="00F072F7" w:rsidP="00F072F7">
      <w:r w:rsidRPr="00F072F7">
        <w:t xml:space="preserve">[9] Bandura, A. (1991). </w:t>
      </w:r>
      <w:proofErr w:type="spellStart"/>
      <w:r w:rsidRPr="00F072F7">
        <w:t>Social</w:t>
      </w:r>
      <w:proofErr w:type="spellEnd"/>
      <w:r w:rsidRPr="00F072F7">
        <w:t xml:space="preserve"> </w:t>
      </w:r>
      <w:proofErr w:type="spellStart"/>
      <w:r w:rsidRPr="00F072F7">
        <w:t>Cognitive</w:t>
      </w:r>
      <w:proofErr w:type="spellEnd"/>
      <w:r w:rsidRPr="00F072F7">
        <w:t xml:space="preserve"> Theory </w:t>
      </w:r>
      <w:proofErr w:type="spellStart"/>
      <w:r w:rsidRPr="00F072F7">
        <w:t>of</w:t>
      </w:r>
      <w:proofErr w:type="spellEnd"/>
      <w:r w:rsidRPr="00F072F7">
        <w:t xml:space="preserve"> Self-Regulation. </w:t>
      </w:r>
      <w:r w:rsidRPr="00F072F7">
        <w:rPr>
          <w:i/>
          <w:iCs/>
        </w:rPr>
        <w:t xml:space="preserve">Organizational </w:t>
      </w:r>
      <w:proofErr w:type="spellStart"/>
      <w:r w:rsidRPr="00F072F7">
        <w:rPr>
          <w:i/>
          <w:iCs/>
        </w:rPr>
        <w:t>Behavior</w:t>
      </w:r>
      <w:proofErr w:type="spellEnd"/>
      <w:r w:rsidRPr="00F072F7">
        <w:rPr>
          <w:i/>
          <w:iCs/>
        </w:rPr>
        <w:t xml:space="preserve"> and Human </w:t>
      </w:r>
      <w:proofErr w:type="spellStart"/>
      <w:r w:rsidRPr="00F072F7">
        <w:rPr>
          <w:i/>
          <w:iCs/>
        </w:rPr>
        <w:t>Decision</w:t>
      </w:r>
      <w:proofErr w:type="spellEnd"/>
      <w:r w:rsidRPr="00F072F7">
        <w:rPr>
          <w:i/>
          <w:iCs/>
        </w:rPr>
        <w:t xml:space="preserve"> </w:t>
      </w:r>
      <w:proofErr w:type="spellStart"/>
      <w:r w:rsidRPr="00F072F7">
        <w:rPr>
          <w:i/>
          <w:iCs/>
        </w:rPr>
        <w:t>Processes</w:t>
      </w:r>
      <w:proofErr w:type="spellEnd"/>
      <w:r w:rsidRPr="00F072F7">
        <w:t>, 50, 248–287.</w:t>
      </w:r>
    </w:p>
    <w:p w14:paraId="6330E980" w14:textId="77777777" w:rsidR="00F072F7" w:rsidRPr="00F072F7" w:rsidRDefault="00F072F7" w:rsidP="00F072F7">
      <w:r w:rsidRPr="00F072F7">
        <w:t xml:space="preserve">[10] </w:t>
      </w:r>
      <w:proofErr w:type="spellStart"/>
      <w:r w:rsidRPr="00F072F7">
        <w:t>Boekaerts</w:t>
      </w:r>
      <w:proofErr w:type="spellEnd"/>
      <w:r w:rsidRPr="00F072F7">
        <w:t>, M. (1999). Self-</w:t>
      </w:r>
      <w:proofErr w:type="spellStart"/>
      <w:r w:rsidRPr="00F072F7">
        <w:t>Regulated</w:t>
      </w:r>
      <w:proofErr w:type="spellEnd"/>
      <w:r w:rsidRPr="00F072F7">
        <w:t xml:space="preserve"> Learning: </w:t>
      </w:r>
      <w:proofErr w:type="spellStart"/>
      <w:r w:rsidRPr="00F072F7">
        <w:t>Where</w:t>
      </w:r>
      <w:proofErr w:type="spellEnd"/>
      <w:r w:rsidRPr="00F072F7">
        <w:t xml:space="preserve"> </w:t>
      </w:r>
      <w:proofErr w:type="spellStart"/>
      <w:r w:rsidRPr="00F072F7">
        <w:t>We</w:t>
      </w:r>
      <w:proofErr w:type="spellEnd"/>
      <w:r w:rsidRPr="00F072F7">
        <w:t xml:space="preserve"> Are Today. </w:t>
      </w:r>
      <w:r w:rsidRPr="00F072F7">
        <w:rPr>
          <w:i/>
          <w:iCs/>
        </w:rPr>
        <w:t xml:space="preserve">International Journal </w:t>
      </w:r>
      <w:proofErr w:type="spellStart"/>
      <w:r w:rsidRPr="00F072F7">
        <w:rPr>
          <w:i/>
          <w:iCs/>
        </w:rPr>
        <w:t>of</w:t>
      </w:r>
      <w:proofErr w:type="spellEnd"/>
      <w:r w:rsidRPr="00F072F7">
        <w:rPr>
          <w:i/>
          <w:iCs/>
        </w:rPr>
        <w:t xml:space="preserve"> Educational Research</w:t>
      </w:r>
      <w:r w:rsidRPr="00F072F7">
        <w:t>, 31(6), 445–457.</w:t>
      </w:r>
    </w:p>
    <w:p w14:paraId="11897FF3" w14:textId="3F97ACC5" w:rsidR="00106528" w:rsidRPr="00F072F7" w:rsidRDefault="00106528" w:rsidP="00F072F7">
      <w:pPr>
        <w:rPr>
          <w:rStyle w:val="SQLTabellen"/>
          <w:rFonts w:ascii="Calibri" w:hAnsi="Calibri"/>
          <w:b w:val="0"/>
          <w:sz w:val="24"/>
        </w:rPr>
      </w:pPr>
    </w:p>
    <w:sectPr w:rsidR="00106528" w:rsidRPr="00F072F7">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16C3C"/>
    <w:multiLevelType w:val="multilevel"/>
    <w:tmpl w:val="298A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E31A8"/>
    <w:multiLevelType w:val="multilevel"/>
    <w:tmpl w:val="7914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B704A17"/>
    <w:multiLevelType w:val="multilevel"/>
    <w:tmpl w:val="3890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91194C"/>
    <w:multiLevelType w:val="multilevel"/>
    <w:tmpl w:val="4E0C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BB7230"/>
    <w:multiLevelType w:val="multilevel"/>
    <w:tmpl w:val="BDAA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B64172"/>
    <w:multiLevelType w:val="multilevel"/>
    <w:tmpl w:val="052A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150B92"/>
    <w:multiLevelType w:val="multilevel"/>
    <w:tmpl w:val="03EE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705C16"/>
    <w:multiLevelType w:val="multilevel"/>
    <w:tmpl w:val="0174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6A2CB2"/>
    <w:multiLevelType w:val="multilevel"/>
    <w:tmpl w:val="D48EF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77A83DA1"/>
    <w:multiLevelType w:val="multilevel"/>
    <w:tmpl w:val="33EA1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221805">
    <w:abstractNumId w:val="2"/>
  </w:num>
  <w:num w:numId="2" w16cid:durableId="250164984">
    <w:abstractNumId w:val="3"/>
  </w:num>
  <w:num w:numId="3" w16cid:durableId="66727205">
    <w:abstractNumId w:val="6"/>
  </w:num>
  <w:num w:numId="4" w16cid:durableId="998769572">
    <w:abstractNumId w:val="12"/>
  </w:num>
  <w:num w:numId="5" w16cid:durableId="152169991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02858404">
    <w:abstractNumId w:val="13"/>
  </w:num>
  <w:num w:numId="7" w16cid:durableId="513231085">
    <w:abstractNumId w:val="4"/>
  </w:num>
  <w:num w:numId="8" w16cid:durableId="482502167">
    <w:abstractNumId w:val="11"/>
  </w:num>
  <w:num w:numId="9" w16cid:durableId="1937902752">
    <w:abstractNumId w:val="8"/>
  </w:num>
  <w:num w:numId="10" w16cid:durableId="1282617178">
    <w:abstractNumId w:val="0"/>
  </w:num>
  <w:num w:numId="11" w16cid:durableId="210769386">
    <w:abstractNumId w:val="7"/>
  </w:num>
  <w:num w:numId="12" w16cid:durableId="1119957228">
    <w:abstractNumId w:val="9"/>
  </w:num>
  <w:num w:numId="13" w16cid:durableId="1403914157">
    <w:abstractNumId w:val="1"/>
  </w:num>
  <w:num w:numId="14" w16cid:durableId="766002059">
    <w:abstractNumId w:val="5"/>
  </w:num>
  <w:num w:numId="15" w16cid:durableId="1950048127">
    <w:abstractNumId w:val="1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2F7"/>
    <w:rsid w:val="00003048"/>
    <w:rsid w:val="000467F2"/>
    <w:rsid w:val="00082214"/>
    <w:rsid w:val="000B0C44"/>
    <w:rsid w:val="00103784"/>
    <w:rsid w:val="00106528"/>
    <w:rsid w:val="001830F2"/>
    <w:rsid w:val="0019229D"/>
    <w:rsid w:val="002B03D4"/>
    <w:rsid w:val="002D20FA"/>
    <w:rsid w:val="002D4202"/>
    <w:rsid w:val="00324306"/>
    <w:rsid w:val="00433ECB"/>
    <w:rsid w:val="00436FC4"/>
    <w:rsid w:val="0044266C"/>
    <w:rsid w:val="00446557"/>
    <w:rsid w:val="00500020"/>
    <w:rsid w:val="005454E6"/>
    <w:rsid w:val="00560B17"/>
    <w:rsid w:val="005B5EFD"/>
    <w:rsid w:val="005E4CED"/>
    <w:rsid w:val="006016DC"/>
    <w:rsid w:val="006B3395"/>
    <w:rsid w:val="00706409"/>
    <w:rsid w:val="007115B7"/>
    <w:rsid w:val="00795695"/>
    <w:rsid w:val="007A3369"/>
    <w:rsid w:val="007B7DE7"/>
    <w:rsid w:val="007E333F"/>
    <w:rsid w:val="00852D2E"/>
    <w:rsid w:val="008871CF"/>
    <w:rsid w:val="008B0C43"/>
    <w:rsid w:val="008C4935"/>
    <w:rsid w:val="009032D7"/>
    <w:rsid w:val="00997246"/>
    <w:rsid w:val="009D04D3"/>
    <w:rsid w:val="00A307C9"/>
    <w:rsid w:val="00AA4222"/>
    <w:rsid w:val="00AF6392"/>
    <w:rsid w:val="00B04313"/>
    <w:rsid w:val="00B53EE0"/>
    <w:rsid w:val="00B873C2"/>
    <w:rsid w:val="00BA664A"/>
    <w:rsid w:val="00C2343F"/>
    <w:rsid w:val="00C6537C"/>
    <w:rsid w:val="00CD2089"/>
    <w:rsid w:val="00D33BDA"/>
    <w:rsid w:val="00D44FE7"/>
    <w:rsid w:val="00D542C6"/>
    <w:rsid w:val="00D67542"/>
    <w:rsid w:val="00D80CC8"/>
    <w:rsid w:val="00E6450A"/>
    <w:rsid w:val="00EA1CC2"/>
    <w:rsid w:val="00EC35D8"/>
    <w:rsid w:val="00EE2879"/>
    <w:rsid w:val="00F072F7"/>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99932"/>
  <w15:chartTrackingRefBased/>
  <w15:docId w15:val="{7394DECC-718E-4A28-B350-F1C91E246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115B7"/>
    <w:pPr>
      <w:spacing w:after="120"/>
    </w:pPr>
    <w:rPr>
      <w:rFonts w:eastAsia="Times New Roman" w:cs="Calibri"/>
      <w:bCs/>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C6537C"/>
    <w:pPr>
      <w:keepNext/>
      <w:keepLines/>
      <w:spacing w:before="40" w:after="0"/>
      <w:outlineLvl w:val="3"/>
    </w:pPr>
    <w:rPr>
      <w:rFonts w:eastAsia="Calibri"/>
      <w:i/>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C6537C"/>
    <w:rPr>
      <w:rFonts w:cs="Calibri"/>
      <w:i/>
      <w:sz w:val="24"/>
      <w:szCs w:val="24"/>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9D04D3"/>
    <w:rPr>
      <w:rFonts w:ascii="Courier New" w:eastAsia="Times New Roman" w:hAnsi="Courier New"/>
      <w:b/>
      <w:sz w:val="22"/>
      <w:szCs w:val="24"/>
    </w:rPr>
  </w:style>
  <w:style w:type="character" w:customStyle="1" w:styleId="SQLTabellennamenZchn">
    <w:name w:val="SQLTabellennamen Zchn"/>
    <w:link w:val="SQLTabellennamen"/>
    <w:rsid w:val="009D04D3"/>
    <w:rPr>
      <w:rFonts w:ascii="Courier New" w:eastAsia="Times New Roman" w:hAnsi="Courier New"/>
      <w:b/>
      <w:sz w:val="22"/>
      <w:szCs w:val="24"/>
    </w:rPr>
  </w:style>
  <w:style w:type="character" w:customStyle="1" w:styleId="SQLTabellen">
    <w:name w:val="SQLTabellen"/>
    <w:uiPriority w:val="1"/>
    <w:rsid w:val="006B3395"/>
    <w:rPr>
      <w:rFonts w:ascii="Courier New" w:hAnsi="Courier New"/>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380056613">
      <w:bodyDiv w:val="1"/>
      <w:marLeft w:val="0"/>
      <w:marRight w:val="0"/>
      <w:marTop w:val="0"/>
      <w:marBottom w:val="0"/>
      <w:divBdr>
        <w:top w:val="none" w:sz="0" w:space="0" w:color="auto"/>
        <w:left w:val="none" w:sz="0" w:space="0" w:color="auto"/>
        <w:bottom w:val="none" w:sz="0" w:space="0" w:color="auto"/>
        <w:right w:val="none" w:sz="0" w:space="0" w:color="auto"/>
      </w:divBdr>
      <w:divsChild>
        <w:div w:id="1461604585">
          <w:marLeft w:val="0"/>
          <w:marRight w:val="0"/>
          <w:marTop w:val="0"/>
          <w:marBottom w:val="0"/>
          <w:divBdr>
            <w:top w:val="none" w:sz="0" w:space="0" w:color="auto"/>
            <w:left w:val="none" w:sz="0" w:space="0" w:color="auto"/>
            <w:bottom w:val="none" w:sz="0" w:space="0" w:color="auto"/>
            <w:right w:val="none" w:sz="0" w:space="0" w:color="auto"/>
          </w:divBdr>
          <w:divsChild>
            <w:div w:id="1094206664">
              <w:marLeft w:val="0"/>
              <w:marRight w:val="0"/>
              <w:marTop w:val="0"/>
              <w:marBottom w:val="0"/>
              <w:divBdr>
                <w:top w:val="none" w:sz="0" w:space="0" w:color="auto"/>
                <w:left w:val="none" w:sz="0" w:space="0" w:color="auto"/>
                <w:bottom w:val="none" w:sz="0" w:space="0" w:color="auto"/>
                <w:right w:val="none" w:sz="0" w:space="0" w:color="auto"/>
              </w:divBdr>
            </w:div>
          </w:divsChild>
        </w:div>
        <w:div w:id="1436251248">
          <w:marLeft w:val="0"/>
          <w:marRight w:val="0"/>
          <w:marTop w:val="0"/>
          <w:marBottom w:val="0"/>
          <w:divBdr>
            <w:top w:val="none" w:sz="0" w:space="0" w:color="auto"/>
            <w:left w:val="none" w:sz="0" w:space="0" w:color="auto"/>
            <w:bottom w:val="none" w:sz="0" w:space="0" w:color="auto"/>
            <w:right w:val="none" w:sz="0" w:space="0" w:color="auto"/>
          </w:divBdr>
          <w:divsChild>
            <w:div w:id="187480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415198437">
      <w:bodyDiv w:val="1"/>
      <w:marLeft w:val="0"/>
      <w:marRight w:val="0"/>
      <w:marTop w:val="0"/>
      <w:marBottom w:val="0"/>
      <w:divBdr>
        <w:top w:val="none" w:sz="0" w:space="0" w:color="auto"/>
        <w:left w:val="none" w:sz="0" w:space="0" w:color="auto"/>
        <w:bottom w:val="none" w:sz="0" w:space="0" w:color="auto"/>
        <w:right w:val="none" w:sz="0" w:space="0" w:color="auto"/>
      </w:divBdr>
      <w:divsChild>
        <w:div w:id="185027553">
          <w:marLeft w:val="0"/>
          <w:marRight w:val="0"/>
          <w:marTop w:val="0"/>
          <w:marBottom w:val="0"/>
          <w:divBdr>
            <w:top w:val="none" w:sz="0" w:space="0" w:color="auto"/>
            <w:left w:val="none" w:sz="0" w:space="0" w:color="auto"/>
            <w:bottom w:val="none" w:sz="0" w:space="0" w:color="auto"/>
            <w:right w:val="none" w:sz="0" w:space="0" w:color="auto"/>
          </w:divBdr>
          <w:divsChild>
            <w:div w:id="1772700700">
              <w:marLeft w:val="0"/>
              <w:marRight w:val="0"/>
              <w:marTop w:val="0"/>
              <w:marBottom w:val="0"/>
              <w:divBdr>
                <w:top w:val="none" w:sz="0" w:space="0" w:color="auto"/>
                <w:left w:val="none" w:sz="0" w:space="0" w:color="auto"/>
                <w:bottom w:val="none" w:sz="0" w:space="0" w:color="auto"/>
                <w:right w:val="none" w:sz="0" w:space="0" w:color="auto"/>
              </w:divBdr>
            </w:div>
          </w:divsChild>
        </w:div>
        <w:div w:id="835729156">
          <w:marLeft w:val="0"/>
          <w:marRight w:val="0"/>
          <w:marTop w:val="0"/>
          <w:marBottom w:val="0"/>
          <w:divBdr>
            <w:top w:val="none" w:sz="0" w:space="0" w:color="auto"/>
            <w:left w:val="none" w:sz="0" w:space="0" w:color="auto"/>
            <w:bottom w:val="none" w:sz="0" w:space="0" w:color="auto"/>
            <w:right w:val="none" w:sz="0" w:space="0" w:color="auto"/>
          </w:divBdr>
          <w:divsChild>
            <w:div w:id="86799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MeineDissertation.dotx</Template>
  <TotalTime>0</TotalTime>
  <Pages>6</Pages>
  <Words>1375</Words>
  <Characters>8666</Characters>
  <Application>Microsoft Office Word</Application>
  <DocSecurity>0</DocSecurity>
  <Lines>72</Lines>
  <Paragraphs>20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2026-06-01T11:46:00Z</dcterms:created>
  <dcterms:modified xsi:type="dcterms:W3CDTF">2026-06-01T11:54:00Z</dcterms:modified>
</cp:coreProperties>
</file>