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Technische Anlage 6.x.9 Attraktor- und Dominanzstrukturen</w:t>
      </w:r>
    </w:p>
    <w:p>
      <w:pPr>
        <w:pStyle w:val="Heading1"/>
      </w:pPr>
      <w:r>
        <w:t>1. Zielsetzung</w:t>
      </w:r>
    </w:p>
    <w:p>
      <w:r>
        <w:t>Analyse stabiler Dominanzachsen, Attraktorzustände, Rekurrenzstrukturen und Dominanzübergänge innerhalb der gekoppelten Lehrkraft-Teilnehmer-Zustandsräume.</w:t>
      </w:r>
    </w:p>
    <w:p>
      <w:pPr>
        <w:pStyle w:val="Heading1"/>
      </w:pPr>
      <w:r>
        <w:t>2. Datengrundlage</w:t>
      </w:r>
    </w:p>
    <w:p>
      <w:r>
        <w:t>282 gematchte Zustände ohne Lehrkraftunterscheidung. Grundlage bilden die semantischen 7D-Zustandsvektoren, Dominanzdimensionen, Polaritäten und Teilnehmerreaktionen.</w:t>
      </w:r>
    </w:p>
    <w:p>
      <w:pPr>
        <w:pStyle w:val="Heading1"/>
      </w:pPr>
      <w:r>
        <w:t>3. Zentrale Befunde</w:t>
      </w:r>
    </w:p>
    <w:p>
      <w:r>
        <w:t>Kognition (41,84 %), Performanz (35,11 %) und Regulation (14,54 %) dominieren die Attraktorlandschaft. Nahezu alle Attraktoren besitzen positive Polarität.</w:t>
      </w:r>
    </w:p>
    <w:p>
      <w:pPr>
        <w:pStyle w:val="Heading2"/>
      </w:pPr>
      <w:r>
        <w:t>Tabelle 1 Dominanzhäufigkeiten</w:t>
      </w:r>
    </w:p>
    <w:p>
      <w:r>
        <w:t>dominante_dimension  anzahl  anteil_prozent</w:t>
        <w:br/>
        <w:t xml:space="preserve">          kognition     118           41.84</w:t>
        <w:br/>
        <w:t xml:space="preserve">             sozial       0            0.00</w:t>
        <w:br/>
        <w:t xml:space="preserve">           affektiv       0            0.00</w:t>
        <w:br/>
        <w:t xml:space="preserve">         motivation      11            3.90</w:t>
        <w:br/>
        <w:t xml:space="preserve">           methodik      13            4.61</w:t>
        <w:br/>
        <w:t xml:space="preserve">         performanz      99           35.11</w:t>
        <w:br/>
        <w:t xml:space="preserve">         regulation      41           14.54</w:t>
      </w:r>
    </w:p>
    <w:p>
      <w:pPr>
        <w:pStyle w:val="Heading2"/>
      </w:pPr>
      <w:r>
        <w:t>Tabelle 2 Attraktorzustände</w:t>
      </w:r>
    </w:p>
    <w:p>
      <w:r>
        <w:t xml:space="preserve">        zustand  anzahl  anteil_prozent</w:t>
        <w:br/>
        <w:t xml:space="preserve">  kognition|p=1     118           41.84</w:t>
        <w:br/>
        <w:t xml:space="preserve"> performanz|p=1      98           34.75</w:t>
        <w:br/>
        <w:t xml:space="preserve"> regulation|p=1      41           14.54</w:t>
        <w:br/>
        <w:t xml:space="preserve">   methodik|p=1      13            4.61</w:t>
        <w:br/>
        <w:t xml:space="preserve"> motivation|p=1      11            3.90</w:t>
        <w:br/>
        <w:t>performanz|p=-1       1            0.35</w:t>
      </w:r>
    </w:p>
    <w:p>
      <w:pPr>
        <w:pStyle w:val="Heading2"/>
      </w:pPr>
      <w:r>
        <w:t>Tabelle 3 Kosinus-Rekurrenz</w:t>
      </w:r>
    </w:p>
    <w:p>
      <w:r>
        <w:t>dominante_dimension   n  mittlere_kosinus_rekurrenz</w:t>
        <w:br/>
        <w:t xml:space="preserve">          kognition 118                      0.9880</w:t>
        <w:br/>
        <w:t xml:space="preserve">             sozial   0                         NaN</w:t>
        <w:br/>
        <w:t xml:space="preserve">           affektiv   0                         NaN</w:t>
        <w:br/>
        <w:t xml:space="preserve">         motivation  11                      0.9970</w:t>
        <w:br/>
        <w:t xml:space="preserve">           methodik  13                      0.9864</w:t>
        <w:br/>
        <w:t xml:space="preserve">         performanz  99                      0.9620</w:t>
        <w:br/>
        <w:t xml:space="preserve">         regulation  41                      0.9868</w:t>
      </w:r>
    </w:p>
    <w:p>
      <w:pPr>
        <w:pStyle w:val="Heading1"/>
      </w:pPr>
      <w:r>
        <w:t>4. Grafische Auswertungen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1_dominanzhaeufigke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1. Dominanzhäufigkeit der sieben FRZK-Dimensionen.</w:t>
      </w:r>
    </w:p>
    <w:p>
      <w:r>
        <w:drawing>
          <wp:inline xmlns:a="http://schemas.openxmlformats.org/drawingml/2006/main" xmlns:pic="http://schemas.openxmlformats.org/drawingml/2006/picture">
            <wp:extent cx="5303520" cy="412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2_dominanz_gruppe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2. Dominanzverteilung über die Gruppen.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3_attraktor_zustaen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3. Häufigste Attraktorzustände.</w:t>
      </w:r>
    </w:p>
    <w:p>
      <w:r>
        <w:drawing>
          <wp:inline xmlns:a="http://schemas.openxmlformats.org/drawingml/2006/main" xmlns:pic="http://schemas.openxmlformats.org/drawingml/2006/picture">
            <wp:extent cx="5303520" cy="412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4_dominanz_uebergangs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4. Dominanzübergangsmatrix.</w:t>
      </w:r>
    </w:p>
    <w:p>
      <w:r>
        <w:drawing>
          <wp:inline xmlns:a="http://schemas.openxmlformats.org/drawingml/2006/main" xmlns:pic="http://schemas.openxmlformats.org/drawingml/2006/picture">
            <wp:extent cx="5303520" cy="412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5_reaktionen_nach_dominan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5. Teilnehmerreaktionen nach Dominanzklasse.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6_kosinus_rekurren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6. Kosinus-Rekurrenz der Attraktoren.</w:t>
      </w: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b_6x9_07_pca_attraktorrau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Abbildung 7. PCA-Projektion des Attraktorraums.</w:t>
      </w:r>
    </w:p>
    <w:p>
      <w:pPr>
        <w:pStyle w:val="Heading1"/>
      </w:pPr>
      <w:r>
        <w:t>5. Technische Interpretation</w:t>
      </w:r>
    </w:p>
    <w:p>
      <w:r>
        <w:t>Die Analyse zeigt eine starke Konzentration der Zustandsdynamik auf die Dominanzachsen Kognition, Performanz und Regulation. Die hohe Kosinus-Rekurrenz (bis 0,997) weist auf stabile semantische Attraktoren hin. Die Übergangsmatrix verdeutlicht wiederkehrende Wechsel zwischen kognitiven, performativen und regulatorischen Zuständen. Die PCA-Projektion bestätigt die Ausbildung strukturierter Zustandsräume statt zufälliger Verteilungen.</w:t>
      </w:r>
    </w:p>
    <w:p>
      <w:pPr>
        <w:pStyle w:val="Heading1"/>
      </w:pPr>
      <w:r>
        <w:t>6. Zusammenfassung</w:t>
      </w:r>
    </w:p>
    <w:p>
      <w:r>
        <w:t>Die Ergebnisse sprechen für stabile Attraktorlandschaften innerhalb der pädagogischen Resonanzräume. Insbesondere positive kognitive und performative Dominanzen werden reproduzierbar wieder aufgesucht und bilden die zentralen Organisationszentren der beobachteten Dynamik.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