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347E" w:rsidRPr="0094347E" w:rsidRDefault="0094347E" w:rsidP="0094347E">
      <w:pPr>
        <w:spacing w:before="100" w:beforeAutospacing="1" w:after="100" w:afterAutospacing="1"/>
        <w:outlineLvl w:val="0"/>
        <w:rPr>
          <w:rFonts w:ascii="Times New Roman" w:hAnsi="Times New Roman" w:cs="Times New Roman"/>
          <w:b/>
          <w:kern w:val="36"/>
          <w:sz w:val="48"/>
          <w:szCs w:val="48"/>
        </w:rPr>
      </w:pPr>
      <w:r w:rsidRPr="0094347E">
        <w:rPr>
          <w:rFonts w:ascii="Times New Roman" w:hAnsi="Times New Roman" w:cs="Times New Roman"/>
          <w:b/>
          <w:kern w:val="36"/>
          <w:sz w:val="48"/>
          <w:szCs w:val="48"/>
        </w:rPr>
        <w:t>3.2 Mathematische Grundlagen</w:t>
      </w:r>
    </w:p>
    <w:p w:rsidR="0094347E" w:rsidRPr="0094347E" w:rsidRDefault="0094347E" w:rsidP="0094347E">
      <w:pPr>
        <w:spacing w:before="100" w:beforeAutospacing="1" w:after="100" w:afterAutospacing="1"/>
        <w:outlineLvl w:val="1"/>
        <w:rPr>
          <w:rFonts w:ascii="Times New Roman" w:hAnsi="Times New Roman" w:cs="Times New Roman"/>
          <w:b/>
          <w:sz w:val="36"/>
          <w:szCs w:val="36"/>
        </w:rPr>
      </w:pPr>
      <w:r w:rsidRPr="0094347E">
        <w:rPr>
          <w:rFonts w:ascii="Times New Roman" w:hAnsi="Times New Roman" w:cs="Times New Roman"/>
          <w:b/>
          <w:sz w:val="36"/>
          <w:szCs w:val="36"/>
        </w:rPr>
        <w:t>3.2.0 Einleitung</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Nachdem ich im vorhergehenden Kapitel untersucht habe, weshalb eine funktionale Beschreibung von Raum und Zeit wissenschaftlich notwendig erscheint, verändert sich nun die Perspektive. Die Frage lautet nicht länger, </w:t>
      </w:r>
      <w:r w:rsidRPr="0094347E">
        <w:rPr>
          <w:rFonts w:ascii="Times New Roman" w:hAnsi="Times New Roman" w:cs="Times New Roman"/>
          <w:b/>
        </w:rPr>
        <w:t>warum</w:t>
      </w:r>
      <w:r w:rsidRPr="0094347E">
        <w:rPr>
          <w:rFonts w:ascii="Times New Roman" w:hAnsi="Times New Roman" w:cs="Times New Roman"/>
          <w:bCs w:val="0"/>
        </w:rPr>
        <w:t xml:space="preserve"> eine neue Theorie benötigt wird, sondern </w:t>
      </w:r>
      <w:r w:rsidRPr="0094347E">
        <w:rPr>
          <w:rFonts w:ascii="Times New Roman" w:hAnsi="Times New Roman" w:cs="Times New Roman"/>
          <w:b/>
        </w:rPr>
        <w:t>auf welchen mathematischen Grundlagen</w:t>
      </w:r>
      <w:r w:rsidRPr="0094347E">
        <w:rPr>
          <w:rFonts w:ascii="Times New Roman" w:hAnsi="Times New Roman" w:cs="Times New Roman"/>
          <w:bCs w:val="0"/>
        </w:rPr>
        <w:t xml:space="preserve"> sie überhaupt aufgebaut werden kann. Bevor ich im folgenden Kapitel die Axiomatik des Funktionalen Raum-Zeit-Kohärenzsystems entwickle, möchte ich daher zunächst den mathematischen Stand der Forschung systematisch aufarbeiten.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Dieser Schritt erscheint mir unverzichtbar. Eine neue mathematische Theorie gewinnt ihre wissenschaftliche Legitimation nicht dadurch, dass sie bestehende Konzepte ersetzt, sondern dadurch, dass sie zeigt, welche etablierten Werkzeuge bereits existieren, welche Probleme sie erfolgreich lösen und an welchen Stellen ihre Gültigkeitsbereiche enden. Erst wenn diese Grenzen nachvollziehbar dargestellt sind, lässt sich begründen, weshalb eine Erweiterung des bisherigen mathematischen Instrumentariums überhaupt erforderlich ist.</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Während der Ausarbeitung von Kapitel 3 wurde mir zunehmend bewusst, dass sich nahezu alle modernen mathematischen Disziplinen trotz ihrer unterschiedlichen Anwendungsgebiete auf dieselbe grundlegende Struktur zurückführen lassen. Jede Theorie beginnt mit einer Menge von Objekten, beschreibt anschließend Beziehungen zwischen diesen Objekten, formuliert Regeln für ihre Transformation und untersucht schließlich die Dynamik komplexer Systeme. Ob Mengenlehre, Algebra, Funktionalanalysis, Dynamische Systeme oder Informationstheorie betrachtet werden – stets entsteht eine schrittweise zunehmende strukturelle Komplexität. Genau dieser Entwicklung folgt auch der Aufbau des vorliegenden Kapitels.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Ich werde dabei bewusst keinen historischen Überblick über einzelne mathematische Disziplinen geben. Ebenso wenig soll dieses Kapitel den Charakter eines Lehrbuchs besitzen. Stattdessen interessiert mich bei jeder Theorie dieselbe wissenschaftliche Fragestellung:</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Welches mathematische Problem sollte gelöst werden?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formalen Werkzeuge wurden hierfür entwickelt?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wissenschaftlichen Erfolge wurden damit erzielt?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Voraussetzungen werden dabei stillschweigend angenommen?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Fragestellungen bleiben außerhalb des jeweiligen Modells?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Gerade die letzte Frage bildet den roten Faden dieses gesamten Kapitels. Denn bei der Analyse der internationalen Literatur zeigt sich ein bemerkenswert einheitliches Bild. Die Mengenlehre setzt Mengen voraus. Die Relationentheorie setzt bereits vorhandene Elemente voraus. Funktionen benötigen Definitions- und Zielmengen. Operatoren wirken auf bereits existierenden Funktionen oder Zustandsräumen. Dynamische Systeme beginnen mit einem definierten Zustandsraum. Selbst moderne Ansätze der Informationstheorie oder Netzwerkwissenschaft gehen von bereits vorhandenen mathematischen Strukturen aus, deren Eigenschaften anschließend untersucht werden.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Darin liegt ausdrücklich </w:t>
      </w:r>
      <w:r w:rsidRPr="0094347E">
        <w:rPr>
          <w:rFonts w:ascii="Times New Roman" w:hAnsi="Times New Roman" w:cs="Times New Roman"/>
          <w:b/>
        </w:rPr>
        <w:t>keine Schwäche</w:t>
      </w:r>
      <w:r w:rsidRPr="0094347E">
        <w:rPr>
          <w:rFonts w:ascii="Times New Roman" w:hAnsi="Times New Roman" w:cs="Times New Roman"/>
          <w:bCs w:val="0"/>
        </w:rPr>
        <w:t xml:space="preserve"> dieser Theorien. Im Gegenteil: Gerade weil sie ihre jeweiligen Voraussetzungen akzeptieren, konnten sie sich zu außerordentlich erfolgreichen </w:t>
      </w:r>
      <w:r w:rsidRPr="0094347E">
        <w:rPr>
          <w:rFonts w:ascii="Times New Roman" w:hAnsi="Times New Roman" w:cs="Times New Roman"/>
          <w:bCs w:val="0"/>
        </w:rPr>
        <w:lastRenderedPageBreak/>
        <w:t>mathematischen Werkzeugen entwickeln. Ohne Mengenlehre wäre moderne Mathematik ebenso wenig denkbar wie ohne lineare Algebra, Funktionalanalysis oder Informationstheorie. Die vorliegende Arbeit baut daher vollständig auf diesen Ergebnissen auf und versteht sich ausdrücklich nicht als Alternative zu den etablierten mathematischen Disziplinen.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Gleichzeitig erkenne ich jedoch eine gemeinsame methodische Grenze. Keine der betrachteten Theorien untersucht die funktionale Entstehung jener mathematischen Grundstrukturen, auf denen sie selbst aufbaut. Genau an dieser Stelle setzt die weitere Entwicklung dieser Dissertation an. Bevor jedoch neue axiomatische Überlegungen formuliert werden können, erscheint es mir notwendig, die vorhandenen mathematischen Werkzeuge vollständig zu verstehen und ihre jeweiligen Gültigkeitsbereiche präzise einzuordnen.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Der Aufbau dieses Kapitels folgt deshalb einer logischen Abfolge zunehmender mathematischer Komplexität. Zunächst untersuche ich Mengen, Relationen und Funktionen als elementare Bausteine mathematischer Modellbildung. Darauf aufbauend folgen algebraische Strukturen, Operatoren und Zustandsräume als Grundlage mathematischer Transformationen. Anschließend werden Funktionalanalysis, Dynamische Systeme, Informationstheorie, Graphen- und Netzwerktheorie sowie Metriken und Emergenzmodelle betrachtet. Jeder Abschnitt beantwortet eine klar definierte mathematische Fragestellung und bereitet zugleich den Übergang zum jeweils folgenden Themengebiet vor. Diese Struktur entspricht der in den Projektunterlagen festgelegten Zielarchitektur von Kapitel 3.2.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Am Ende dieses Kapitels soll damit nicht nur der internationale mathematische Forschungsstand dargestellt sein. Vielmehr soll nachvollziehbar werden, weshalb die Gesamtheit der bestehenden mathematischen Werkzeuge zwar eine außerordentlich leistungsfähige Beschreibung komplexer Systeme ermöglicht, die funktionale Genese ihrer eigenen Ausgangsstrukturen jedoch offenlässt. Erst aus dieser systematisch begründeten Forschungslücke ergibt sich im folgenden Kapitel die Notwendigkeit einer eigenständigen axiomatischen Grundlage des Funktionalen Raum-Zeit-Kohärenzsystems.</w:t>
      </w:r>
    </w:p>
    <w:p w:rsidR="00FB58CE" w:rsidRPr="00FB58CE" w:rsidRDefault="00FB58CE" w:rsidP="00FB58CE">
      <w:pPr>
        <w:spacing w:before="100" w:beforeAutospacing="1" w:after="100" w:afterAutospacing="1"/>
        <w:outlineLvl w:val="1"/>
        <w:rPr>
          <w:rFonts w:ascii="Times New Roman" w:hAnsi="Times New Roman" w:cs="Times New Roman"/>
          <w:b/>
          <w:sz w:val="36"/>
          <w:szCs w:val="36"/>
        </w:rPr>
      </w:pPr>
      <w:r w:rsidRPr="00FB58CE">
        <w:rPr>
          <w:rFonts w:ascii="Times New Roman" w:hAnsi="Times New Roman" w:cs="Times New Roman"/>
          <w:b/>
          <w:sz w:val="36"/>
          <w:szCs w:val="36"/>
        </w:rPr>
        <w:t>3.2.1 Mengen als Grundlage mathematischer Modellbildung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Nachdem ich in der Einleitung begründet habe, weshalb die mathematischen Grundlagen des Funktionalen Raum-Zeit-Kohärenzsystems zunächst aus der Perspektive etablierter Theorien untersucht werden müssen, beginne ich mit derjenigen Struktur, die einen großen Teil der modernen Mathematik bis heute trägt: der Menge. Diese Entscheidung ist nicht nur historisch begründet. Mengen ermöglichen es, unterschiedliche mathematische Gegenstände unter einer gemeinsamen formalen Voraussetzung zusammenzufassen. Zahlen, Punkte, Zustände, Ereignisse, Funktionen und Relationen können als Elemente geeigneter Mengen behandelt werden. Dadurch entsteht eine einheitliche Sprache, innerhalb derer mathematische Modelle formuliert, verglichen und aufeinander bezogen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Entwicklung der Mengenlehre ist eng mit Georg Cantors Untersuchungen unendlicher Punktmengen verbunden. Cantor führte Mengen nicht lediglich als Sammlungen endlicher Gegenstände ein, sondern machte sie zum Gegenstand einer eigenständigen mathematischen Theorie. In seinen „Beiträge[n] zur Begründung der transfiniten Mengenlehre“ unterschied er verschiedene Mächtigkeiten unendlicher Mengen und zeigte, dass Unendlichkeit mathematisch differenziert behandelt werden kann (Georg Cantor: „Beiträge zur Begründung der transfiniten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xml:space="preserve">, Band 46, 1895, S. 481–512, </w:t>
      </w:r>
      <w:r w:rsidRPr="00FB58CE">
        <w:rPr>
          <w:rFonts w:ascii="Times New Roman" w:hAnsi="Times New Roman" w:cs="Times New Roman"/>
          <w:bCs w:val="0"/>
        </w:rPr>
        <w:lastRenderedPageBreak/>
        <w:t>sowie Band 49, 1897, S. 207–246)[53]. Damit entstand eine Erweiterung des mathematischen Gegenstandsbereichs, die weit über die ursprüngliche Untersuchung reeller Punktmengen hinausführte.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Cantors informelle Auffassung einer Menge als Zusammenfassung bestimmter, wohlunterschiedener Gegenstände erwies sich als außerordentlich leistungsfähig. Zugleich zeigte sich jedoch, dass eine uneingeschränkte Bildung von Mengen zu Widersprüchen führen kann. Die von Bertrand Russell formulierte Antinomie der Menge aller Mengen, die sich nicht selbst enthalten, machte sichtbar, dass die Frage, welche Zusammenfassungen als Mengen zugelassen werden dürfen, nicht allein durch sprachliche Plausibilität beantwortet werden kann. Bertrand Russell diskutierte diese Schwierigkeit im Zusammenhang mit den Grundlagen der Mathematik und entwickelte daraus seine Typentheorie (Bertrand Russell: </w:t>
      </w:r>
      <w:r w:rsidRPr="00FB58CE">
        <w:rPr>
          <w:rFonts w:ascii="Times New Roman" w:hAnsi="Times New Roman" w:cs="Times New Roman"/>
          <w:bCs w:val="0"/>
          <w:i/>
          <w:iCs/>
        </w:rPr>
        <w:t>The Principles of Mathematics</w:t>
      </w:r>
      <w:r w:rsidRPr="00FB58CE">
        <w:rPr>
          <w:rFonts w:ascii="Times New Roman" w:hAnsi="Times New Roman" w:cs="Times New Roman"/>
          <w:bCs w:val="0"/>
        </w:rPr>
        <w:t>. Cambridge: Cambridge University Press, 1903)[54].</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axiomatische Mengenlehre reagierte auf diese Grundlagenprobleme, indem sie die Existenz von Mengen nicht mehr aus einer allgemeinen Vorstellung des Zusammenfassens ableitete, sondern an ausdrücklich formulierte Axiome band. Ernst Zermelo entwickelte 1908 ein Axiomensystem, mit dem insbesondere die bis dahin auftretenden Antinomien vermieden und zugleich wesentliche Teile der mathematischen Analysis abgesichert werden sollten (Ernst Zermelo: „Untersuchungen über die Grundlagen der Mengenlehre I“. In: </w:t>
      </w:r>
      <w:r w:rsidRPr="00FB58CE">
        <w:rPr>
          <w:rFonts w:ascii="Times New Roman" w:hAnsi="Times New Roman" w:cs="Times New Roman"/>
          <w:bCs w:val="0"/>
          <w:i/>
          <w:iCs/>
        </w:rPr>
        <w:t>Mathematische Annalen</w:t>
      </w:r>
      <w:r w:rsidRPr="00FB58CE">
        <w:rPr>
          <w:rFonts w:ascii="Times New Roman" w:hAnsi="Times New Roman" w:cs="Times New Roman"/>
          <w:bCs w:val="0"/>
        </w:rPr>
        <w:t xml:space="preserve">, Band 65, 1908, S. 261–281)[55]. Abraham A. Fraenkel und Thoralf Skolem ergänzten diesen Ansatz später unter anderem durch präzisere Formulierungen des Ersetzungsaxioms und durch die Einordnung der Mengenlehre in eine formale Sprache erster Stufe (Abraham A. Fraenkel: „Zu den Grundlagen der Cantor-Zermeloschen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xml:space="preserve">, Band 86, 1922, S. 230–237)[56]; (Thoralf Skolem: „Einige Bemerkungen zur axiomatischen Begründung der Mengenlehre“. In: </w:t>
      </w:r>
      <w:r w:rsidRPr="00FB58CE">
        <w:rPr>
          <w:rFonts w:ascii="Times New Roman" w:hAnsi="Times New Roman" w:cs="Times New Roman"/>
          <w:bCs w:val="0"/>
          <w:i/>
          <w:iCs/>
        </w:rPr>
        <w:t>Matematikerkongressen i Helsingfors den 4–7 Juli 1922, Den femte skandinaviska matematikerkongressen</w:t>
      </w:r>
      <w:r w:rsidRPr="00FB58CE">
        <w:rPr>
          <w:rFonts w:ascii="Times New Roman" w:hAnsi="Times New Roman" w:cs="Times New Roman"/>
          <w:bCs w:val="0"/>
        </w:rPr>
        <w:t>, Helsinki 1923, S. 217–232)[57].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daraus hervorgegangene Zermelo-Fraenkel-Mengenlehre bildet gemeinsam mit dem Auswahlaxiom das heute gebräuchliche System ZFC. Für meine Untersuchung ist dabei weniger die vollständige Darstellung dieses Axiomensystems entscheidend als die grundlegende Konsequenz seiner Konstruktion: Mengen werden innerhalb der Theorie nicht durch ihre materielle Beschaffenheit bestimmt. Sie werden darüber charakterisiert, welche Elemente ihnen angehören und unter welchen axiomatischen Bedingungen neue Mengen aus bereits zugelassenen Mengen gebildet werden dürfen.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 – Menge und Elementbeziehung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Menge MMM ist innerhalb der Mengenlehre ein mathematischer Träger, für dessen mögliche Gegenstände xxx die Aussage bestimmt ist, ob xxx Element von MMM ist oder nicht. Die Elementbeziehung wird durch</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M(3.149)x \in M \tag{3.149}x</w:t>
      </w:r>
      <w:r w:rsidRPr="00FB58CE">
        <w:rPr>
          <w:rFonts w:ascii="Cambria Math" w:hAnsi="Cambria Math" w:cs="Cambria Math"/>
          <w:bCs w:val="0"/>
        </w:rPr>
        <w:t>∈</w:t>
      </w:r>
      <w:r w:rsidRPr="00FB58CE">
        <w:rPr>
          <w:rFonts w:ascii="Times New Roman" w:hAnsi="Times New Roman" w:cs="Times New Roman"/>
          <w:bCs w:val="0"/>
        </w:rPr>
        <w:t xml:space="preserve">M(3.149)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x \in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bezeichnet. Ist xxx kein Element von MMM, gilt entsprechend</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x</w:t>
      </w:r>
      <w:r w:rsidRPr="00FB58CE">
        <w:rPr>
          <w:rFonts w:ascii="Cambria Math" w:hAnsi="Cambria Math" w:cs="Cambria Math"/>
          <w:bCs w:val="0"/>
          <w:lang w:val="en-US"/>
        </w:rPr>
        <w:t>∉</w:t>
      </w:r>
      <w:r w:rsidRPr="00FB58CE">
        <w:rPr>
          <w:rFonts w:ascii="Times New Roman" w:hAnsi="Times New Roman" w:cs="Times New Roman"/>
          <w:bCs w:val="0"/>
          <w:lang w:val="en-US"/>
        </w:rPr>
        <w:t>M.(3.150)x \notin M. \tag{3.150}x</w:t>
      </w:r>
      <w:r w:rsidRPr="00FB58CE">
        <w:rPr>
          <w:rFonts w:ascii="Cambria Math" w:hAnsi="Cambria Math" w:cs="Cambria Math"/>
          <w:bCs w:val="0"/>
          <w:lang w:val="en-US"/>
        </w:rPr>
        <w:t>∈</w:t>
      </w:r>
      <w:r w:rsidRPr="00FB58CE">
        <w:rPr>
          <w:rFonts w:ascii="Times New Roman" w:hAnsi="Times New Roman" w:cs="Times New Roman"/>
          <w:bCs w:val="0"/>
          <w:lang w:val="en-US"/>
        </w:rPr>
        <w:t xml:space="preserve">/M.(3.150)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lastRenderedPageBreak/>
        <w:t xml:space="preserve">Word-LaTeX: </w:t>
      </w:r>
      <w:r w:rsidRPr="00FB58CE">
        <w:rPr>
          <w:rFonts w:ascii="Courier New" w:hAnsi="Courier New" w:cs="Courier New"/>
          <w:bCs w:val="0"/>
          <w:sz w:val="20"/>
          <w:szCs w:val="20"/>
          <w:lang w:val="en-US"/>
        </w:rPr>
        <w:t>x \notin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Definition wirkt zunächst elementar, enthält jedoch eine weitreichende methodische Festlegung. Die innere Beschaffenheit eines Elements ist für seine Zugehörigkeit zur Menge nicht unmittelbar relevant. Entscheidend ist allein, ob die Elementbeziehung gilt. Damit abstrahiert die Mengenlehre von den konkreten Eigenschaften der zusammengefassten Gegenstände und stellt zunächst nur eine formale Zugehörigkeitsstruktur bereit.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Gleichheit zweier Mengen wird durch das Extensionalitätsprinzip bestimmt. Zwei Mengen gelten genau dann als gleich, wenn sie dieselben Elemente besitzen. Ihre Gleichheit hängt somit nicht von ihrer Bezeichnung, ihrer Entstehungsgeschichte oder einer angenommenen inneren Bedeutung ab.</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Axiomatisches Prinzip 3.2.1 – Extensionalität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zwei Mengen AAA und BBB gilt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A=B  </w:t>
      </w:r>
      <w:r w:rsidRPr="00FB58CE">
        <w:rPr>
          <w:rFonts w:ascii="Cambria Math" w:hAnsi="Cambria Math" w:cs="Cambria Math"/>
          <w:bCs w:val="0"/>
        </w:rPr>
        <w:t>⟺</w:t>
      </w:r>
      <w:r w:rsidRPr="00FB58CE">
        <w:rPr>
          <w:rFonts w:ascii="Times New Roman" w:hAnsi="Times New Roman" w:cs="Times New Roman"/>
          <w:bCs w:val="0"/>
          <w:lang w:val="en-US"/>
        </w:rPr>
        <w:t>  </w:t>
      </w:r>
      <w:r w:rsidRPr="00FB58CE">
        <w:rPr>
          <w:rFonts w:ascii="Cambria Math" w:hAnsi="Cambria Math" w:cs="Cambria Math"/>
          <w:bCs w:val="0"/>
          <w:lang w:val="en-US"/>
        </w:rPr>
        <w:t>∀</w:t>
      </w:r>
      <w:r w:rsidRPr="00FB58CE">
        <w:rPr>
          <w:rFonts w:ascii="Times New Roman" w:hAnsi="Times New Roman" w:cs="Times New Roman"/>
          <w:bCs w:val="0"/>
          <w:lang w:val="en-US"/>
        </w:rPr>
        <w:t>x (x</w:t>
      </w:r>
      <w:r w:rsidRPr="00FB58CE">
        <w:rPr>
          <w:rFonts w:ascii="Cambria Math" w:hAnsi="Cambria Math" w:cs="Cambria Math"/>
          <w:bCs w:val="0"/>
          <w:lang w:val="en-US"/>
        </w:rPr>
        <w:t>∈</w:t>
      </w:r>
      <w:r w:rsidRPr="00FB58CE">
        <w:rPr>
          <w:rFonts w:ascii="Times New Roman" w:hAnsi="Times New Roman" w:cs="Times New Roman"/>
          <w:bCs w:val="0"/>
          <w:lang w:val="en-US"/>
        </w:rPr>
        <w:t>A↔x</w:t>
      </w:r>
      <w:r w:rsidRPr="00FB58CE">
        <w:rPr>
          <w:rFonts w:ascii="Cambria Math" w:hAnsi="Cambria Math" w:cs="Cambria Math"/>
          <w:bCs w:val="0"/>
          <w:lang w:val="en-US"/>
        </w:rPr>
        <w:t>∈</w:t>
      </w:r>
      <w:r w:rsidRPr="00FB58CE">
        <w:rPr>
          <w:rFonts w:ascii="Times New Roman" w:hAnsi="Times New Roman" w:cs="Times New Roman"/>
          <w:bCs w:val="0"/>
          <w:lang w:val="en-US"/>
        </w:rPr>
        <w:t>B).(3.151)A=B \iff \forall x\,(x\in A \leftrightarrow x\in B). \tag{3.151}A=B</w:t>
      </w:r>
      <w:r w:rsidRPr="00FB58CE">
        <w:rPr>
          <w:rFonts w:ascii="Cambria Math" w:hAnsi="Cambria Math" w:cs="Cambria Math"/>
          <w:bCs w:val="0"/>
        </w:rPr>
        <w:t>⟺</w:t>
      </w:r>
      <w:r w:rsidRPr="00FB58CE">
        <w:rPr>
          <w:rFonts w:ascii="Cambria Math" w:hAnsi="Cambria Math" w:cs="Cambria Math"/>
          <w:bCs w:val="0"/>
          <w:lang w:val="en-US"/>
        </w:rPr>
        <w:t>∀</w:t>
      </w:r>
      <w:r w:rsidRPr="00FB58CE">
        <w:rPr>
          <w:rFonts w:ascii="Times New Roman" w:hAnsi="Times New Roman" w:cs="Times New Roman"/>
          <w:bCs w:val="0"/>
          <w:lang w:val="en-US"/>
        </w:rPr>
        <w:t>x(x</w:t>
      </w:r>
      <w:r w:rsidRPr="00FB58CE">
        <w:rPr>
          <w:rFonts w:ascii="Cambria Math" w:hAnsi="Cambria Math" w:cs="Cambria Math"/>
          <w:bCs w:val="0"/>
          <w:lang w:val="en-US"/>
        </w:rPr>
        <w:t>∈</w:t>
      </w:r>
      <w:r w:rsidRPr="00FB58CE">
        <w:rPr>
          <w:rFonts w:ascii="Times New Roman" w:hAnsi="Times New Roman" w:cs="Times New Roman"/>
          <w:bCs w:val="0"/>
          <w:lang w:val="en-US"/>
        </w:rPr>
        <w:t>A↔x</w:t>
      </w:r>
      <w:r w:rsidRPr="00FB58CE">
        <w:rPr>
          <w:rFonts w:ascii="Cambria Math" w:hAnsi="Cambria Math" w:cs="Cambria Math"/>
          <w:bCs w:val="0"/>
          <w:lang w:val="en-US"/>
        </w:rPr>
        <w:t>∈</w:t>
      </w:r>
      <w:r w:rsidRPr="00FB58CE">
        <w:rPr>
          <w:rFonts w:ascii="Times New Roman" w:hAnsi="Times New Roman" w:cs="Times New Roman"/>
          <w:bCs w:val="0"/>
          <w:lang w:val="en-US"/>
        </w:rPr>
        <w:t xml:space="preserve">B).(3.151)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A=B \iff \forall x\,(x\in A \leftrightarrow x\in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Das Extensionalitätsprinzip verleiht der Mengenlehre ihre charakteristische strukturelle Klarheit. Eine Menge ist durch den Umfang ihrer Elemente vollständig bestimmt. Eigenschaften, die nicht über die Elementzugehörigkeit ausgedrückt werden, besitzen für die mengentheoretische Identität keine eigenständige Bedeutung. Diese Festlegung ermöglicht eine hohe formale Eindeutigkeit, begrenzt aber zugleich, welche Aspekte eines Gegenstands durch die bloße Mengenzugehörigkeit erfasst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 zweites grundlegendes Konzept ist die Teilmengenbeziehung. Sie erlaubt es, Mengen nicht nur über ihre Elemente, sondern auch hinsichtlich ihrer gegenseitigen Einordnung zu vergleichen.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3.2.2 – Teilmenge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Menge AAA heißt Teilmenge einer Menge BBB, wenn jedes Element von AAA zugleich Element von BBB ist: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B  </w:t>
      </w:r>
      <w:r w:rsidRPr="00FB58CE">
        <w:rPr>
          <w:rFonts w:ascii="Cambria Math" w:hAnsi="Cambria Math" w:cs="Cambria Math"/>
          <w:bCs w:val="0"/>
        </w:rPr>
        <w:t>⟺</w:t>
      </w:r>
      <w:r w:rsidRPr="00FB58CE">
        <w:rPr>
          <w:rFonts w:ascii="Times New Roman" w:hAnsi="Times New Roman" w:cs="Times New Roman"/>
          <w:bCs w:val="0"/>
          <w:lang w:val="en-US"/>
        </w:rPr>
        <w:t>  </w:t>
      </w:r>
      <w:r w:rsidRPr="00FB58CE">
        <w:rPr>
          <w:rFonts w:ascii="Cambria Math" w:hAnsi="Cambria Math" w:cs="Cambria Math"/>
          <w:bCs w:val="0"/>
          <w:lang w:val="en-US"/>
        </w:rPr>
        <w:t>∀</w:t>
      </w:r>
      <w:r w:rsidRPr="00FB58CE">
        <w:rPr>
          <w:rFonts w:ascii="Times New Roman" w:hAnsi="Times New Roman" w:cs="Times New Roman"/>
          <w:bCs w:val="0"/>
          <w:lang w:val="en-US"/>
        </w:rPr>
        <w:t>x (x</w:t>
      </w:r>
      <w:r w:rsidRPr="00FB58CE">
        <w:rPr>
          <w:rFonts w:ascii="Cambria Math" w:hAnsi="Cambria Math" w:cs="Cambria Math"/>
          <w:bCs w:val="0"/>
          <w:lang w:val="en-US"/>
        </w:rPr>
        <w:t>∈</w:t>
      </w:r>
      <w:r w:rsidRPr="00FB58CE">
        <w:rPr>
          <w:rFonts w:ascii="Times New Roman" w:hAnsi="Times New Roman" w:cs="Times New Roman"/>
          <w:bCs w:val="0"/>
          <w:lang w:val="en-US"/>
        </w:rPr>
        <w:t>A→x</w:t>
      </w:r>
      <w:r w:rsidRPr="00FB58CE">
        <w:rPr>
          <w:rFonts w:ascii="Cambria Math" w:hAnsi="Cambria Math" w:cs="Cambria Math"/>
          <w:bCs w:val="0"/>
          <w:lang w:val="en-US"/>
        </w:rPr>
        <w:t>∈</w:t>
      </w:r>
      <w:r w:rsidRPr="00FB58CE">
        <w:rPr>
          <w:rFonts w:ascii="Times New Roman" w:hAnsi="Times New Roman" w:cs="Times New Roman"/>
          <w:bCs w:val="0"/>
          <w:lang w:val="en-US"/>
        </w:rPr>
        <w:t>B).(3.152)A\subseteq B \iff \forall x\,(x\in A\rightarrow x\in B). \tag{3.152}A</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rPr>
        <w:t>⟺</w:t>
      </w:r>
      <w:r w:rsidRPr="00FB58CE">
        <w:rPr>
          <w:rFonts w:ascii="Cambria Math" w:hAnsi="Cambria Math" w:cs="Cambria Math"/>
          <w:bCs w:val="0"/>
          <w:lang w:val="en-US"/>
        </w:rPr>
        <w:t>∀</w:t>
      </w:r>
      <w:r w:rsidRPr="00FB58CE">
        <w:rPr>
          <w:rFonts w:ascii="Times New Roman" w:hAnsi="Times New Roman" w:cs="Times New Roman"/>
          <w:bCs w:val="0"/>
          <w:lang w:val="en-US"/>
        </w:rPr>
        <w:t>x(x</w:t>
      </w:r>
      <w:r w:rsidRPr="00FB58CE">
        <w:rPr>
          <w:rFonts w:ascii="Cambria Math" w:hAnsi="Cambria Math" w:cs="Cambria Math"/>
          <w:bCs w:val="0"/>
          <w:lang w:val="en-US"/>
        </w:rPr>
        <w:t>∈</w:t>
      </w:r>
      <w:r w:rsidRPr="00FB58CE">
        <w:rPr>
          <w:rFonts w:ascii="Times New Roman" w:hAnsi="Times New Roman" w:cs="Times New Roman"/>
          <w:bCs w:val="0"/>
          <w:lang w:val="en-US"/>
        </w:rPr>
        <w:t>A→x</w:t>
      </w:r>
      <w:r w:rsidRPr="00FB58CE">
        <w:rPr>
          <w:rFonts w:ascii="Cambria Math" w:hAnsi="Cambria Math" w:cs="Cambria Math"/>
          <w:bCs w:val="0"/>
          <w:lang w:val="en-US"/>
        </w:rPr>
        <w:t>∈</w:t>
      </w:r>
      <w:r w:rsidRPr="00FB58CE">
        <w:rPr>
          <w:rFonts w:ascii="Times New Roman" w:hAnsi="Times New Roman" w:cs="Times New Roman"/>
          <w:bCs w:val="0"/>
          <w:lang w:val="en-US"/>
        </w:rPr>
        <w:t xml:space="preserve">B).(3.152)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A\subseteq B \iff \forall x\,(x\in A\rightarrow x\in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Teilmengenbeziehung erzeugt eine Ordnungsstruktur auf der Gesamtheit der Teilmengen einer gegebenen Menge. Sie ist reflexiv, antisymmetrisch und transitiv. Bereits auf dieser grundlegenden Ebene wird sichtbar, dass aus der bloßen Elementzugehörigkeit weiterführende mathematische Strukturen konstruiert werden können. Mengen bilden daher nicht nur Behälter mathematischer Gegenstände. Sie stellen zugleich Träger dar, auf denen Ordnungen, Relationen, Funktionen, algebraische Verknüpfungen und topologische Strukturen definiert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Von besonderer Bedeutung ist die Potenzmenge. Sie enthält sämtliche Teilmengen einer Menge und hebt damit die Beschreibung von einzelnen Elementen auf eine Ebene möglicher Zusammenfassungen dieser Elemente.</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3.2.3 – Potenzmenge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Potenzmenge einer Menge MMM ist definiert als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P(M)={A</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M}.(3.153)\mathcal{P}(M)=\{A\mid A\subseteq M\}. \tag{3.153}P(M)={A</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 xml:space="preserve">M}.(3.153)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\mathcal{P}(M)=\{A\mid A\subseteq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Potenzmengenbildung entsteht eine neue Menge, deren Elemente selbst Mengen sind. Dieser Übergang ist mathematisch bedeutsam, weil dadurch Strukturen unterschiedlicher Ordnungsebenen darstellbar werden. Auf einer Ausgangsmenge können einzelne Elemente unterschieden werden; auf ihrer Potenzmenge können mögliche Gruppierungen, Ereignisse, Zustandsklassen oder Merkmalskombinationen behandelt werden. Zahlreiche mathematische Theorien setzen diese Konstruktion voraus. In der Wahrscheinlichkeitstheorie werden Ereignisse als Teilmengen eines Ergebnisraums beschrieben, in der Topologie werden Systeme von Teilmengen als offene Mengen ausgezeichnet, und in der Maßtheorie werden ausgewählte Teilmengen mit Größenwerten versehen.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Cantors Satz zeigt zugleich, dass die Potenzmenge stets eine größere Mächtigkeit besitzt als ihre Ausgangsmenge. Für jede Menge MMM gilt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&lt;</w:t>
      </w:r>
      <w:r w:rsidRPr="00FB58CE">
        <w:rPr>
          <w:rFonts w:ascii="Cambria Math" w:hAnsi="Cambria Math" w:cs="Cambria Math"/>
          <w:bCs w:val="0"/>
        </w:rPr>
        <w:t>∣</w:t>
      </w:r>
      <w:r w:rsidRPr="00FB58CE">
        <w:rPr>
          <w:rFonts w:ascii="Times New Roman" w:hAnsi="Times New Roman" w:cs="Times New Roman"/>
          <w:bCs w:val="0"/>
        </w:rPr>
        <w:t>P(M)</w:t>
      </w:r>
      <w:r w:rsidRPr="00FB58CE">
        <w:rPr>
          <w:rFonts w:ascii="Cambria Math" w:hAnsi="Cambria Math" w:cs="Cambria Math"/>
          <w:bCs w:val="0"/>
        </w:rPr>
        <w:t>∣</w:t>
      </w:r>
      <w:r w:rsidRPr="00FB58CE">
        <w:rPr>
          <w:rFonts w:ascii="Times New Roman" w:hAnsi="Times New Roman" w:cs="Times New Roman"/>
          <w:bCs w:val="0"/>
        </w:rPr>
        <w:t>.(3.154)|M|&lt;|\mathcal{P}(M)|. \tag{3.154}</w:t>
      </w:r>
      <w:r w:rsidRPr="00FB58CE">
        <w:rPr>
          <w:rFonts w:ascii="Cambria Math" w:hAnsi="Cambria Math" w:cs="Cambria Math"/>
          <w:bCs w:val="0"/>
        </w:rPr>
        <w:t>∣</w:t>
      </w: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&lt;</w:t>
      </w:r>
      <w:r w:rsidRPr="00FB58CE">
        <w:rPr>
          <w:rFonts w:ascii="Cambria Math" w:hAnsi="Cambria Math" w:cs="Cambria Math"/>
          <w:bCs w:val="0"/>
        </w:rPr>
        <w:t>∣</w:t>
      </w:r>
      <w:r w:rsidRPr="00FB58CE">
        <w:rPr>
          <w:rFonts w:ascii="Times New Roman" w:hAnsi="Times New Roman" w:cs="Times New Roman"/>
          <w:bCs w:val="0"/>
        </w:rPr>
        <w:t>P(M)</w:t>
      </w:r>
      <w:r w:rsidRPr="00FB58CE">
        <w:rPr>
          <w:rFonts w:ascii="Cambria Math" w:hAnsi="Cambria Math" w:cs="Cambria Math"/>
          <w:bCs w:val="0"/>
        </w:rPr>
        <w:t>∣</w:t>
      </w:r>
      <w:r w:rsidRPr="00FB58CE">
        <w:rPr>
          <w:rFonts w:ascii="Times New Roman" w:hAnsi="Times New Roman" w:cs="Times New Roman"/>
          <w:bCs w:val="0"/>
        </w:rPr>
        <w:t xml:space="preserve">.(3.154)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|M|&lt;|\mathcal{P}(M)|</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3.2.1 – Cantors Satz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keine Menge MMM existiert eine surjektive Abbildung von MMM auf ihre Potenzmenge P(M)\mathcal{P}(M)P(M). Folglich besitzt P(M)\mathcal{P}(M)P(M) eine strikt größere Mächtigkeit als MMM.</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Angenommen, es existiere eine surjektive Abbildung f:M→P(M)f:M\rightarrow\mathcal{P}(M)f:M→P(M). Dann betrachte ich die Menge</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rPr>
        <w:t>D={x</w:t>
      </w:r>
      <w:r w:rsidRPr="00FB58CE">
        <w:rPr>
          <w:rFonts w:ascii="Cambria Math" w:hAnsi="Cambria Math" w:cs="Cambria Math"/>
          <w:bCs w:val="0"/>
        </w:rPr>
        <w:t>∈</w:t>
      </w: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f(x)}.(3.155)D=\{x\in M\mid x\notin f(x)\}. </w:t>
      </w:r>
      <w:r w:rsidRPr="00FB58CE">
        <w:rPr>
          <w:rFonts w:ascii="Times New Roman" w:hAnsi="Times New Roman" w:cs="Times New Roman"/>
          <w:bCs w:val="0"/>
          <w:lang w:val="en-US"/>
        </w:rPr>
        <w:t>\tag{3.155}D={x</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x</w:t>
      </w:r>
      <w:r w:rsidRPr="00FB58CE">
        <w:rPr>
          <w:rFonts w:ascii="Cambria Math" w:hAnsi="Cambria Math" w:cs="Cambria Math"/>
          <w:bCs w:val="0"/>
          <w:lang w:val="en-US"/>
        </w:rPr>
        <w:t>∈</w:t>
      </w:r>
      <w:r w:rsidRPr="00FB58CE">
        <w:rPr>
          <w:rFonts w:ascii="Times New Roman" w:hAnsi="Times New Roman" w:cs="Times New Roman"/>
          <w:bCs w:val="0"/>
          <w:lang w:val="en-US"/>
        </w:rPr>
        <w:t xml:space="preserve">/f(x)}.(3.155)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D=\{x\in M\mid x\notin f(x)\}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 D</w:t>
      </w:r>
      <w:r w:rsidRPr="00FB58CE">
        <w:rPr>
          <w:rFonts w:ascii="Cambria Math" w:hAnsi="Cambria Math" w:cs="Cambria Math"/>
          <w:bCs w:val="0"/>
        </w:rPr>
        <w:t>⊆</w:t>
      </w:r>
      <w:r w:rsidRPr="00FB58CE">
        <w:rPr>
          <w:rFonts w:ascii="Times New Roman" w:hAnsi="Times New Roman" w:cs="Times New Roman"/>
          <w:bCs w:val="0"/>
        </w:rPr>
        <w:t>MD\subseteq MD</w:t>
      </w:r>
      <w:r w:rsidRPr="00FB58CE">
        <w:rPr>
          <w:rFonts w:ascii="Cambria Math" w:hAnsi="Cambria Math" w:cs="Cambria Math"/>
          <w:bCs w:val="0"/>
        </w:rPr>
        <w:t>⊆</w:t>
      </w:r>
      <w:r w:rsidRPr="00FB58CE">
        <w:rPr>
          <w:rFonts w:ascii="Times New Roman" w:hAnsi="Times New Roman" w:cs="Times New Roman"/>
          <w:bCs w:val="0"/>
        </w:rPr>
        <w:t>M gilt, ist D</w:t>
      </w:r>
      <w:r w:rsidRPr="00FB58CE">
        <w:rPr>
          <w:rFonts w:ascii="Cambria Math" w:hAnsi="Cambria Math" w:cs="Cambria Math"/>
          <w:bCs w:val="0"/>
        </w:rPr>
        <w:t>∈</w:t>
      </w:r>
      <w:r w:rsidRPr="00FB58CE">
        <w:rPr>
          <w:rFonts w:ascii="Times New Roman" w:hAnsi="Times New Roman" w:cs="Times New Roman"/>
          <w:bCs w:val="0"/>
        </w:rPr>
        <w:t>P(M)D\in\mathcal{P}(M)D</w:t>
      </w:r>
      <w:r w:rsidRPr="00FB58CE">
        <w:rPr>
          <w:rFonts w:ascii="Cambria Math" w:hAnsi="Cambria Math" w:cs="Cambria Math"/>
          <w:bCs w:val="0"/>
        </w:rPr>
        <w:t>∈</w:t>
      </w:r>
      <w:r w:rsidRPr="00FB58CE">
        <w:rPr>
          <w:rFonts w:ascii="Times New Roman" w:hAnsi="Times New Roman" w:cs="Times New Roman"/>
          <w:bCs w:val="0"/>
        </w:rPr>
        <w:t>P(M). Aufgrund der angenommenen Surjektivität existiert daher ein Element d</w:t>
      </w:r>
      <w:r w:rsidRPr="00FB58CE">
        <w:rPr>
          <w:rFonts w:ascii="Cambria Math" w:hAnsi="Cambria Math" w:cs="Cambria Math"/>
          <w:bCs w:val="0"/>
        </w:rPr>
        <w:t>∈</w:t>
      </w:r>
      <w:r w:rsidRPr="00FB58CE">
        <w:rPr>
          <w:rFonts w:ascii="Times New Roman" w:hAnsi="Times New Roman" w:cs="Times New Roman"/>
          <w:bCs w:val="0"/>
        </w:rPr>
        <w:t>Md\in Md</w:t>
      </w:r>
      <w:r w:rsidRPr="00FB58CE">
        <w:rPr>
          <w:rFonts w:ascii="Cambria Math" w:hAnsi="Cambria Math" w:cs="Cambria Math"/>
          <w:bCs w:val="0"/>
        </w:rPr>
        <w:t>∈</w:t>
      </w:r>
      <w:r w:rsidRPr="00FB58CE">
        <w:rPr>
          <w:rFonts w:ascii="Times New Roman" w:hAnsi="Times New Roman" w:cs="Times New Roman"/>
          <w:bCs w:val="0"/>
        </w:rPr>
        <w:t>M mit f(d)=Df(d)=Df(d)=D. Für dieses Element ergibt sich</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lastRenderedPageBreak/>
        <w:t>d</w:t>
      </w:r>
      <w:r w:rsidRPr="00FB58CE">
        <w:rPr>
          <w:rFonts w:ascii="Cambria Math" w:hAnsi="Cambria Math" w:cs="Cambria Math"/>
          <w:bCs w:val="0"/>
          <w:lang w:val="en-US"/>
        </w:rPr>
        <w:t>∈</w:t>
      </w:r>
      <w:r w:rsidRPr="00FB58CE">
        <w:rPr>
          <w:rFonts w:ascii="Times New Roman" w:hAnsi="Times New Roman" w:cs="Times New Roman"/>
          <w:bCs w:val="0"/>
          <w:lang w:val="en-US"/>
        </w:rPr>
        <w:t>D  </w:t>
      </w:r>
      <w:r w:rsidRPr="00FB58CE">
        <w:rPr>
          <w:rFonts w:ascii="Cambria Math" w:hAnsi="Cambria Math" w:cs="Cambria Math"/>
          <w:bCs w:val="0"/>
        </w:rPr>
        <w:t>⟺</w:t>
      </w:r>
      <w:r w:rsidRPr="00FB58CE">
        <w:rPr>
          <w:rFonts w:ascii="Times New Roman" w:hAnsi="Times New Roman" w:cs="Times New Roman"/>
          <w:bCs w:val="0"/>
          <w:lang w:val="en-US"/>
        </w:rPr>
        <w:t>  d</w:t>
      </w:r>
      <w:r w:rsidRPr="00FB58CE">
        <w:rPr>
          <w:rFonts w:ascii="Cambria Math" w:hAnsi="Cambria Math" w:cs="Cambria Math"/>
          <w:bCs w:val="0"/>
          <w:lang w:val="en-US"/>
        </w:rPr>
        <w:t>∉</w:t>
      </w:r>
      <w:r w:rsidRPr="00FB58CE">
        <w:rPr>
          <w:rFonts w:ascii="Times New Roman" w:hAnsi="Times New Roman" w:cs="Times New Roman"/>
          <w:bCs w:val="0"/>
          <w:lang w:val="en-US"/>
        </w:rPr>
        <w:t>f(d)  </w:t>
      </w:r>
      <w:r w:rsidRPr="00FB58CE">
        <w:rPr>
          <w:rFonts w:ascii="Cambria Math" w:hAnsi="Cambria Math" w:cs="Cambria Math"/>
          <w:bCs w:val="0"/>
        </w:rPr>
        <w:t>⟺</w:t>
      </w:r>
      <w:r w:rsidRPr="00FB58CE">
        <w:rPr>
          <w:rFonts w:ascii="Times New Roman" w:hAnsi="Times New Roman" w:cs="Times New Roman"/>
          <w:bCs w:val="0"/>
          <w:lang w:val="en-US"/>
        </w:rPr>
        <w:t>  d</w:t>
      </w:r>
      <w:r w:rsidRPr="00FB58CE">
        <w:rPr>
          <w:rFonts w:ascii="Cambria Math" w:hAnsi="Cambria Math" w:cs="Cambria Math"/>
          <w:bCs w:val="0"/>
          <w:lang w:val="en-US"/>
        </w:rPr>
        <w:t>∉</w:t>
      </w:r>
      <w:r w:rsidRPr="00FB58CE">
        <w:rPr>
          <w:rFonts w:ascii="Times New Roman" w:hAnsi="Times New Roman" w:cs="Times New Roman"/>
          <w:bCs w:val="0"/>
          <w:lang w:val="en-US"/>
        </w:rPr>
        <w:t>D.(3.156)d\in D \iff d\notin f(d) \iff d\notin D. \tag{3.156}d</w:t>
      </w:r>
      <w:r w:rsidRPr="00FB58CE">
        <w:rPr>
          <w:rFonts w:ascii="Cambria Math" w:hAnsi="Cambria Math" w:cs="Cambria Math"/>
          <w:bCs w:val="0"/>
          <w:lang w:val="en-US"/>
        </w:rPr>
        <w:t>∈</w:t>
      </w:r>
      <w:r w:rsidRPr="00FB58CE">
        <w:rPr>
          <w:rFonts w:ascii="Times New Roman" w:hAnsi="Times New Roman" w:cs="Times New Roman"/>
          <w:bCs w:val="0"/>
          <w:lang w:val="en-US"/>
        </w:rPr>
        <w:t>D</w:t>
      </w:r>
      <w:r w:rsidRPr="00FB58CE">
        <w:rPr>
          <w:rFonts w:ascii="Cambria Math" w:hAnsi="Cambria Math" w:cs="Cambria Math"/>
          <w:bCs w:val="0"/>
        </w:rPr>
        <w:t>⟺</w:t>
      </w:r>
      <w:r w:rsidRPr="00FB58CE">
        <w:rPr>
          <w:rFonts w:ascii="Times New Roman" w:hAnsi="Times New Roman" w:cs="Times New Roman"/>
          <w:bCs w:val="0"/>
          <w:lang w:val="en-US"/>
        </w:rPr>
        <w:t>d</w:t>
      </w:r>
      <w:r w:rsidRPr="00FB58CE">
        <w:rPr>
          <w:rFonts w:ascii="Cambria Math" w:hAnsi="Cambria Math" w:cs="Cambria Math"/>
          <w:bCs w:val="0"/>
          <w:lang w:val="en-US"/>
        </w:rPr>
        <w:t>∈</w:t>
      </w:r>
      <w:r w:rsidRPr="00FB58CE">
        <w:rPr>
          <w:rFonts w:ascii="Times New Roman" w:hAnsi="Times New Roman" w:cs="Times New Roman"/>
          <w:bCs w:val="0"/>
          <w:lang w:val="en-US"/>
        </w:rPr>
        <w:t>/f(d)</w:t>
      </w:r>
      <w:r w:rsidRPr="00FB58CE">
        <w:rPr>
          <w:rFonts w:ascii="Cambria Math" w:hAnsi="Cambria Math" w:cs="Cambria Math"/>
          <w:bCs w:val="0"/>
        </w:rPr>
        <w:t>⟺</w:t>
      </w:r>
      <w:r w:rsidRPr="00FB58CE">
        <w:rPr>
          <w:rFonts w:ascii="Times New Roman" w:hAnsi="Times New Roman" w:cs="Times New Roman"/>
          <w:bCs w:val="0"/>
          <w:lang w:val="en-US"/>
        </w:rPr>
        <w:t>d</w:t>
      </w:r>
      <w:r w:rsidRPr="00FB58CE">
        <w:rPr>
          <w:rFonts w:ascii="Cambria Math" w:hAnsi="Cambria Math" w:cs="Cambria Math"/>
          <w:bCs w:val="0"/>
          <w:lang w:val="en-US"/>
        </w:rPr>
        <w:t>∈</w:t>
      </w:r>
      <w:r w:rsidRPr="00FB58CE">
        <w:rPr>
          <w:rFonts w:ascii="Times New Roman" w:hAnsi="Times New Roman" w:cs="Times New Roman"/>
          <w:bCs w:val="0"/>
          <w:lang w:val="en-US"/>
        </w:rPr>
        <w:t xml:space="preserve">/D.(3.156)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d\in D \iff d\notin f(d) \iff d\notin 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folgt ein Widerspruch. Eine solche surjektive Abbildung kann folglich nicht existieren.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Cantors Satz besitzt für die mathematische Modellbildung eine grundlegende Bedeutung. Er zeigt, dass der Übergang von Elementen zu möglichen Teilmengen nicht lediglich eine andere Darstellung derselben Struktur erzeugt. Vielmehr entsteht eine formal mächtigere Ebene. Dieser Befund bildet einen frühen mathematischen Hinweis darauf, dass die Bildung von Strukturen über Strukturen zu einer echten Erweiterung des Beschreibungsraums führt. Innerhalb der klassischen Mengenlehre bleibt dieser Ebenenübergang jedoch eine durch Axiome zugelassene Konstruktion. Die Theorie beschreibt präzise, welche Potenzmenge einer bereits gegebenen Menge zugeordnet ist; sie erklärt nicht, weshalb bestimmte Teilmengen in einem konkreten System entstehen, ausgewählt, stabilisiert oder funktional wirksam werden.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rPr>
        <w:t xml:space="preserve">Die Mengenlehre stellt außerdem geordnete Paare und kartesische Produkte bereit. Dadurch können nicht nur einzelne Mengen, sondern Verbindungen zwischen ihren Elementen formal vorbereitet werden. In der auf Kazimierz Kuratowski zurückgehenden mengentheoretischen Darstellung wird ein geordnetes Paar allein durch Mengen konstruiert (Kazimierz Kuratowski: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161–171)[58]:</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 xml:space="preserve">(a,b)={{a},{a,b}}.(3.157)(a,b)=\{\{a\},\{a,b\}\}. \tag{3.157}(a,b)={{a},{a,b}}.(3.157)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(a,b)=\{\{a\},\{a,b\}\}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Auf dieser Grundlage lässt sich das kartesische Produkt zweier Mengen AAA und BBB definieren:</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A×B={(a,b)</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B}.(3.158)A\times B=\{(a,b)\mid a\in A\land b\in B\}. \tag{3.158}A×B={(a,b)</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 xml:space="preserve">B}.(3.158)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A\times B=\{(a,b)\mid a\in A\land b\in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 ist für den weiteren Aufbau des Kapitels entscheidend. Relationen werden als Teilmengen kartesischer Produkte beschrieben, Funktionen als Relationen mit zusätzlichen Eindeutigkeitsbedingungen und algebraische Operationen als Funktionen auf kartesischen Produkten. Die Mengenlehre stellt damit eine gemeinsame formale Grundlage bereit, aus der zahlreiche weitere mathematische Begriffe konstruiert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Der Anspruch, Mathematik vollständig auf Mengen zurückzuführen, wurde im 20. Jahrhundert besonders konsequent in der strukturalen Darstellung der Bourbaki-Gruppe verfolgt. Dort erscheinen mathematische Theorien als Untersuchungen von Strukturen, die auf geeigneten Grundmengen definiert werden (Nicolas Bourbaki: </w:t>
      </w:r>
      <w:r w:rsidRPr="00FB58CE">
        <w:rPr>
          <w:rFonts w:ascii="Times New Roman" w:hAnsi="Times New Roman" w:cs="Times New Roman"/>
          <w:bCs w:val="0"/>
          <w:i/>
          <w:iCs/>
        </w:rPr>
        <w:t>Theory of Sets</w:t>
      </w:r>
      <w:r w:rsidRPr="00FB58CE">
        <w:rPr>
          <w:rFonts w:ascii="Times New Roman" w:hAnsi="Times New Roman" w:cs="Times New Roman"/>
          <w:bCs w:val="0"/>
        </w:rPr>
        <w:t xml:space="preserve">. 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1954–1957)[59]. Mengen bilden in diesem Ansatz den Träger, während zusätzliche Relationen, Operationen oder ausgezeichnete Teilmengen die jeweilige mathematische Struktur bestimmen.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Für die mathematische Modellbildung liegt die Stärke dieses Vorgehens in seiner Allgemeinheit. Sobald ein Gegenstandsbereich als Menge von Elementen formalisiert wurde, können darauf weitere Strukturen definiert und mit bereits entwickelten mathematischen Theorien untersucht werden. Dabei kann dieselbe abstrakte Theorie auf inhaltlich sehr verschiedene Bereiche angewendet werden. Eine Menge kann physikalische Zustände, Zeitpunkte, Messwerte, Personen, Informationen oder mögliche Handlungen enthalten. Die mathematische Behandlung ist zunächst unabhängig davon, welche Bedeutung den Elementen außerhalb des Modells zukommt.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diese Abstraktionsleistung bildet jedoch zugleich eine Grenze. Die Mengenlehre setzt voraus, dass Elemente als voneinander unterscheidbare Einheiten behandelt und ihre Zugehörigkeiten zu Mengen bestimmt werden können. Sie beschreibt, welche Elemente einer Menge angehören, aber nicht, durch welchen funktionalen Prozess diese Elemente voneinander unterscheidbar geworden sind. Ebenso wenig erklärt sie, weshalb gerade eine bestimmte Menge als Träger eines Modells gewählt wird oder wie sich die Abgrenzung zwischen einem Element und seiner Umgebung herausbildet.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Grenze ist keine Schwäche der Mengenlehre. Sie folgt aus ihrer Aufgabe. Die axiomatische Mengenlehre soll widerspruchsarme Bedingungen für die Existenz und Konstruktion mathematischer Mengen bereitstellen. Sie ist nicht als Theorie der empirischen, physikalischen oder funktionalen Entstehung ihrer Elemente konzipiert. Für meine weitere Untersuchung ist diese Unterscheidung wesentlich. Ich kann Mengen als formale Träger verwenden, darf ihre Elemente und deren Abgrenzbarkeit jedoch nicht ohne zusätzliche Begründung mit ontologisch oder funktional ursprünglichen Einheiten gleichsetzen.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ergibt sich aus der Extensionalität. Zwei Mengen mit denselben Elementen sind mengentheoretisch identisch, selbst wenn ihre Elemente in unterschiedlichen Prozessen entstanden, unterschiedlich angeordnet oder funktional verschieden wirksam sind. Solche Unterschiede können erst durch zusätzliche Strukturen beschrieben werden. Eine Menge allein enthält weder eine Richtung noch eine zeitliche Folge, eine Kausalität, eine Gewichtung oder eine funktionale Abhängigkeit zwischen ihren Elementen. All diese Eigenschaften müssen durch Relationen, Funktionen, Operationen oder weitere ausgezeichnete Strukturen ergänzt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erste mathematische Konsequenz. Mengen stellen eine unverzichtbare Grundlage moderner Modellbildung dar, weil sie Gegenstandsbereiche formal abgrenzen und als Träger weiterführender Strukturen verfügbar machen. Sie erklären jedoch weder die Entstehung der Elemente noch die Beziehungen zwischen ihnen. Sobald ich nicht nur wissen möchte, welche mathematischen Einheiten zu einem Bereich gehören, sondern wie diese Einheiten miteinander verbunden sind, muss die bloße Elementbeziehung erweitert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an diesem Punkt setzt der folgende Abschnitt an. Nachdem mit Mengen die Träger mathematischer Modelle bereitgestellt sind, untersuche ich in Abschnitt 3.2.2 Relationen als mathematische Beschreibung struktureller Zusammenhänge. Erst durch sie kann formal erfasst werden, welche Elemente miteinander in Verbindung stehen, welche Ordnungen zwischen ihnen bestehen und unter welchen Bedingungen aus einer Menge eine gegliederte mathematische Struktur hervorgeht.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lastRenderedPageBreak/>
        <w:t>[53]</w:t>
      </w:r>
      <w:r w:rsidRPr="00FB58CE">
        <w:rPr>
          <w:rFonts w:ascii="Times New Roman" w:hAnsi="Times New Roman" w:cs="Times New Roman"/>
          <w:bCs w:val="0"/>
        </w:rPr>
        <w:t xml:space="preserve"> Cantor, Georg: „Beiträge zur Begründung der transfiniten Mengenlehre“.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Mathematische Annalen</w:t>
      </w:r>
      <w:r w:rsidRPr="00FB58CE">
        <w:rPr>
          <w:rFonts w:ascii="Times New Roman" w:hAnsi="Times New Roman" w:cs="Times New Roman"/>
          <w:bCs w:val="0"/>
          <w:lang w:val="en-US"/>
        </w:rPr>
        <w:t>, Band 46, 1895, S. 481–512; Band 49, 1897, S. 207–246.</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[54]</w:t>
      </w:r>
      <w:r w:rsidRPr="00FB58CE">
        <w:rPr>
          <w:rFonts w:ascii="Times New Roman" w:hAnsi="Times New Roman" w:cs="Times New Roman"/>
          <w:bCs w:val="0"/>
          <w:lang w:val="en-US"/>
        </w:rPr>
        <w:t xml:space="preserve"> Russell, Bertrand: </w:t>
      </w:r>
      <w:r w:rsidRPr="00FB58CE">
        <w:rPr>
          <w:rFonts w:ascii="Times New Roman" w:hAnsi="Times New Roman" w:cs="Times New Roman"/>
          <w:bCs w:val="0"/>
          <w:i/>
          <w:iCs/>
          <w:lang w:val="en-US"/>
        </w:rPr>
        <w:t>The Principles of Mathematics</w:t>
      </w:r>
      <w:r w:rsidRPr="00FB58CE">
        <w:rPr>
          <w:rFonts w:ascii="Times New Roman" w:hAnsi="Times New Roman" w:cs="Times New Roman"/>
          <w:bCs w:val="0"/>
          <w:lang w:val="en-US"/>
        </w:rPr>
        <w:t xml:space="preserve">. </w:t>
      </w:r>
      <w:r w:rsidRPr="00FB58CE">
        <w:rPr>
          <w:rFonts w:ascii="Times New Roman" w:hAnsi="Times New Roman" w:cs="Times New Roman"/>
          <w:bCs w:val="0"/>
        </w:rPr>
        <w:t>Cambridge: Cambridge University Press, 1903.</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[55]</w:t>
      </w:r>
      <w:r w:rsidRPr="00FB58CE">
        <w:rPr>
          <w:rFonts w:ascii="Times New Roman" w:hAnsi="Times New Roman" w:cs="Times New Roman"/>
          <w:bCs w:val="0"/>
        </w:rPr>
        <w:t xml:space="preserve"> Zermelo, Ernst: „Untersuchungen über die Grundlagen der Mengenlehre I“. In: </w:t>
      </w:r>
      <w:r w:rsidRPr="00FB58CE">
        <w:rPr>
          <w:rFonts w:ascii="Times New Roman" w:hAnsi="Times New Roman" w:cs="Times New Roman"/>
          <w:bCs w:val="0"/>
          <w:i/>
          <w:iCs/>
        </w:rPr>
        <w:t>Mathematische Annalen</w:t>
      </w:r>
      <w:r w:rsidRPr="00FB58CE">
        <w:rPr>
          <w:rFonts w:ascii="Times New Roman" w:hAnsi="Times New Roman" w:cs="Times New Roman"/>
          <w:bCs w:val="0"/>
        </w:rPr>
        <w:t>, Band 65, 1908, S. 261–281.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[56]</w:t>
      </w:r>
      <w:r w:rsidRPr="00FB58CE">
        <w:rPr>
          <w:rFonts w:ascii="Times New Roman" w:hAnsi="Times New Roman" w:cs="Times New Roman"/>
          <w:bCs w:val="0"/>
        </w:rPr>
        <w:t xml:space="preserve"> Fraenkel, Abraham A.: „Zu den Grundlagen der Cantor-Zermeloschen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Band 86, 1922, S. 230–237.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[57]</w:t>
      </w:r>
      <w:r w:rsidRPr="00FB58CE">
        <w:rPr>
          <w:rFonts w:ascii="Times New Roman" w:hAnsi="Times New Roman" w:cs="Times New Roman"/>
          <w:bCs w:val="0"/>
        </w:rPr>
        <w:t xml:space="preserve"> Skolem, Thoralf: „Einige Bemerkungen zur axiomatischen Begründung der Mengenlehre“. In: </w:t>
      </w:r>
      <w:r w:rsidRPr="00FB58CE">
        <w:rPr>
          <w:rFonts w:ascii="Times New Roman" w:hAnsi="Times New Roman" w:cs="Times New Roman"/>
          <w:bCs w:val="0"/>
          <w:i/>
          <w:iCs/>
        </w:rPr>
        <w:t>Matematikerkongressen i Helsingfors den 4–7 Juli 1922, Den femte skandinaviska matematikerkongressen</w:t>
      </w:r>
      <w:r w:rsidRPr="00FB58CE">
        <w:rPr>
          <w:rFonts w:ascii="Times New Roman" w:hAnsi="Times New Roman" w:cs="Times New Roman"/>
          <w:bCs w:val="0"/>
        </w:rPr>
        <w:t>, Helsinki 1923, S. 217–232.</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t>[58]</w:t>
      </w:r>
      <w:r w:rsidRPr="00FB58CE">
        <w:rPr>
          <w:rFonts w:ascii="Times New Roman" w:hAnsi="Times New Roman" w:cs="Times New Roman"/>
          <w:bCs w:val="0"/>
        </w:rPr>
        <w:t xml:space="preserve"> Kuratowski, Kazimierz: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161–171.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[59]</w:t>
      </w:r>
      <w:r w:rsidRPr="00FB58CE">
        <w:rPr>
          <w:rFonts w:ascii="Times New Roman" w:hAnsi="Times New Roman" w:cs="Times New Roman"/>
          <w:bCs w:val="0"/>
          <w:lang w:val="en-US"/>
        </w:rPr>
        <w:t xml:space="preserve"> Bourbaki, Nicolas: </w:t>
      </w:r>
      <w:r w:rsidRPr="00FB58CE">
        <w:rPr>
          <w:rFonts w:ascii="Times New Roman" w:hAnsi="Times New Roman" w:cs="Times New Roman"/>
          <w:bCs w:val="0"/>
          <w:i/>
          <w:iCs/>
          <w:lang w:val="en-US"/>
        </w:rPr>
        <w:t>Theory of Sets</w:t>
      </w:r>
      <w:r w:rsidRPr="00FB58CE">
        <w:rPr>
          <w:rFonts w:ascii="Times New Roman" w:hAnsi="Times New Roman" w:cs="Times New Roman"/>
          <w:bCs w:val="0"/>
          <w:lang w:val="en-US"/>
        </w:rPr>
        <w:t xml:space="preserve">. </w:t>
      </w:r>
      <w:r w:rsidRPr="00FB58CE">
        <w:rPr>
          <w:rFonts w:ascii="Times New Roman" w:hAnsi="Times New Roman" w:cs="Times New Roman"/>
          <w:bCs w:val="0"/>
        </w:rPr>
        <w:t xml:space="preserve">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1954–1957.</w:t>
      </w:r>
    </w:p>
    <w:p w:rsidR="00FB58CE" w:rsidRPr="00FB58CE" w:rsidRDefault="00FB58CE" w:rsidP="00FB58CE">
      <w:pPr>
        <w:spacing w:before="100" w:beforeAutospacing="1" w:after="100" w:afterAutospacing="1"/>
        <w:outlineLvl w:val="1"/>
        <w:rPr>
          <w:rFonts w:ascii="Times New Roman" w:hAnsi="Times New Roman" w:cs="Times New Roman"/>
          <w:b/>
          <w:sz w:val="36"/>
          <w:szCs w:val="36"/>
        </w:rPr>
      </w:pPr>
      <w:r w:rsidRPr="00FB58CE">
        <w:rPr>
          <w:rFonts w:ascii="Times New Roman" w:hAnsi="Times New Roman" w:cs="Times New Roman"/>
          <w:b/>
          <w:sz w:val="36"/>
          <w:szCs w:val="36"/>
        </w:rPr>
        <w:t>3.2.2 Relationen als Beschreibung mathematischer Zusammenhänge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Menge steht zunächst ein formaler Träger bereit. Ihre Elemente können unterschieden, zusammengefasst und über Teilmengen zu weiteren Strukturebenen verdichtet werden. Solange ich jedoch ausschließlich angebe, welche Elemente zu einer Menge gehören, bleibt offen, ob und in welcher Weise diese Elemente miteinander verbunden sind. Eine Menge beschreibt einen Gegenstandsbereich, aber noch keine Ordnung, Nachbarschaft, Abhängigkeit, Ähnlichkeit oder zeitliche Folge innerhalb dieses Bereichs. Um solche Zusammenhänge mathematisch erfassen zu können, benötige ich Relationen.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Dieser Übergang ist für den Aufbau mathematischer Modelle grundlegend. Erst eine Relation hebt bestimmte Verbindungen aus der Gesamtheit aller denkbaren Verbindungen hervor. Sie legt fest, welche Elemente unter einer vorgegebenen Bedingung miteinander in Beziehung stehen und welche nicht. Dadurch wird aus einem bloßen Nebeneinander unterscheidbarer Elemente eine gegliederte Struktur. Die Relation fügt der Menge keine neuen Elemente hinzu. Sie verändert jedoch die mathematisch beschreibbare Organisation des Gegenstandsbereichs.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mathematische Untersuchung von Relationen entwickelte sich zunächst eng mit der symbolischen Logik. Charles Sanders Peirce erweiterte die Boolesche Logik um einen Kalkül relativer Terme und schuf damit eine wichtige Grundlage der späteren Relationslogik (Charles Sanders Peirce: „Description of a Notation for the Logic of Relatives, Resulting from an Amplification of the Conceptions of Boole’s Calculus of Logic“.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xml:space="preserve">, New Series, Band 9, 1870, S. 317–378)[73]. </w:t>
      </w:r>
      <w:r w:rsidRPr="00FB58CE">
        <w:rPr>
          <w:rFonts w:ascii="Times New Roman" w:hAnsi="Times New Roman" w:cs="Times New Roman"/>
          <w:bCs w:val="0"/>
        </w:rPr>
        <w:t xml:space="preserve">Ernst Schröder führte diesen Ansatz in seiner mehrbändigen Algebra der Logik weiter und untersuchte Relationen als Gegenstände algebraischer Operationen (Ernst Schröder: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insbesondere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xml:space="preserve">. Leipzig: B. G. Teubner, 1895)[74]. Alfred Tarski gab dem Relationskalkül schließlich eine </w:t>
      </w:r>
      <w:r w:rsidRPr="00FB58CE">
        <w:rPr>
          <w:rFonts w:ascii="Times New Roman" w:hAnsi="Times New Roman" w:cs="Times New Roman"/>
          <w:bCs w:val="0"/>
        </w:rPr>
        <w:lastRenderedPageBreak/>
        <w:t xml:space="preserve">moderne axiomatische und algebraische Form, indem er Relationen mit Operationen wie Vereinigung, Komplement, Konversion und relationaler Komposition verband (Alfred Tarski: „On the Calculus of Relations“. In: </w:t>
      </w:r>
      <w:r w:rsidRPr="00FB58CE">
        <w:rPr>
          <w:rFonts w:ascii="Times New Roman" w:hAnsi="Times New Roman" w:cs="Times New Roman"/>
          <w:bCs w:val="0"/>
          <w:i/>
          <w:iCs/>
        </w:rPr>
        <w:t>The Journal of Symbolic Logic</w:t>
      </w:r>
      <w:r w:rsidRPr="00FB58CE">
        <w:rPr>
          <w:rFonts w:ascii="Times New Roman" w:hAnsi="Times New Roman" w:cs="Times New Roman"/>
          <w:bCs w:val="0"/>
        </w:rPr>
        <w:t xml:space="preserve">, Band 6, Nr. 3, 1941, S. 73–89)[75].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meine Untersuchung ist entscheidend, dass Relationen sowohl logisch als auch mengentheoretisch interpretiert werden können. Logisch beschreibt eine Relation eine Aussageform, deren Wahrheitswert von mehreren Argumenten abhängt. Mengentheoretisch wird dieselbe Struktur als Menge geordneter Tupel dargestellt. Die im vorherigen Abschnitt eingeführten kartesischen Produkte ermöglichen damit eine präzise formale Definition.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3.2.4 – Binäre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binäre Relation RRR zwischen den Mengen AAA und BBB ist eine Teilmenge ihres kartesischen Produkts: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A×B.(3.159)R\subseteq A\times B. \tag{3.159}R</w:t>
      </w:r>
      <w:r w:rsidRPr="00FB58CE">
        <w:rPr>
          <w:rFonts w:ascii="Cambria Math" w:hAnsi="Cambria Math" w:cs="Cambria Math"/>
          <w:bCs w:val="0"/>
          <w:lang w:val="en-US"/>
        </w:rPr>
        <w:t>⊆</w:t>
      </w:r>
      <w:r w:rsidRPr="00FB58CE">
        <w:rPr>
          <w:rFonts w:ascii="Times New Roman" w:hAnsi="Times New Roman" w:cs="Times New Roman"/>
          <w:bCs w:val="0"/>
          <w:lang w:val="en-US"/>
        </w:rPr>
        <w:t xml:space="preserve">A×B.(3.159) </w:t>
      </w:r>
    </w:p>
    <w:p w:rsidR="00CF5192"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Courier New" w:hAnsi="Courier New" w:cs="Courier New"/>
          <w:bCs w:val="0"/>
          <w:sz w:val="20"/>
          <w:szCs w:val="20"/>
          <w:lang w:val="en-US"/>
        </w:rPr>
        <w:t>R\subseteq A\times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b</w:t>
      </w:r>
      <w:r w:rsidRPr="00FB58CE">
        <w:rPr>
          <w:rFonts w:ascii="Cambria Math" w:hAnsi="Cambria Math" w:cs="Cambria Math"/>
          <w:bCs w:val="0"/>
        </w:rPr>
        <w:t>∈</w:t>
      </w:r>
      <w:r w:rsidRPr="00FB58CE">
        <w:rPr>
          <w:rFonts w:ascii="Times New Roman" w:hAnsi="Times New Roman" w:cs="Times New Roman"/>
          <w:bCs w:val="0"/>
        </w:rPr>
        <w:t>Bb\in Bb</w:t>
      </w:r>
      <w:r w:rsidRPr="00FB58CE">
        <w:rPr>
          <w:rFonts w:ascii="Cambria Math" w:hAnsi="Cambria Math" w:cs="Cambria Math"/>
          <w:bCs w:val="0"/>
        </w:rPr>
        <w:t>∈</w:t>
      </w:r>
      <w:r w:rsidRPr="00FB58CE">
        <w:rPr>
          <w:rFonts w:ascii="Times New Roman" w:hAnsi="Times New Roman" w:cs="Times New Roman"/>
          <w:bCs w:val="0"/>
        </w:rPr>
        <w:t>B schreibe ich</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aRb  </w:t>
      </w:r>
      <w:r w:rsidRPr="00FB58CE">
        <w:rPr>
          <w:rFonts w:ascii="Cambria Math" w:hAnsi="Cambria Math" w:cs="Cambria Math"/>
          <w:bCs w:val="0"/>
        </w:rPr>
        <w:t>⟺</w:t>
      </w:r>
      <w:r w:rsidRPr="00FB58CE">
        <w:rPr>
          <w:rFonts w:ascii="Times New Roman" w:hAnsi="Times New Roman" w:cs="Times New Roman"/>
          <w:bCs w:val="0"/>
          <w:lang w:val="en-US"/>
        </w:rPr>
        <w:t>  (a,b)</w:t>
      </w:r>
      <w:r w:rsidRPr="00FB58CE">
        <w:rPr>
          <w:rFonts w:ascii="Cambria Math" w:hAnsi="Cambria Math" w:cs="Cambria Math"/>
          <w:bCs w:val="0"/>
          <w:lang w:val="en-US"/>
        </w:rPr>
        <w:t>∈</w:t>
      </w:r>
      <w:r w:rsidRPr="00FB58CE">
        <w:rPr>
          <w:rFonts w:ascii="Times New Roman" w:hAnsi="Times New Roman" w:cs="Times New Roman"/>
          <w:bCs w:val="0"/>
          <w:lang w:val="en-US"/>
        </w:rPr>
        <w:t>R.(3.160)aRb \iff (a,b)\in R. \tag{3.160}aRb</w:t>
      </w:r>
      <w:r w:rsidRPr="00FB58CE">
        <w:rPr>
          <w:rFonts w:ascii="Cambria Math" w:hAnsi="Cambria Math" w:cs="Cambria Math"/>
          <w:bCs w:val="0"/>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R.(3.160)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aRb \iff (a,b)\in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Schreibweise aRbaRbaRb bringt zum Ausdruck, dass das Element aaa in der durch RRR festgelegten Beziehung zum Element bbb steht. Die Relation selbst enthält somit genau diejenigen geordneten Paare, für welche die entsprechende Aussage gelten soll. Alle anderen Paare aus A×BA\times BA×B gehören nicht zu RRR.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Definition trennt drei Ebenen voneinander. Die Mengen AAA und BBB stellen die Trägerbereiche bereit. Das kartesische Produkt A×BA\times BA×B beschreibt sämtliche formal möglichen Paarungen ihrer Elemente. Die Relation RRR wählt daraus diejenigen Paarungen aus, die innerhalb des betrachteten Modells als tatsächlich bestehende Beziehungen gelten. Damit ist jede binäre Relation zugleich eine Selektion aus einem zuvor konstruierten Möglichkeitsraum.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Sind Ausgangs- und Zielmenge identisch, liegt eine Relation auf einer Menge vor.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3.2.5 – Relation auf einer 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binäre Relation RRR auf einer Menge MMM ist eine Teilmenge von M×MM\times MM×M:</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M×M.(3.161)R\subseteq M\times M. \tag{3.161}R</w:t>
      </w:r>
      <w:r w:rsidRPr="00FB58CE">
        <w:rPr>
          <w:rFonts w:ascii="Cambria Math" w:hAnsi="Cambria Math" w:cs="Cambria Math"/>
          <w:bCs w:val="0"/>
          <w:lang w:val="en-US"/>
        </w:rPr>
        <w:t>⊆</w:t>
      </w:r>
      <w:r w:rsidRPr="00FB58CE">
        <w:rPr>
          <w:rFonts w:ascii="Times New Roman" w:hAnsi="Times New Roman" w:cs="Times New Roman"/>
          <w:bCs w:val="0"/>
          <w:lang w:val="en-US"/>
        </w:rPr>
        <w:t xml:space="preserve">M×M.(3.161)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R\subseteq M\times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Relationen auf einer Menge können sehr unterschiedliche Strukturen ausdrücken. Gleichheit, Verschiedenheit, zeitliches Frühersein, räumliche Nachbarschaft, Teilbarkeit, Ähnlichkeit oder funktionale Abhängigkeit lassen sich jeweils als Relationen auffassen, sofern festgelegt werden kann, welche geordneten Paare die betreffende Bedingung erfüllen. Die formale Gestalt einer Relation allein bestimmt dabei noch nicht ihre inhaltliche Bedeutung. Diese ergibt sich aus der Interpretation des Trägerbereichs und der Auswahlbedingung für die enthaltenen Paare.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kann auch mehr als zwei Argumentstellen besitzen. Der binäre Fall ist mathematisch besonders wichtig, weil viele grundlegende Strukturen durch Beziehungen zwischen jeweils zwei Elementen beschrieben werden können. Für vollständige Modellierungen müssen jedoch auch höherstellige Relationen berücksichtigt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3.2.6 – nnn-stellige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Mengen A1,…,AnA_1,\ldots,A_nA1​,…,An​ ist eine nnn-stellige Relation RRR eine Teilmenge des kartesischen Produkts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×An.(3.162)R\subseteq A_1\times A_2\times\cdots\times A_n. \tag{3.162}R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 xml:space="preserve">×An​.(3.162)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R\subseteq A_1\times A_2\times\cdots\times A_n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 Element der Relation besitzt damit die Form</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(a1,a2,…,an)</w:t>
      </w:r>
      <w:r w:rsidRPr="00FB58CE">
        <w:rPr>
          <w:rFonts w:ascii="Cambria Math" w:hAnsi="Cambria Math" w:cs="Cambria Math"/>
          <w:bCs w:val="0"/>
          <w:lang w:val="en-US"/>
        </w:rPr>
        <w:t>∈</w:t>
      </w:r>
      <w:r w:rsidRPr="00FB58CE">
        <w:rPr>
          <w:rFonts w:ascii="Times New Roman" w:hAnsi="Times New Roman" w:cs="Times New Roman"/>
          <w:bCs w:val="0"/>
          <w:lang w:val="en-US"/>
        </w:rPr>
        <w:t>R.(3.163)(a_1,a_2,\ldots,a_n)\in R. \tag{3.163}(a1​,a2​,…,an​)</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R.(3.163)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(a_1,a_2,\ldots,a_n)\in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Höherstellige Relationen erlauben es, Zusammenhänge zu beschreiben, die nicht ohne Informationsverlust in einzelne binäre Beziehungen zerlegt werden können. Eine Aussage wie „Person ppp übermittelt Information iii zum Zeitpunkt ttt an Person qqq“ enthält beispielsweise mehrere argumentativ unterschiedliche Positionen. Werden diese Positionen getrennt betrachtet, kann die Zusammengehörigkeit des gesamten Vorgangs verloren gehen. Die nnn-stellige Relation bewahrt dagegen das vollständige Tupel als eine gemeinsame relationale Einheit.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Bereits bei binären Relationen lassen sich bestimmte Eigenschaften unterscheiden, die für den Charakter der entstehenden Struktur entscheidend sind. Diese Eigenschaften beziehen sich nicht auf einzelne Elemente, sondern auf die systematische Form, in der die Relation ihre Elemente miteinander verbindet.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3.2.7 – Reflexivität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reflexiv, wenn jedes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M:  xRx.(3.164)\forall x\in M:\;xRx. \tag{3.164}</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\forall x\in M:\;xRx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Sie heißt irreflexiv, wenn kein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M:  ¬(xRx).(3.165)\forall x\in M:\;\neg(xRx). \tag{3.165}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\forall x\in M:\;\neg(xRx)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Reflexivität bedeutet nicht, dass alle Elemente miteinander verbunden sind. Sie fordert ausschließlich, dass die Diagonale des kartesischen Produkts vollständig in der Relation enthalten ist. Mit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ΔM={(x,x)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M}(3.166)\Delta_M=\{(x,x)\mid x\in M\} \tag{3.166}ΔM​={(x,x)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M}(3.166)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\Delta_M=\{(x,x)\mid x\in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lässt sich Reflexivität daher äquivalent durch</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R(3.167)\Delta_M\subseteq R \tag{3.167}ΔM​</w:t>
      </w:r>
      <w:r w:rsidRPr="00FB58CE">
        <w:rPr>
          <w:rFonts w:ascii="Cambria Math" w:hAnsi="Cambria Math" w:cs="Cambria Math"/>
          <w:bCs w:val="0"/>
        </w:rPr>
        <w:t>⊆</w:t>
      </w:r>
      <w:r w:rsidRPr="00FB58CE">
        <w:rPr>
          <w:rFonts w:ascii="Times New Roman" w:hAnsi="Times New Roman" w:cs="Times New Roman"/>
          <w:bCs w:val="0"/>
        </w:rPr>
        <w:t xml:space="preserve">R(3.167)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\Delta_M\subseteq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ausdrücken.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3.2.8 – Symmetrie und Antisymmetrie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symmetrisch, wenn aus xRyxRyxRy stets yRxyRxyRx folgt:</w:t>
      </w:r>
    </w:p>
    <w:p w:rsidR="00FB58CE" w:rsidRPr="00FB58CE" w:rsidRDefault="00FB58CE" w:rsidP="00FB58CE">
      <w:pPr>
        <w:spacing w:after="0"/>
        <w:rPr>
          <w:rFonts w:ascii="Times New Roman" w:hAnsi="Times New Roman" w:cs="Times New Roman"/>
          <w:bCs w:val="0"/>
          <w:lang w:val="en-US"/>
        </w:rPr>
      </w:pPr>
      <w:r w:rsidRPr="00FB58CE">
        <w:rPr>
          <w:rFonts w:ascii="Cambria Math" w:hAnsi="Cambria Math" w:cs="Cambria Math"/>
          <w:bCs w:val="0"/>
          <w:lang w:val="en-US"/>
        </w:rPr>
        <w:t>∀</w:t>
      </w:r>
      <w:r w:rsidRPr="00FB58CE">
        <w:rPr>
          <w:rFonts w:ascii="Times New Roman" w:hAnsi="Times New Roman" w:cs="Times New Roman"/>
          <w:bCs w:val="0"/>
          <w:lang w:val="en-US"/>
        </w:rPr>
        <w:t>x,y</w:t>
      </w:r>
      <w:r w:rsidRPr="00FB58CE">
        <w:rPr>
          <w:rFonts w:ascii="Cambria Math" w:hAnsi="Cambria Math" w:cs="Cambria Math"/>
          <w:bCs w:val="0"/>
          <w:lang w:val="en-US"/>
        </w:rPr>
        <w:t>∈</w:t>
      </w:r>
      <w:r w:rsidRPr="00FB58CE">
        <w:rPr>
          <w:rFonts w:ascii="Times New Roman" w:hAnsi="Times New Roman" w:cs="Times New Roman"/>
          <w:bCs w:val="0"/>
          <w:lang w:val="en-US"/>
        </w:rPr>
        <w:t>M:  xRy→yRx.(3.168)\forall x,y\in M:\;xRy\rightarrow yRx. \tag{3.168}</w:t>
      </w:r>
      <w:r w:rsidRPr="00FB58CE">
        <w:rPr>
          <w:rFonts w:ascii="Cambria Math" w:hAnsi="Cambria Math" w:cs="Cambria Math"/>
          <w:bCs w:val="0"/>
          <w:lang w:val="en-US"/>
        </w:rPr>
        <w:t>∀</w:t>
      </w:r>
      <w:r w:rsidRPr="00FB58CE">
        <w:rPr>
          <w:rFonts w:ascii="Times New Roman" w:hAnsi="Times New Roman" w:cs="Times New Roman"/>
          <w:bCs w:val="0"/>
          <w:lang w:val="en-US"/>
        </w:rPr>
        <w:t>x,y</w:t>
      </w:r>
      <w:r w:rsidRPr="00FB58CE">
        <w:rPr>
          <w:rFonts w:ascii="Cambria Math" w:hAnsi="Cambria Math" w:cs="Cambria Math"/>
          <w:bCs w:val="0"/>
          <w:lang w:val="en-US"/>
        </w:rPr>
        <w:t>∈</w:t>
      </w:r>
      <w:r w:rsidRPr="00FB58CE">
        <w:rPr>
          <w:rFonts w:ascii="Times New Roman" w:hAnsi="Times New Roman" w:cs="Times New Roman"/>
          <w:bCs w:val="0"/>
          <w:lang w:val="en-US"/>
        </w:rPr>
        <w:t xml:space="preserve">M:xRy→yRx.(3.168)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\forall x,y\in M:\;xRy\rightarrow yRx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Sie heißt antisymmetrisch, wenn eine wechselseitige Relation nur für identische Elemente möglich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yRx)→x=y.(3.169)\forall x,y\in M:\;(xRy\land yRx)\rightarrow x=y. \tag{3.169}</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yRx)→x=y.(3.169)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\forall x,y\in M:\;(xRy\land yRx)\rightarrow x=y</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Symmetrie und Antisymmetrie sind keine logischen Gegensätze. Eine Relation kann sowohl symmetrisch als auch antisymmetrisch sein, sofern wechselseitige Beziehungen ausschließlich auf der Diagonale auftreten. Die Gleichheitsrelation ist hierfür das grundlegende Beispiel. Ebenso kann eine Relation weder symmetrisch noch antisymmetrisch sein.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Diese Unterscheidung ist für die Interpretation mathematischer Zusammenhänge wesentlich. Symmetrische Relationen behandeln die beiden verbundenen Elemente hinsichtlich der Relation gleich. Eine Ähnlichkeitsbeziehung kann beispielsweise symmetrisch sein: Ist xxx ähnlich zu yyy, gilt dies auch umgekehrt. Eine gerichtete Abhängigkeit ist dagegen im </w:t>
      </w:r>
      <w:r w:rsidRPr="00FB58CE">
        <w:rPr>
          <w:rFonts w:ascii="Times New Roman" w:hAnsi="Times New Roman" w:cs="Times New Roman"/>
          <w:bCs w:val="0"/>
        </w:rPr>
        <w:lastRenderedPageBreak/>
        <w:t>Allgemeinen nicht symmetrisch. Dass xxx von yyy abhängt, bedeutet nicht automatisch, dass yyy in gleicher Weise von xxx abhängt.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3.2.9 – Transitivität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transitiv, wenn aus xRyxRyxRy und yRzyRzyRz stets xRzxRzxRz folgt: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yRz)→xRz.(3.170)\forall x,y,z\in M:\;(xRy\land yRz)\rightarrow xRz. \tag{3.170}</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yRz)→xRz.(3.170)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\forall x,y,z\in M:\;(xRy\land yRz)\rightarrow xRz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Transitivität erlaubt es, relationale Verbindungen über Zwischenelemente hinweg fortzusetzen. Sie bildet damit die Grundlage zahlreicher Ordnungs- und Äquivalenzstrukturen. Sie darf jedoch nicht als allgemeine Eigenschaft von Beziehungen vorausgesetzt werden. Räumliche Nachbarschaft, unmittelbare Kommunikation oder Ähnlichkeit oberhalb eines Schwellenwerts sind häufig nicht transitiv. Aus der Beziehung zwischen xxx und yyy sowie zwischen yyy und zzz folgt in solchen Fällen keine entsprechende Beziehung zwischen xxx und zzz.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 verschiedenen Kombinationen dieser Eigenschaften entstehen besonders bedeutsame Relationsklassen. Eine Äquivalenzrelation fasst Elemente zu Klassen zusammen, innerhalb derer sie hinsichtlich eines gewählten Kriteriums als gleichartig behandelt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3.2.10 – Äquivalenzrelation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auf MMM heißt Äquivalenzrelation, wenn sie reflexiv, 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z.(3.171)\begin{aligned} &amp;\forall x\in M:\;x\sim x,\\ &amp;\forall x,y\in M:\;x\sim y\rightarrow y\sim x,\\ &amp;\forall x,y,z\in M:\;(x\sim y\land y\sim z)\rightarrow x\sim z. \end{aligned} \tag{3.171}​</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\begin{aligned}&amp;\forall x\in M:\;x\sim x,\\&amp;\forall x,y\in M:\;x\sim y\rightarrow y\sim x,\\&amp;\forall x,y,z\in M:\;(x\sim y\land y\sim z)\rightarrow x\sim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 jedem Element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gehört die Äquivalenzklasse</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x}.(3.172)[x]_{\sim}=\{y\in M\mid y\sim x\}. \tag{3.172}[x]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 xml:space="preserve">x}.(3.172)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[x]_{\sim}=\{y\in M\mid y\sim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Menge aller Äquivalenzklassen bildet die Quotientenmenge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M}.(3.173)M/{\sim}=\{[x]_{\sim}\mid x\in M\}. \tag{3.173}M/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M}.(3.173)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Word-LaTeX: </w:t>
      </w:r>
      <w:r w:rsidRPr="00FB58CE">
        <w:rPr>
          <w:rFonts w:ascii="Courier New" w:hAnsi="Courier New" w:cs="Courier New"/>
          <w:bCs w:val="0"/>
          <w:sz w:val="20"/>
          <w:szCs w:val="20"/>
        </w:rPr>
        <w:t>M/{\sim}=\{[x]_{\sim}\mid x\in M\}</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3.2.2 – Äquivalenzrelationen und Partitionen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Jede Äquivalenzrelation auf einer Menge MMM erzeugt eine Partition von MMM. Umgekehrt bestimmt jede Partition von MMM eine Äquivalenzrelation.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Sei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eine Äquivalenzrelation auf MMM. Wegen der Reflexivität gilt für jedes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dass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x\in[x]_{\sim}x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Die Vereinigung aller Äquivalenzklassen enthält daher sämtliche Elemente von MMM. Schneiden sich zwei Äquivalenzklassen [x]</w:t>
      </w:r>
      <w:r w:rsidRPr="00FB58CE">
        <w:rPr>
          <w:rFonts w:ascii="Cambria Math" w:hAnsi="Cambria Math" w:cs="Cambria Math"/>
          <w:bCs w:val="0"/>
        </w:rPr>
        <w:t>∼</w:t>
      </w:r>
      <w:r w:rsidRPr="00FB58CE">
        <w:rPr>
          <w:rFonts w:ascii="Times New Roman" w:hAnsi="Times New Roman" w:cs="Times New Roman"/>
          <w:bCs w:val="0"/>
        </w:rPr>
        <w:t>[x]_{\sim}[x]</w:t>
      </w:r>
      <w:r w:rsidRPr="00FB58CE">
        <w:rPr>
          <w:rFonts w:ascii="Cambria Math" w:hAnsi="Cambria Math" w:cs="Cambria Math"/>
          <w:bCs w:val="0"/>
        </w:rPr>
        <w:t>∼</w:t>
      </w:r>
      <w:r w:rsidRPr="00FB58CE">
        <w:rPr>
          <w:rFonts w:ascii="Times New Roman" w:hAnsi="Times New Roman" w:cs="Times New Roman"/>
          <w:bCs w:val="0"/>
        </w:rPr>
        <w:t>​ und [y]</w:t>
      </w:r>
      <w:r w:rsidRPr="00FB58CE">
        <w:rPr>
          <w:rFonts w:ascii="Cambria Math" w:hAnsi="Cambria Math" w:cs="Cambria Math"/>
          <w:bCs w:val="0"/>
        </w:rPr>
        <w:t>∼</w:t>
      </w:r>
      <w:r w:rsidRPr="00FB58CE">
        <w:rPr>
          <w:rFonts w:ascii="Times New Roman" w:hAnsi="Times New Roman" w:cs="Times New Roman"/>
          <w:bCs w:val="0"/>
        </w:rPr>
        <w:t>[y]_{\sim}[y]</w:t>
      </w:r>
      <w:r w:rsidRPr="00FB58CE">
        <w:rPr>
          <w:rFonts w:ascii="Cambria Math" w:hAnsi="Cambria Math" w:cs="Cambria Math"/>
          <w:bCs w:val="0"/>
        </w:rPr>
        <w:t>∼</w:t>
      </w:r>
      <w:r w:rsidRPr="00FB58CE">
        <w:rPr>
          <w:rFonts w:ascii="Times New Roman" w:hAnsi="Times New Roman" w:cs="Times New Roman"/>
          <w:bCs w:val="0"/>
        </w:rPr>
        <w:t>​, existiert ein Element zzz mit z</w:t>
      </w:r>
      <w:r w:rsidRPr="00FB58CE">
        <w:rPr>
          <w:rFonts w:ascii="Cambria Math" w:hAnsi="Cambria Math" w:cs="Cambria Math"/>
          <w:bCs w:val="0"/>
        </w:rPr>
        <w:t>∼</w:t>
      </w:r>
      <w:r w:rsidRPr="00FB58CE">
        <w:rPr>
          <w:rFonts w:ascii="Times New Roman" w:hAnsi="Times New Roman" w:cs="Times New Roman"/>
          <w:bCs w:val="0"/>
        </w:rPr>
        <w:t>xz\sim xz</w:t>
      </w:r>
      <w:r w:rsidRPr="00FB58CE">
        <w:rPr>
          <w:rFonts w:ascii="Cambria Math" w:hAnsi="Cambria Math" w:cs="Cambria Math"/>
          <w:bCs w:val="0"/>
        </w:rPr>
        <w:t>∼</w:t>
      </w:r>
      <w:r w:rsidRPr="00FB58CE">
        <w:rPr>
          <w:rFonts w:ascii="Times New Roman" w:hAnsi="Times New Roman" w:cs="Times New Roman"/>
          <w:bCs w:val="0"/>
        </w:rPr>
        <w:t>x und z</w:t>
      </w:r>
      <w:r w:rsidRPr="00FB58CE">
        <w:rPr>
          <w:rFonts w:ascii="Cambria Math" w:hAnsi="Cambria Math" w:cs="Cambria Math"/>
          <w:bCs w:val="0"/>
        </w:rPr>
        <w:t>∼</w:t>
      </w:r>
      <w:r w:rsidRPr="00FB58CE">
        <w:rPr>
          <w:rFonts w:ascii="Times New Roman" w:hAnsi="Times New Roman" w:cs="Times New Roman"/>
          <w:bCs w:val="0"/>
        </w:rPr>
        <w:t>yz\sim yz</w:t>
      </w:r>
      <w:r w:rsidRPr="00FB58CE">
        <w:rPr>
          <w:rFonts w:ascii="Cambria Math" w:hAnsi="Cambria Math" w:cs="Cambria Math"/>
          <w:bCs w:val="0"/>
        </w:rPr>
        <w:t>∼</w:t>
      </w:r>
      <w:r w:rsidRPr="00FB58CE">
        <w:rPr>
          <w:rFonts w:ascii="Times New Roman" w:hAnsi="Times New Roman" w:cs="Times New Roman"/>
          <w:bCs w:val="0"/>
        </w:rPr>
        <w:t>y. Aus Symmetrie und Transitivität folgt x</w:t>
      </w:r>
      <w:r w:rsidRPr="00FB58CE">
        <w:rPr>
          <w:rFonts w:ascii="Cambria Math" w:hAnsi="Cambria Math" w:cs="Cambria Math"/>
          <w:bCs w:val="0"/>
        </w:rPr>
        <w:t>∼</w:t>
      </w:r>
      <w:r w:rsidRPr="00FB58CE">
        <w:rPr>
          <w:rFonts w:ascii="Times New Roman" w:hAnsi="Times New Roman" w:cs="Times New Roman"/>
          <w:bCs w:val="0"/>
        </w:rPr>
        <w:t>yx\sim yx</w:t>
      </w:r>
      <w:r w:rsidRPr="00FB58CE">
        <w:rPr>
          <w:rFonts w:ascii="Cambria Math" w:hAnsi="Cambria Math" w:cs="Cambria Math"/>
          <w:bCs w:val="0"/>
        </w:rPr>
        <w:t>∼</w:t>
      </w:r>
      <w:r w:rsidRPr="00FB58CE">
        <w:rPr>
          <w:rFonts w:ascii="Times New Roman" w:hAnsi="Times New Roman" w:cs="Times New Roman"/>
          <w:bCs w:val="0"/>
        </w:rPr>
        <w:t>y. Damit stimmen beide Äquivalenzklassen überein. Die Äquivalenzklassen sind folglich entweder identisch oder disjunkt und bilden eine Partition von MMM.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Sei umgekehrt C\mathcal{C}C eine Partition von MMM. Ich definiere x</w:t>
      </w:r>
      <w:r w:rsidRPr="00FB58CE">
        <w:rPr>
          <w:rFonts w:ascii="Cambria Math" w:hAnsi="Cambria Math" w:cs="Cambria Math"/>
          <w:bCs w:val="0"/>
        </w:rPr>
        <w:t>∼</w:t>
      </w:r>
      <w:r w:rsidRPr="00FB58CE">
        <w:rPr>
          <w:rFonts w:ascii="Times New Roman" w:hAnsi="Times New Roman" w:cs="Times New Roman"/>
          <w:bCs w:val="0"/>
        </w:rPr>
        <w:t>Cyx\sim_{\mathcal{C}}yx</w:t>
      </w:r>
      <w:r w:rsidRPr="00FB58CE">
        <w:rPr>
          <w:rFonts w:ascii="Cambria Math" w:hAnsi="Cambria Math" w:cs="Cambria Math"/>
          <w:bCs w:val="0"/>
        </w:rPr>
        <w:t>∼</w:t>
      </w:r>
      <w:r w:rsidRPr="00FB58CE">
        <w:rPr>
          <w:rFonts w:ascii="Times New Roman" w:hAnsi="Times New Roman" w:cs="Times New Roman"/>
          <w:bCs w:val="0"/>
        </w:rPr>
        <w:t>C​y genau dann, wenn xxx und yyy demselben Block der Partition angehören: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Cy  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C:  x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C.(3.174)x\sim_{\mathcal{C}}y \iff \exists C\in\mathcal{C}:\;x\in C\land y\in C. \tag{3.174}x</w:t>
      </w:r>
      <w:r w:rsidRPr="00FB58CE">
        <w:rPr>
          <w:rFonts w:ascii="Cambria Math" w:hAnsi="Cambria Math" w:cs="Cambria Math"/>
          <w:bCs w:val="0"/>
        </w:rPr>
        <w:t>∼</w:t>
      </w:r>
      <w:r w:rsidRPr="00FB58CE">
        <w:rPr>
          <w:rFonts w:ascii="Times New Roman" w:hAnsi="Times New Roman" w:cs="Times New Roman"/>
          <w:bCs w:val="0"/>
        </w:rPr>
        <w:t>C​y</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C.(3.174)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x\sim_{\mathcal{C}}y\iff\exists C\in\mathcal{C}:\;x\in C\land y\in 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 jedes Element genau einem Block angehört, ist die Relation reflexiv. Die gemeinsame Zugehörigkeit ist symmetrisch, und aus der eindeutigen Blockzugehörigkeit folgt Transitivität. Damit ist </w:t>
      </w:r>
      <w:r w:rsidRPr="00FB58CE">
        <w:rPr>
          <w:rFonts w:ascii="Cambria Math" w:hAnsi="Cambria Math" w:cs="Cambria Math"/>
          <w:bCs w:val="0"/>
        </w:rPr>
        <w:t>∼</w:t>
      </w:r>
      <w:r w:rsidRPr="00FB58CE">
        <w:rPr>
          <w:rFonts w:ascii="Times New Roman" w:hAnsi="Times New Roman" w:cs="Times New Roman"/>
          <w:bCs w:val="0"/>
        </w:rPr>
        <w:t>C\sim_{\mathcal{C}}</w:t>
      </w:r>
      <w:r w:rsidRPr="00FB58CE">
        <w:rPr>
          <w:rFonts w:ascii="Cambria Math" w:hAnsi="Cambria Math" w:cs="Cambria Math"/>
          <w:bCs w:val="0"/>
        </w:rPr>
        <w:t>∼</w:t>
      </w:r>
      <w:r w:rsidRPr="00FB58CE">
        <w:rPr>
          <w:rFonts w:ascii="Times New Roman" w:hAnsi="Times New Roman" w:cs="Times New Roman"/>
          <w:bCs w:val="0"/>
        </w:rPr>
        <w:t>C​ eine Äquivalenzrelation.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Äquivalenzrelationen ermöglichen eine kontrollierte Abstraktion. Sie ersetzen einzelne Elemente durch Klassen von Elementen, die hinsichtlich eines festgelegten Kriteriums nicht mehr unterschieden werden. Die Quotientenbildung reduziert damit die Auflösung eines Modells. Welche Unterschiede erhalten bleiben und welche ausgeblendet werden, hängt vollständig von der gewählten Äquivalenzrelation ab.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Neben Äquivalenzen gehören Ordnungsrelationen zu den wichtigsten relationalen Strukturen.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3.2.11 – Partielle Ordnung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\preceq</w:t>
      </w:r>
      <w:r w:rsidRPr="00FB58CE">
        <w:rPr>
          <w:rFonts w:ascii="Cambria Math" w:hAnsi="Cambria Math" w:cs="Cambria Math"/>
          <w:bCs w:val="0"/>
        </w:rPr>
        <w:t>⪯</w:t>
      </w:r>
      <w:r w:rsidRPr="00FB58CE">
        <w:rPr>
          <w:rFonts w:ascii="Times New Roman" w:hAnsi="Times New Roman" w:cs="Times New Roman"/>
          <w:bCs w:val="0"/>
        </w:rPr>
        <w:t xml:space="preserve"> auf MMM heißt partielle Ordnung, wenn sie reflexiv, antisymmetrisch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z.(3.175)\begin{aligned} &amp;\forall x\in M:\;x\preceq x,\\ &amp;\forall x,y\in M:\;(x\preceq y\land y\preceq x)\rightarrow x=y,\\ &amp;\forall x,y,z\in M:\;(x\preceq y\land y\preceq z)\rightarrow x\preceq z. \end{aligned} \tag{3.175}​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lastRenderedPageBreak/>
        <w:t xml:space="preserve">Word-LaTeX: </w:t>
      </w:r>
      <w:r w:rsidRPr="00FB58CE">
        <w:rPr>
          <w:rFonts w:ascii="Courier New" w:hAnsi="Courier New" w:cs="Courier New"/>
          <w:bCs w:val="0"/>
          <w:sz w:val="20"/>
          <w:szCs w:val="20"/>
          <w:lang w:val="en-US"/>
        </w:rPr>
        <w:t>\begin{aligned}&amp;\forall x\in M:\;x\preceq x,\\&amp;\forall x,y\in M:\;(x\preceq y\land y\preceq x)\rightarrow x=y,\\&amp;\forall x,y,z\in M:\;(x\preceq y\land y\preceq z)\rightarrow x\preceq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Das Paar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)(3.176)(M,\preceq) \tag{3.176}(M,</w:t>
      </w:r>
      <w:r w:rsidRPr="00FB58CE">
        <w:rPr>
          <w:rFonts w:ascii="Cambria Math" w:hAnsi="Cambria Math" w:cs="Cambria Math"/>
          <w:bCs w:val="0"/>
        </w:rPr>
        <w:t>⪯</w:t>
      </w:r>
      <w:r w:rsidRPr="00FB58CE">
        <w:rPr>
          <w:rFonts w:ascii="Times New Roman" w:hAnsi="Times New Roman" w:cs="Times New Roman"/>
          <w:bCs w:val="0"/>
        </w:rPr>
        <w:t xml:space="preserve">)(3.176)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(M,\preceq)</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heißt partiell geordnete Menge. Die Ordnung heißt total oder linear, wenn zusätzlich je zwei Elemente vergleichbar sind:</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x.(3.177)\forall x,y\in M:\;x\preceq y\lor y\preceq x. \tag{3.177}</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x.(3.177)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\forall x,y\in M:\;x\preceq y\lor y\preceq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Partielle Ordnungen sind besonders geeignet, wenn Elemente zwar in hierarchischen oder einschließenden Beziehungen stehen, aber nicht jedes Element mit jedem anderen sinnvoll verglichen werden kann. Die Teilmengenrelation auf einer Potenzmenge ist ein typisches Beispiel. Für zwei Teilmengen AAA und BBB kann A</w:t>
      </w:r>
      <w:r w:rsidRPr="00FB58CE">
        <w:rPr>
          <w:rFonts w:ascii="Cambria Math" w:hAnsi="Cambria Math" w:cs="Cambria Math"/>
          <w:bCs w:val="0"/>
        </w:rPr>
        <w:t>⊆</w:t>
      </w:r>
      <w:r w:rsidRPr="00FB58CE">
        <w:rPr>
          <w:rFonts w:ascii="Times New Roman" w:hAnsi="Times New Roman" w:cs="Times New Roman"/>
          <w:bCs w:val="0"/>
        </w:rPr>
        <w:t>BA\subseteq BA</w:t>
      </w:r>
      <w:r w:rsidRPr="00FB58CE">
        <w:rPr>
          <w:rFonts w:ascii="Cambria Math" w:hAnsi="Cambria Math" w:cs="Cambria Math"/>
          <w:bCs w:val="0"/>
        </w:rPr>
        <w:t>⊆</w:t>
      </w:r>
      <w:r w:rsidRPr="00FB58CE">
        <w:rPr>
          <w:rFonts w:ascii="Times New Roman" w:hAnsi="Times New Roman" w:cs="Times New Roman"/>
          <w:bCs w:val="0"/>
        </w:rPr>
        <w:t>B, B</w:t>
      </w:r>
      <w:r w:rsidRPr="00FB58CE">
        <w:rPr>
          <w:rFonts w:ascii="Cambria Math" w:hAnsi="Cambria Math" w:cs="Cambria Math"/>
          <w:bCs w:val="0"/>
        </w:rPr>
        <w:t>⊆</w:t>
      </w:r>
      <w:r w:rsidRPr="00FB58CE">
        <w:rPr>
          <w:rFonts w:ascii="Times New Roman" w:hAnsi="Times New Roman" w:cs="Times New Roman"/>
          <w:bCs w:val="0"/>
        </w:rPr>
        <w:t>AB\subseteq AB</w:t>
      </w:r>
      <w:r w:rsidRPr="00FB58CE">
        <w:rPr>
          <w:rFonts w:ascii="Cambria Math" w:hAnsi="Cambria Math" w:cs="Cambria Math"/>
          <w:bCs w:val="0"/>
        </w:rPr>
        <w:t>⊆</w:t>
      </w:r>
      <w:r w:rsidRPr="00FB58CE">
        <w:rPr>
          <w:rFonts w:ascii="Times New Roman" w:hAnsi="Times New Roman" w:cs="Times New Roman"/>
          <w:bCs w:val="0"/>
        </w:rPr>
        <w:t>A oder keine der beiden Beziehungen gelten. Eine totale Ordnung würde dagegen erzwingen, dass stets eine der beiden Richtungen zutrifft.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bisher betrachteten Relationseigenschaften beschreiben statische Bedingungen. Für die weitere mathematische Entwicklung ist jedoch ebenso wichtig, dass aus Relationen neue Relationen konstruiert werden können. Zu den grundlegenden Operationen gehören Umkehrung und Komposition.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3.2.12 – Umkehrrelation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eine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ist die Umkehrrelation R−1</w:t>
      </w:r>
      <w:r w:rsidRPr="00FB58CE">
        <w:rPr>
          <w:rFonts w:ascii="Cambria Math" w:hAnsi="Cambria Math" w:cs="Cambria Math"/>
          <w:bCs w:val="0"/>
        </w:rPr>
        <w:t>⊆</w:t>
      </w:r>
      <w:r w:rsidRPr="00FB58CE">
        <w:rPr>
          <w:rFonts w:ascii="Times New Roman" w:hAnsi="Times New Roman" w:cs="Times New Roman"/>
          <w:bCs w:val="0"/>
        </w:rPr>
        <w:t>B×AR^{-1}\subseteq B\times AR−1</w:t>
      </w:r>
      <w:r w:rsidRPr="00FB58CE">
        <w:rPr>
          <w:rFonts w:ascii="Cambria Math" w:hAnsi="Cambria Math" w:cs="Cambria Math"/>
          <w:bCs w:val="0"/>
        </w:rPr>
        <w:t>⊆</w:t>
      </w:r>
      <w:r w:rsidRPr="00FB58CE">
        <w:rPr>
          <w:rFonts w:ascii="Times New Roman" w:hAnsi="Times New Roman" w:cs="Times New Roman"/>
          <w:bCs w:val="0"/>
        </w:rPr>
        <w:t>B×A definiert durch</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R−1={(b,a)</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R}.(3.178)R^{-1}=\{(b,a)\in B\times A\mid(a,b)\in R\}. \tag{3.178}R−1={(b,a)</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R}.(3.178)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R^{-1}=\{(b,a)\in B\times A\mid(a,b)\in R\}</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Äquivalent gilt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bR−1a  </w:t>
      </w:r>
      <w:r w:rsidRPr="00FB58CE">
        <w:rPr>
          <w:rFonts w:ascii="Cambria Math" w:hAnsi="Cambria Math" w:cs="Cambria Math"/>
          <w:bCs w:val="0"/>
        </w:rPr>
        <w:t>⟺</w:t>
      </w:r>
      <w:r w:rsidRPr="00FB58CE">
        <w:rPr>
          <w:rFonts w:ascii="Times New Roman" w:hAnsi="Times New Roman" w:cs="Times New Roman"/>
          <w:bCs w:val="0"/>
          <w:lang w:val="en-US"/>
        </w:rPr>
        <w:t>  aRb.(3.179)bR^{-1}a\iff aRb. \tag{3.179}bR−1a</w:t>
      </w:r>
      <w:r w:rsidRPr="00FB58CE">
        <w:rPr>
          <w:rFonts w:ascii="Cambria Math" w:hAnsi="Cambria Math" w:cs="Cambria Math"/>
          <w:bCs w:val="0"/>
        </w:rPr>
        <w:t>⟺</w:t>
      </w:r>
      <w:r w:rsidRPr="00FB58CE">
        <w:rPr>
          <w:rFonts w:ascii="Times New Roman" w:hAnsi="Times New Roman" w:cs="Times New Roman"/>
          <w:bCs w:val="0"/>
          <w:lang w:val="en-US"/>
        </w:rPr>
        <w:t xml:space="preserve">aRb.(3.179)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bR^{-1}a\iff aRb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Umkehrrelation vertauscht die Richtung sämtlicher relationaler Paare. Für symmetrische Relationen gilt daher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 xml:space="preserve">R−1=R.(3.180)R^{-1}=R. \tag{3.180}R−1=R.(3.180)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Word-LaTeX: </w:t>
      </w:r>
      <w:r w:rsidRPr="00FB58CE">
        <w:rPr>
          <w:rFonts w:ascii="Courier New" w:hAnsi="Courier New" w:cs="Courier New"/>
          <w:bCs w:val="0"/>
          <w:sz w:val="20"/>
          <w:szCs w:val="20"/>
        </w:rPr>
        <w:t>R^{-1}=R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3.2.13 – Relationale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und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ist die Komposition 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A×CS\circ R\subseteq A\times CS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 definiert als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R={(a,c)</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B:  aRb</w:t>
      </w:r>
      <w:r w:rsidRPr="00FB58CE">
        <w:rPr>
          <w:rFonts w:ascii="Cambria Math" w:hAnsi="Cambria Math" w:cs="Cambria Math"/>
          <w:bCs w:val="0"/>
          <w:lang w:val="en-US"/>
        </w:rPr>
        <w:t>∧</w:t>
      </w:r>
      <w:r w:rsidRPr="00FB58CE">
        <w:rPr>
          <w:rFonts w:ascii="Times New Roman" w:hAnsi="Times New Roman" w:cs="Times New Roman"/>
          <w:bCs w:val="0"/>
          <w:lang w:val="en-US"/>
        </w:rPr>
        <w:t>bSc}.(3.181)S\circ R = \{(a,c)\in A\times C \mid \exists b\in B:\;aRb\land bSc\}. \tag{3.181}S</w:t>
      </w:r>
      <w:r w:rsidRPr="00FB58CE">
        <w:rPr>
          <w:rFonts w:ascii="Cambria Math" w:hAnsi="Cambria Math" w:cs="Cambria Math"/>
          <w:bCs w:val="0"/>
          <w:lang w:val="en-US"/>
        </w:rPr>
        <w:t>∘</w:t>
      </w:r>
      <w:r w:rsidRPr="00FB58CE">
        <w:rPr>
          <w:rFonts w:ascii="Times New Roman" w:hAnsi="Times New Roman" w:cs="Times New Roman"/>
          <w:bCs w:val="0"/>
          <w:lang w:val="en-US"/>
        </w:rPr>
        <w:t>R={(a,c)</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B:aRb</w:t>
      </w:r>
      <w:r w:rsidRPr="00FB58CE">
        <w:rPr>
          <w:rFonts w:ascii="Cambria Math" w:hAnsi="Cambria Math" w:cs="Cambria Math"/>
          <w:bCs w:val="0"/>
          <w:lang w:val="en-US"/>
        </w:rPr>
        <w:t>∧</w:t>
      </w:r>
      <w:r w:rsidRPr="00FB58CE">
        <w:rPr>
          <w:rFonts w:ascii="Times New Roman" w:hAnsi="Times New Roman" w:cs="Times New Roman"/>
          <w:bCs w:val="0"/>
          <w:lang w:val="en-US"/>
        </w:rPr>
        <w:t xml:space="preserve">bSc}.(3.181)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R=\{(a,c)\in A\times C\mid\exists b\in B:\;aRb\land bSc\}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relationale Komposition verbindet zwei aufeinanderfolgende Beziehungen über mindestens ein gemeinsames Zwischenelement. Sie stellt damit eine erste formale Möglichkeit bereit, indirekte Zusammenhänge zu konstruieren. Entscheidend ist jedoch, dass die Komposition lediglich die Existenz eines verbindenden Elements feststellt. Sie enthält zunächst keine Aussage darüber, wie stark, wahrscheinlich, dauerhaft oder funktional wirksam diese Vermittlung ist.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3.2.3 – Assoziativität der relationalen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und T</w:t>
      </w:r>
      <w:r w:rsidRPr="00FB58CE">
        <w:rPr>
          <w:rFonts w:ascii="Cambria Math" w:hAnsi="Cambria Math" w:cs="Cambria Math"/>
          <w:bCs w:val="0"/>
        </w:rPr>
        <w:t>⊆</w:t>
      </w:r>
      <w:r w:rsidRPr="00FB58CE">
        <w:rPr>
          <w:rFonts w:ascii="Times New Roman" w:hAnsi="Times New Roman" w:cs="Times New Roman"/>
          <w:bCs w:val="0"/>
        </w:rPr>
        <w:t>C×DT\subseteq C\times DT</w:t>
      </w:r>
      <w:r w:rsidRPr="00FB58CE">
        <w:rPr>
          <w:rFonts w:ascii="Cambria Math" w:hAnsi="Cambria Math" w:cs="Cambria Math"/>
          <w:bCs w:val="0"/>
        </w:rPr>
        <w:t>⊆</w:t>
      </w:r>
      <w:r w:rsidRPr="00FB58CE">
        <w:rPr>
          <w:rFonts w:ascii="Times New Roman" w:hAnsi="Times New Roman" w:cs="Times New Roman"/>
          <w:bCs w:val="0"/>
        </w:rPr>
        <w:t>C×D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R.(3.182)T\circ(S\circ R)=(T\circ S)\circ R. \tag{3.182}T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T\circ(S\circ R)=(T\circ S)\circ 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S)  </w:t>
      </w:r>
      <w:r w:rsidRPr="00FB58CE">
        <w:rPr>
          <w:rFonts w:ascii="Cambria Math" w:hAnsi="Cambria Math" w:cs="Cambria Math"/>
          <w:bCs w:val="0"/>
        </w:rPr>
        <w:t>⟺</w:t>
      </w:r>
      <w:r w:rsidRPr="00FB58CE">
        <w:rPr>
          <w:rFonts w:ascii="Times New Roman" w:hAnsi="Times New Roman" w:cs="Times New Roman"/>
          <w:bCs w:val="0"/>
        </w:rPr>
        <w:t>  (a,d)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R.(3.183)\begin{aligned} (a,d)\in T\circ(S\circ R) &amp;\iff \exists c\in C: \bigl((a,c)\in S\circ R\land(c,d)\in T\bigr)\\ &amp;\iff \exists b\in B\;\exists c\in C: \bigl((a,b)\in R\land(b,c)\in S\land(c,d)\in T\bigr)\\ &amp;\iff \exists b\in B: \bigl((a,b)\in R\land(b,d)\in T\circ S\bigr)\\ &amp;\iff (a,d)\in(T\circ S)\circ R. \end{aligned} \tag{3.183}(a,d)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\begin{aligned}(a,d)\in T\circ(S\circ R)&amp;\iff\exists c\in C:\bigl((a,c)\in S\circ R\land(c,d)\in T\bigr)\\&amp;\iff\exists b\in B\;\exists c\in C:\bigl((a,b)\in R\land(b,c)\in S\land(c,d)\in T\bigr)\\&amp;\iff\exists b\in B:\bigl((a,b)\in R\land(b,d)\in T\circ S\bigr)\\&amp;\iff(a,d)\in(T\circ S)\circ R.\end{aligned}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 dies für alle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 sind beide Relationen gleich.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Die Assoziativität erlaubt es, längere relationale Verkettungen eindeutig zu behandeln, ohne dass die Klammerung das Ergebnis verändert. Die Reihenfolge der Relationen bleibt jedoch wesentlich. Im Allgemeinen gilt nicht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r w:rsidRPr="00FB58CE">
        <w:rPr>
          <w:rFonts w:ascii="Times New Roman" w:hAnsi="Times New Roman" w:cs="Times New Roman"/>
          <w:bCs w:val="0"/>
          <w:lang w:val="en-US"/>
        </w:rPr>
        <w:t>S.(3.184)S\circ R=R\circ S. \tag{3.184}S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r w:rsidRPr="00FB58CE">
        <w:rPr>
          <w:rFonts w:ascii="Times New Roman" w:hAnsi="Times New Roman" w:cs="Times New Roman"/>
          <w:bCs w:val="0"/>
          <w:lang w:val="en-US"/>
        </w:rPr>
        <w:t xml:space="preserve">S.(3.184)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R=R\circ 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Nichtkommutativität ist für gerichtete Zusammenhänge charakteristisch. Eine Abfolge von Beziehungen kann ein anderes Ergebnis erzeugen, wenn ihre Reihenfolge vertauscht wird. Bereits der Relationskalkül enthält damit ein formales Moment gerichteter Sequenzialität, ohne selbst eine physikalische oder funktionale Zeit voraussetzen zu müssen.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Durch wiederholte Komposition lässt sich die Erreichbarkeit über mehrere relationale Schritte beschreiben. Für eine Relation RRR auf MMM definiere ich rekursiv</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 xml:space="preserve">R1=R(3.185)R^1=R \tag{3.185}R1=R(3.185)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R^1=R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und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Rn+1=R</w:t>
      </w:r>
      <w:r w:rsidRPr="00FB58CE">
        <w:rPr>
          <w:rFonts w:ascii="Cambria Math" w:hAnsi="Cambria Math" w:cs="Cambria Math"/>
          <w:bCs w:val="0"/>
        </w:rPr>
        <w:t>∘</w:t>
      </w:r>
      <w:r w:rsidRPr="00FB58CE">
        <w:rPr>
          <w:rFonts w:ascii="Times New Roman" w:hAnsi="Times New Roman" w:cs="Times New Roman"/>
          <w:bCs w:val="0"/>
        </w:rPr>
        <w:t>Rn.(3.186)R^{n+1}=R\circ R^n. \tag{3.186}Rn+1=R</w:t>
      </w:r>
      <w:r w:rsidRPr="00FB58CE">
        <w:rPr>
          <w:rFonts w:ascii="Cambria Math" w:hAnsi="Cambria Math" w:cs="Cambria Math"/>
          <w:bCs w:val="0"/>
        </w:rPr>
        <w:t>∘</w:t>
      </w:r>
      <w:r w:rsidRPr="00FB58CE">
        <w:rPr>
          <w:rFonts w:ascii="Times New Roman" w:hAnsi="Times New Roman" w:cs="Times New Roman"/>
          <w:bCs w:val="0"/>
        </w:rPr>
        <w:t xml:space="preserve">Rn.(3.186)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R^{n+1}=R\circ 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transitive Hülle von RRR ist dann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n=1∞Rn.(3.187)R^{+}=\bigcup_{n=1}^{\infty}R^n. \tag{3.187}R+=n=1</w:t>
      </w:r>
      <w:r w:rsidRPr="00FB58CE">
        <w:rPr>
          <w:rFonts w:ascii="Cambria Math" w:hAnsi="Cambria Math" w:cs="Cambria Math"/>
          <w:bCs w:val="0"/>
        </w:rPr>
        <w:t>⋃</w:t>
      </w:r>
      <w:r w:rsidRPr="00FB58CE">
        <w:rPr>
          <w:rFonts w:ascii="Times New Roman" w:hAnsi="Times New Roman" w:cs="Times New Roman"/>
          <w:bCs w:val="0"/>
        </w:rPr>
        <w:t xml:space="preserve">∞​Rn.(3.187)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R^{+}=\bigcup_{n=1}^{\infty}R^n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Wird zusätzlich die Identitätsrelation einbezogen, entsteht die reflexiv-transitive Hülle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R+.(3.188)R^{*}=\Delta_M\cup R^{+}. \tag{3.188}R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 xml:space="preserve">R+.(3.188)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R^{*}=\Delta_M\cup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Konstruktionen sind für Pfad-, Erreichbarkeits- und Abhängigkeitsanalysen grundlegend. Sie unterscheiden unmittelbare Beziehungen von solchen Verbindungen, die erst über eine Folge relationaler Schritte entstehen. Dennoch bleibt auch hier der konkrete Verlauf abstrakt. Die transitive Hülle gibt an, dass irgendeine endliche Verbindung existiert. Sie bewahrt ohne zusätzliche Struktur weder die Zahl noch die Art der möglichen Zwischenwege.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Relationen können außerdem als Matrizen dargestellt werden, sofern die beteiligten Mengen endlich sind. Sei</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 xml:space="preserve">A={a1,…,am},B={b1,…,bn}.(3.189)A=\{a_1,\ldots,a_m\}, \qquad B=\{b_1,\ldots,b_n\}. \tag{3.189}A={a1​,…,am​},B={b1​,…,bn​}.(3.189)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Word-LaTeX: </w:t>
      </w:r>
      <w:r w:rsidRPr="00FB58CE">
        <w:rPr>
          <w:rFonts w:ascii="Courier New" w:hAnsi="Courier New" w:cs="Courier New"/>
          <w:bCs w:val="0"/>
          <w:sz w:val="20"/>
          <w:szCs w:val="20"/>
        </w:rPr>
        <w:t>A=\{a_1,\ldots,a_m\},\qquad B=\{b_1,\ldots,b_n\}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Dann lässt sich einer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die Relationsmatrix</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 xml:space="preserve">MR=(rij)(3.190)\mathbf{M}_R=(r_{ij}) \tag{3.190}MR​=(rij​)(3.190)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\mathbf{M}_R=(r_{ij})</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mit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rij={1,(ai,bj)</w:t>
      </w:r>
      <w:r w:rsidRPr="00FB58CE">
        <w:rPr>
          <w:rFonts w:ascii="Cambria Math" w:hAnsi="Cambria Math" w:cs="Cambria Math"/>
          <w:bCs w:val="0"/>
          <w:lang w:val="en-US"/>
        </w:rPr>
        <w:t>∈</w:t>
      </w:r>
      <w:r w:rsidRPr="00FB58CE">
        <w:rPr>
          <w:rFonts w:ascii="Times New Roman" w:hAnsi="Times New Roman" w:cs="Times New Roman"/>
          <w:bCs w:val="0"/>
          <w:lang w:val="en-US"/>
        </w:rPr>
        <w:t>R,0,(ai,bj)</w:t>
      </w:r>
      <w:r w:rsidRPr="00FB58CE">
        <w:rPr>
          <w:rFonts w:ascii="Cambria Math" w:hAnsi="Cambria Math" w:cs="Cambria Math"/>
          <w:bCs w:val="0"/>
          <w:lang w:val="en-US"/>
        </w:rPr>
        <w:t>∉</w:t>
      </w:r>
      <w:r w:rsidRPr="00FB58CE">
        <w:rPr>
          <w:rFonts w:ascii="Times New Roman" w:hAnsi="Times New Roman" w:cs="Times New Roman"/>
          <w:bCs w:val="0"/>
          <w:lang w:val="en-US"/>
        </w:rPr>
        <w:t>R(3.191)r_{ij} = \begin{cases} 1,&amp;(a_i,b_j)\in R,\\ 0,&amp;(a_i,b_j)\notin R \end{cases} \tag{3.191}rij​={1,0,​(ai​,bj​)</w:t>
      </w:r>
      <w:r w:rsidRPr="00FB58CE">
        <w:rPr>
          <w:rFonts w:ascii="Cambria Math" w:hAnsi="Cambria Math" w:cs="Cambria Math"/>
          <w:bCs w:val="0"/>
          <w:lang w:val="en-US"/>
        </w:rPr>
        <w:t>∈</w:t>
      </w:r>
      <w:r w:rsidRPr="00FB58CE">
        <w:rPr>
          <w:rFonts w:ascii="Times New Roman" w:hAnsi="Times New Roman" w:cs="Times New Roman"/>
          <w:bCs w:val="0"/>
          <w:lang w:val="en-US"/>
        </w:rPr>
        <w:t>R,(ai​,bj​)</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/R​(3.191)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r_{ij}=\begin{cases}1,&amp;(a_i,b_j)\in R,\\0,&amp;(a_i,b_j)\notin R\end{cases}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zuordnen.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Darstellung überführt eine Relation in eine binäre Matrix. Dadurch werden relationale Operationen mit algebraischen Verfahren zugänglich. Die relationale Komposition entspricht dabei einer Matrixmultiplikation über der Booleschen Algebra, bei der die gewöhnliche Addition durch die logische Disjunktion und die gewöhnliche Multiplikation durch die logische Konjunktion ersetzt wird: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(MS</w:t>
      </w:r>
      <w:r w:rsidRPr="00FB58CE">
        <w:rPr>
          <w:rFonts w:ascii="Cambria Math" w:hAnsi="Cambria Math" w:cs="Cambria Math"/>
          <w:bCs w:val="0"/>
        </w:rPr>
        <w:t>∘</w:t>
      </w:r>
      <w:r w:rsidRPr="00FB58CE">
        <w:rPr>
          <w:rFonts w:ascii="Times New Roman" w:hAnsi="Times New Roman" w:cs="Times New Roman"/>
          <w:bCs w:val="0"/>
        </w:rPr>
        <w:t>R)ik=</w:t>
      </w:r>
      <w:r w:rsidRPr="00FB58CE">
        <w:rPr>
          <w:rFonts w:ascii="Cambria Math" w:hAnsi="Cambria Math" w:cs="Cambria Math"/>
          <w:bCs w:val="0"/>
        </w:rPr>
        <w:t>⋁</w:t>
      </w:r>
      <w:r w:rsidRPr="00FB58CE">
        <w:rPr>
          <w:rFonts w:ascii="Times New Roman" w:hAnsi="Times New Roman" w:cs="Times New Roman"/>
          <w:bCs w:val="0"/>
        </w:rPr>
        <w:t>j=1n((MR)ij</w:t>
      </w:r>
      <w:r w:rsidRPr="00FB58CE">
        <w:rPr>
          <w:rFonts w:ascii="Cambria Math" w:hAnsi="Cambria Math" w:cs="Cambria Math"/>
          <w:bCs w:val="0"/>
        </w:rPr>
        <w:t>∧</w:t>
      </w:r>
      <w:r w:rsidRPr="00FB58CE">
        <w:rPr>
          <w:rFonts w:ascii="Times New Roman" w:hAnsi="Times New Roman" w:cs="Times New Roman"/>
          <w:bCs w:val="0"/>
        </w:rPr>
        <w:t>(MS)jk).(3.192)(\mathbf{M}_{S\circ R})_{ik} = \bigvee_{j=1}^{n} \left( (\mathbf{M}_R)_{ij}\land(\mathbf{M}_S)_{jk} \right). \tag{3.192}(MS</w:t>
      </w:r>
      <w:r w:rsidRPr="00FB58CE">
        <w:rPr>
          <w:rFonts w:ascii="Cambria Math" w:hAnsi="Cambria Math" w:cs="Cambria Math"/>
          <w:bCs w:val="0"/>
        </w:rPr>
        <w:t>∘</w:t>
      </w:r>
      <w:r w:rsidRPr="00FB58CE">
        <w:rPr>
          <w:rFonts w:ascii="Times New Roman" w:hAnsi="Times New Roman" w:cs="Times New Roman"/>
          <w:bCs w:val="0"/>
        </w:rPr>
        <w:t>R​)ik​=j=1</w:t>
      </w:r>
      <w:r w:rsidRPr="00FB58CE">
        <w:rPr>
          <w:rFonts w:ascii="Cambria Math" w:hAnsi="Cambria Math" w:cs="Cambria Math"/>
          <w:bCs w:val="0"/>
        </w:rPr>
        <w:t>⋁</w:t>
      </w:r>
      <w:r w:rsidRPr="00FB58CE">
        <w:rPr>
          <w:rFonts w:ascii="Times New Roman" w:hAnsi="Times New Roman" w:cs="Times New Roman"/>
          <w:bCs w:val="0"/>
        </w:rPr>
        <w:t>n​((MR​)ij​</w:t>
      </w:r>
      <w:r w:rsidRPr="00FB58CE">
        <w:rPr>
          <w:rFonts w:ascii="Cambria Math" w:hAnsi="Cambria Math" w:cs="Cambria Math"/>
          <w:bCs w:val="0"/>
        </w:rPr>
        <w:t>∧</w:t>
      </w:r>
      <w:r w:rsidRPr="00FB58CE">
        <w:rPr>
          <w:rFonts w:ascii="Times New Roman" w:hAnsi="Times New Roman" w:cs="Times New Roman"/>
          <w:bCs w:val="0"/>
        </w:rPr>
        <w:t xml:space="preserve">(MS​)jk​).(3.192)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(\mathbf{M}_{S\circ R})_{ik}=\bigvee_{j=1}^{n}\left((\mathbf{M}_R)_{ij}\land(\mathbf{M}_S)_{jk}\right)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dieser Darstellung entsteht ein Übergang von der reinen Relationslehre zu algebraischen Strukturen. Relationen können nicht nur aufgezählt, sondern durch Operationen verbunden, transformiert und rechnerisch ausgewertet werden. Dieser Übergang wird im folgenden Abschnitt weitergeführt.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Modellbildung besitzen Relationen eine außergewöhnliche Reichweite. Sie ermöglichen die Beschreibung von Zuordnungen, Hierarchien, Vergleichbarkeiten, Abhängigkeiten und Erreichbarkeiten. Sie bilden die mathematische Grundlage für Funktionen, Ordnungen, Graphen, Datenbankschemata und zahlreiche logische Systeme. Dabei bleibt die Relation selbst formal neutral gegenüber der Bedeutung ihrer Elemente. Dieselbe relationale Struktur kann auf Personen, Ereignisse, Zustände, Orte oder abstrakte mathematische Objekte angewendet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Gerade diese Neutralität macht Relationen leistungsfähig. Sie erlaubt es, strukturell gleichartige Zusammenhänge unabhängig von ihrem jeweiligen Gegenstandsbereich mit denselben mathematischen Mitteln zu untersuchen. Gleichzeitig liegt hierin eine Grenze. Eine Relation legt fest, welche Tupel zu ihr gehören. Sie erklärt jedoch nicht, weshalb gerade diese Verbindungen bestehen, durch welchen Prozess sie entstanden sind oder unter welchen Bedingungen sie erhalten bleiben.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Auch die binäre Zugehörigkeitsentscheidung ist eine starke Abstraktion. Für ein Paar (a,b)(a,b)(a,b) gilt entweder (a,b)</w:t>
      </w:r>
      <w:r w:rsidRPr="00FB58CE">
        <w:rPr>
          <w:rFonts w:ascii="Cambria Math" w:hAnsi="Cambria Math" w:cs="Cambria Math"/>
          <w:bCs w:val="0"/>
        </w:rPr>
        <w:t>∈</w:t>
      </w:r>
      <w:r w:rsidRPr="00FB58CE">
        <w:rPr>
          <w:rFonts w:ascii="Times New Roman" w:hAnsi="Times New Roman" w:cs="Times New Roman"/>
          <w:bCs w:val="0"/>
        </w:rPr>
        <w:t>R(a,b)\in R(a,b)</w:t>
      </w:r>
      <w:r w:rsidRPr="00FB58CE">
        <w:rPr>
          <w:rFonts w:ascii="Cambria Math" w:hAnsi="Cambria Math" w:cs="Cambria Math"/>
          <w:bCs w:val="0"/>
        </w:rPr>
        <w:t>∈</w:t>
      </w:r>
      <w:r w:rsidRPr="00FB58CE">
        <w:rPr>
          <w:rFonts w:ascii="Times New Roman" w:hAnsi="Times New Roman" w:cs="Times New Roman"/>
          <w:bCs w:val="0"/>
        </w:rPr>
        <w:t>R oder (a,b)</w:t>
      </w:r>
      <w:r w:rsidRPr="00FB58CE">
        <w:rPr>
          <w:rFonts w:ascii="Cambria Math" w:hAnsi="Cambria Math" w:cs="Cambria Math"/>
          <w:bCs w:val="0"/>
        </w:rPr>
        <w:t>∉</w:t>
      </w:r>
      <w:r w:rsidRPr="00FB58CE">
        <w:rPr>
          <w:rFonts w:ascii="Times New Roman" w:hAnsi="Times New Roman" w:cs="Times New Roman"/>
          <w:bCs w:val="0"/>
        </w:rPr>
        <w:t>R(a,b)\notin R(a,b)</w:t>
      </w:r>
      <w:r w:rsidRPr="00FB58CE">
        <w:rPr>
          <w:rFonts w:ascii="Cambria Math" w:hAnsi="Cambria Math" w:cs="Cambria Math"/>
          <w:bCs w:val="0"/>
        </w:rPr>
        <w:t>∈</w:t>
      </w:r>
      <w:r w:rsidRPr="00FB58CE">
        <w:rPr>
          <w:rFonts w:ascii="Times New Roman" w:hAnsi="Times New Roman" w:cs="Times New Roman"/>
          <w:bCs w:val="0"/>
        </w:rPr>
        <w:t>/R. Abstufungen der Stärke, Wahrscheinlichkeit, Dauer oder Zuverlässigkeit einer Beziehung müssen durch zusätzliche mathematische Strukturen ergänzt werden. Gewichtete Relationen, unscharfe Relationen, Wahrscheinlichkeitsrelationen oder zeitabhängige Relationen erweitern den klassischen Relationsbegriff, setzen aber weiterhin voraus, dass die beteiligten Elemente und die Art ihrer Verknüpfbarkeit bereits bestimmt sind.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betrifft die Auswahl des kartesischen Produkts. Bevor eine Relation als Teilmenge von A×BA\times BA×B definiert werden kann, muss feststehen, welche Elemente zu AAA und BBB gehören und welche Paarungen grundsätzlich als möglich behandelt werden. Die Relation wählt aus diesem Möglichkeitsraum aus, erzeugt ihn aber nicht selbst. Ihre formale Definition beginnt somit erst nach der Festlegung der beteiligten Trägerbereiche.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spätere Entwicklung des Funktionalen Raum-Zeit-Kohärenzsystems ist diese Feststellung wesentlich. Relationen werden dort unverzichtbar sein, weil funktionale Zusammenhänge ohne eine formale Verknüpfungsstruktur nicht beschrieben werden können. Ich darf jedoch nicht voraussetzen, dass jede funktionale Verbindung bereits vollständig durch die Zugehörigkeit eines geordneten Paares zu einer Relation erklärt ist. Die Relation bildet einen Zusammenhang ab. Sie beantwortet noch nicht die Frage, wie dieser Zusammenhang funktional wirksam wird, wie er sich verändert oder wie aus mehreren Verbindungen eine eigenständige Organisation hervorgeht.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zweite mathematische Konsequenz. Mengen stellen die unterscheidbaren Elemente eines Modells bereit; Relationen ordnen mögliche Verbindungen zwischen ihnen. Erst durch diese Verbindungen entsteht eine formale Struktur. Die Relation bleibt dabei jedoch eine Menge ausgewählter Tupel. Um Relationen nicht nur als vorhandene Strukturen zu betrachten, sondern sie systematisch miteinander zu verknüpfen und auf Trägerbereichen operativ wirksam werden zu lassen, benötige ich weiterführende algebraische Begriffe.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Im folgenden Abschnitt untersuche ich deshalb algebraische Strukturen. Dabei verschiebt sich der Schwerpunkt von der Frage, welche Elemente miteinander in Relation stehen, zu der Frage, welche Verknüpfungen auf einem Träger definiert sind und welche Gesetzmäßigkeiten diese Verknüpfungen erfüllen. Die Relationskomposition hat diesen Übergang bereits vorbereitet: Aus einer bloßen Menge relationaler Paare wird eine Struktur, auf der Operationen ausgeführt und hinsichtlich ihrer formalen Eigenschaften untersucht werden können.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[73]</w:t>
      </w:r>
      <w:r w:rsidRPr="00FB58CE">
        <w:rPr>
          <w:rFonts w:ascii="Times New Roman" w:hAnsi="Times New Roman" w:cs="Times New Roman"/>
          <w:bCs w:val="0"/>
          <w:lang w:val="en-US"/>
        </w:rPr>
        <w:t xml:space="preserve"> Peirce, Charles Sanders: „Description of a Notation for the Logic of Relatives, Resulting from an Amplification of the Conceptions of Boole’s Calculus of Logic“. 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317–378.</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[74]</w:t>
      </w:r>
      <w:r w:rsidRPr="00FB58CE">
        <w:rPr>
          <w:rFonts w:ascii="Times New Roman" w:hAnsi="Times New Roman" w:cs="Times New Roman"/>
          <w:bCs w:val="0"/>
        </w:rPr>
        <w:t xml:space="preserve"> Schröder, Ernst: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Leipzig: B. G. Teubner, 1895.</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[75]</w:t>
      </w:r>
      <w:r w:rsidRPr="00FB58CE">
        <w:rPr>
          <w:rFonts w:ascii="Times New Roman" w:hAnsi="Times New Roman" w:cs="Times New Roman"/>
          <w:bCs w:val="0"/>
          <w:lang w:val="en-US"/>
        </w:rPr>
        <w:t xml:space="preserve"> Tarski, Alfred: „On the Calculus of Relations“. In: </w:t>
      </w:r>
      <w:r w:rsidRPr="00FB58CE">
        <w:rPr>
          <w:rFonts w:ascii="Times New Roman" w:hAnsi="Times New Roman" w:cs="Times New Roman"/>
          <w:bCs w:val="0"/>
          <w:i/>
          <w:iCs/>
          <w:lang w:val="en-US"/>
        </w:rPr>
        <w:t>The Journal of Symbolic Logic</w:t>
      </w:r>
      <w:r w:rsidRPr="00FB58CE">
        <w:rPr>
          <w:rFonts w:ascii="Times New Roman" w:hAnsi="Times New Roman" w:cs="Times New Roman"/>
          <w:bCs w:val="0"/>
          <w:lang w:val="en-US"/>
        </w:rPr>
        <w:t>, Band 6, Nr. 3, 1941, S. 73–89.</w:t>
      </w:r>
    </w:p>
    <w:p w:rsid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Die Quelle </w:t>
      </w:r>
      <w:r w:rsidRPr="00FB58CE">
        <w:rPr>
          <w:rFonts w:ascii="Times New Roman" w:hAnsi="Times New Roman" w:cs="Times New Roman"/>
          <w:b/>
        </w:rPr>
        <w:t>[72] Bourbaki</w:t>
      </w:r>
      <w:r w:rsidRPr="00FB58CE">
        <w:rPr>
          <w:rFonts w:ascii="Times New Roman" w:hAnsi="Times New Roman" w:cs="Times New Roman"/>
          <w:bCs w:val="0"/>
        </w:rPr>
        <w:t xml:space="preserve"> wird erneut für die mengentheoretische Definition von Relationen, Äquivalenzstrukturen und Ordnungen verwendet. Die nächste freie Literaturziffer ist damit </w:t>
      </w:r>
      <w:r w:rsidRPr="00FB58CE">
        <w:rPr>
          <w:rFonts w:ascii="Times New Roman" w:hAnsi="Times New Roman" w:cs="Times New Roman"/>
          <w:b/>
        </w:rPr>
        <w:t>[76]</w:t>
      </w:r>
      <w:r w:rsidRPr="00FB58C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3.2.3 Algebraische Strukturen als Träger mathematischer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den Mengen des vorhergehenden Abschnitts stehen die Träger mathematischer Modelle bereit. Relationen ermöglichen es anschließend, ausgewählte Zusammenhänge zwischen ihren Elementen formal zu beschreiben. Dennoch bleibt auch nach Einführung der Relationen eine wesentliche Frage unbeantwortet. Weder Mengen noch Relationen legen fest, wie sich Elemente miteinander verknüpfen lassen oder welche neuen Elemente aus solchen Verknüpfungen entstehen. Für zahlreiche mathematische Modelle genügt es jedoch nicht, Beziehungen lediglich zu beschreiben. Vielmehr müssen auf den betrachteten Objekten Operationen definiert werden, die systematisch neue Objekte erzeugen und deren Eigenschaften untersucht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 dieser Stelle beginnt der Gegenstandsbereich der Algebra. Während die Mengenlehre Träger bereitstellt und die Relationentheorie strukturelle Verbindungen beschreibt, untersucht die Algebra mathematische Verknüpfungen auf diesen Trägern. Die Frage verschiebt sich damit von der bloßen Existenz einer Beziehung zu den Gesetzmäßigkeiten der Operationen, die auf einer Menge definiert werden können. Erst dadurch entstehen mathematische Strukturen, deren Verhalten unabhängig von ihrer konkreten Interpretation untersucht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Auffassung algebraischer Strukturen entwickelte sich schrittweise aus der klassischen Algebra des 19. Jahrhunderts. Besonders prägend war die Erkenntnis, dass unterschiedliche mathematische Gegenstandsbereiche – Zahlen, Permutationen, Matrizen oder geometrische Transformationen – gemeinsame strukturelle Eigenschaften besitzen. Emmy Noether formulierte diese Sichtweise in einer bis heute grundlegenden Form, indem sie algebraische Eigenschaften nicht mehr aus einzelnen Rechenverfahren ableitete, sondern aus den Axiomen der zugrunde liegenden Struktur (Emmy Noether: </w:t>
      </w:r>
      <w:r w:rsidRPr="009E3E3E">
        <w:rPr>
          <w:rFonts w:ascii="Times New Roman" w:hAnsi="Times New Roman" w:cs="Times New Roman"/>
          <w:bCs w:val="0"/>
          <w:i/>
          <w:iCs/>
        </w:rPr>
        <w:t>Abstrakter Aufbau der Idealtheorie in algebraischen Zahl- und Funktionenkörpern</w:t>
      </w:r>
      <w:r w:rsidRPr="009E3E3E">
        <w:rPr>
          <w:rFonts w:ascii="Times New Roman" w:hAnsi="Times New Roman" w:cs="Times New Roman"/>
          <w:bCs w:val="0"/>
        </w:rPr>
        <w:t xml:space="preserve">. In: </w:t>
      </w:r>
      <w:r w:rsidRPr="009E3E3E">
        <w:rPr>
          <w:rFonts w:ascii="Times New Roman" w:hAnsi="Times New Roman" w:cs="Times New Roman"/>
          <w:bCs w:val="0"/>
          <w:i/>
          <w:iCs/>
        </w:rPr>
        <w:t>Mathematische Annalen</w:t>
      </w:r>
      <w:r w:rsidRPr="009E3E3E">
        <w:rPr>
          <w:rFonts w:ascii="Times New Roman" w:hAnsi="Times New Roman" w:cs="Times New Roman"/>
          <w:bCs w:val="0"/>
        </w:rPr>
        <w:t>, Band 96, 1927, S. 26–61)[76].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Parallel dazu entwickelte Bartel Leendert van der Waerden auf Grundlage der Arbeiten Noethers und Emil Artins die heute gebräuchliche axiomatische Darstellung der Algebra (Bartel Leendert van der Waerden: </w:t>
      </w:r>
      <w:r w:rsidRPr="009E3E3E">
        <w:rPr>
          <w:rFonts w:ascii="Times New Roman" w:hAnsi="Times New Roman" w:cs="Times New Roman"/>
          <w:bCs w:val="0"/>
          <w:i/>
          <w:iCs/>
        </w:rPr>
        <w:t>Moderne Algebra</w:t>
      </w:r>
      <w:r w:rsidRPr="009E3E3E">
        <w:rPr>
          <w:rFonts w:ascii="Times New Roman" w:hAnsi="Times New Roman" w:cs="Times New Roman"/>
          <w:bCs w:val="0"/>
        </w:rPr>
        <w:t>. Berlin: Springer, 1930–1931)[77]. Algebraische Strukturen werden darin nicht durch ihre konkreten Elemente charakterisiert, sondern durch Mengen zusammen mit einer oder mehreren Operationen, die bestimmten Axiomen genügen.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besitzt für die weitere Entwicklung der mathematischen Grundlagen besondere Bedeutung. Sie löst algebraische Gesetzmäßigkeiten von ihrer ursprünglichen Interpretation im Zahlenbereich und macht sie auf beliebige mathematische Träger übertragbar. Dadurch können dieselben mathematischen Werkzeuge sowohl auf Zahlen als auch auf Funktionen, Matrizen, Graphen oder Relationen angewendet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algebraische Struktur entsteht, wenn auf einer Menge genau eine Verknüpfung definiert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Definition 3.2.14 – Algebraische Verknüpfung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 MMM eine Menge. Eine zweistellige Verknüpfung auf MMM ist eine Abbildung</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:M×M→M.(3.193)\ast : M \times M \rightarrow M. \tag{3.193}</w:t>
      </w:r>
      <w:r w:rsidRPr="009E3E3E">
        <w:rPr>
          <w:rFonts w:ascii="Cambria Math" w:hAnsi="Cambria Math" w:cs="Cambria Math"/>
          <w:bCs w:val="0"/>
          <w:lang w:val="en-US"/>
        </w:rPr>
        <w:t>∗</w:t>
      </w:r>
      <w:r w:rsidRPr="009E3E3E">
        <w:rPr>
          <w:rFonts w:ascii="Times New Roman" w:hAnsi="Times New Roman" w:cs="Times New Roman"/>
          <w:bCs w:val="0"/>
          <w:lang w:val="en-US"/>
        </w:rPr>
        <w:t xml:space="preserve">:M×M→M.(3.193)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\ast : M \times M \rightarrow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geordneten Paar (a,b)</w:t>
      </w:r>
      <w:r w:rsidRPr="009E3E3E">
        <w:rPr>
          <w:rFonts w:ascii="Cambria Math" w:hAnsi="Cambria Math" w:cs="Cambria Math"/>
          <w:bCs w:val="0"/>
        </w:rPr>
        <w:t>∈</w:t>
      </w:r>
      <w:r w:rsidRPr="009E3E3E">
        <w:rPr>
          <w:rFonts w:ascii="Times New Roman" w:hAnsi="Times New Roman" w:cs="Times New Roman"/>
          <w:bCs w:val="0"/>
        </w:rPr>
        <w:t>M×M(a,b)\in M\times M(a,b)</w:t>
      </w:r>
      <w:r w:rsidRPr="009E3E3E">
        <w:rPr>
          <w:rFonts w:ascii="Cambria Math" w:hAnsi="Cambria Math" w:cs="Cambria Math"/>
          <w:bCs w:val="0"/>
        </w:rPr>
        <w:t>∈</w:t>
      </w:r>
      <w:r w:rsidRPr="009E3E3E">
        <w:rPr>
          <w:rFonts w:ascii="Times New Roman" w:hAnsi="Times New Roman" w:cs="Times New Roman"/>
          <w:bCs w:val="0"/>
        </w:rPr>
        <w:t>M×M wird genau ein Element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M(3.194)a\ast b\in M \tag{3.194}a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zugeordnet.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Definition enthält bereits die grundlegende algebraische Idee. Während Relationen lediglich feststellen, ob zwei Elemente miteinander in Beziehung stehen, erzeugt eine Verknüpfung aus zwei Elementen ein neues Element derselben Struktur. Dadurch entsteht eine innere Dynamik der Menge. Die Menge dient nicht länger nur als Träger vorhandener Elemente, sondern zugleich als Raum möglicher Operationsergebnisse.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Forderung, dass das Ergebnis wieder zur Ausgangsmenge gehört, wird als Abgeschlossenheit bezeichnet.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3.2.15 – Abgeschlossenheit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auf MMM abgeschlossen, wenn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a,b</w:t>
      </w:r>
      <w:r w:rsidRPr="009E3E3E">
        <w:rPr>
          <w:rFonts w:ascii="Cambria Math" w:hAnsi="Cambria Math" w:cs="Cambria Math"/>
          <w:bCs w:val="0"/>
          <w:lang w:val="en-US"/>
        </w:rPr>
        <w:t>∈</w:t>
      </w:r>
      <w:r w:rsidRPr="009E3E3E">
        <w:rPr>
          <w:rFonts w:ascii="Times New Roman" w:hAnsi="Times New Roman" w:cs="Times New Roman"/>
          <w:bCs w:val="0"/>
          <w:lang w:val="en-US"/>
        </w:rPr>
        <w:t>M:  a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M.(3.195)\forall a,b\in M:\;a\ast b\in M. \tag{3.195}</w:t>
      </w:r>
      <w:r w:rsidRPr="009E3E3E">
        <w:rPr>
          <w:rFonts w:ascii="Cambria Math" w:hAnsi="Cambria Math" w:cs="Cambria Math"/>
          <w:bCs w:val="0"/>
          <w:lang w:val="en-US"/>
        </w:rPr>
        <w:t>∀</w:t>
      </w:r>
      <w:r w:rsidRPr="009E3E3E">
        <w:rPr>
          <w:rFonts w:ascii="Times New Roman" w:hAnsi="Times New Roman" w:cs="Times New Roman"/>
          <w:bCs w:val="0"/>
          <w:lang w:val="en-US"/>
        </w:rPr>
        <w:t>a,b</w:t>
      </w:r>
      <w:r w:rsidRPr="009E3E3E">
        <w:rPr>
          <w:rFonts w:ascii="Cambria Math" w:hAnsi="Cambria Math" w:cs="Cambria Math"/>
          <w:bCs w:val="0"/>
          <w:lang w:val="en-US"/>
        </w:rPr>
        <w:t>∈</w:t>
      </w:r>
      <w:r w:rsidRPr="009E3E3E">
        <w:rPr>
          <w:rFonts w:ascii="Times New Roman" w:hAnsi="Times New Roman" w:cs="Times New Roman"/>
          <w:bCs w:val="0"/>
          <w:lang w:val="en-US"/>
        </w:rPr>
        <w:t>M:a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a,b\in M:\;a\ast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Abgeschlossenheit gewährleistet, dass beliebig viele aufeinanderfolgende Verknüpfungen ausgeführt werden können, ohne den betrachteten mathematischen Träger zu verlassen. Sie bildet damit eine notwendige Voraussetzung für die Untersuchung algebraischer Gesetzmäßigkeiten.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der wichtigsten Eigenschaften algebraischer Verknüpfungen ist die Assoziativität.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3.2.16 – Assoziativität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assoziativ,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c)(3.196)(a\ast b)\ast c = a\ast(b\ast c) \tag{3.196}(a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c)(3.196)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b)\ast c=a\ast(b\ast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alle a,b,c</w:t>
      </w:r>
      <w:r w:rsidRPr="009E3E3E">
        <w:rPr>
          <w:rFonts w:ascii="Cambria Math" w:hAnsi="Cambria Math" w:cs="Cambria Math"/>
          <w:bCs w:val="0"/>
        </w:rPr>
        <w:t>∈</w:t>
      </w:r>
      <w:r w:rsidRPr="009E3E3E">
        <w:rPr>
          <w:rFonts w:ascii="Times New Roman" w:hAnsi="Times New Roman" w:cs="Times New Roman"/>
          <w:bCs w:val="0"/>
        </w:rPr>
        <w:t>Ma,b,c\in Ma,b,c</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Assoziativität erlaubt es, längere Produktfolgen eindeutig zu bilden, ohne die Klammerung festlegen zu müssen. Diese Eigenschaft tritt in zahlreichen mathematischen Strukturen auf und bildet insbesondere die Grundlage der Gruppentheorie.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Daneben spielt die Existenz eines neutralen Elements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3.2.17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Element e</w:t>
      </w:r>
      <w:r w:rsidRPr="009E3E3E">
        <w:rPr>
          <w:rFonts w:ascii="Cambria Math" w:hAnsi="Cambria Math" w:cs="Cambria Math"/>
          <w:bCs w:val="0"/>
        </w:rPr>
        <w:t>∈</w:t>
      </w:r>
      <w:r w:rsidRPr="009E3E3E">
        <w:rPr>
          <w:rFonts w:ascii="Times New Roman" w:hAnsi="Times New Roman" w:cs="Times New Roman"/>
          <w:bCs w:val="0"/>
        </w:rPr>
        <w:t>Me\in Me</w:t>
      </w:r>
      <w:r w:rsidRPr="009E3E3E">
        <w:rPr>
          <w:rFonts w:ascii="Cambria Math" w:hAnsi="Cambria Math" w:cs="Cambria Math"/>
          <w:bCs w:val="0"/>
        </w:rPr>
        <w:t>∈</w:t>
      </w:r>
      <w:r w:rsidRPr="009E3E3E">
        <w:rPr>
          <w:rFonts w:ascii="Times New Roman" w:hAnsi="Times New Roman" w:cs="Times New Roman"/>
          <w:bCs w:val="0"/>
        </w:rPr>
        <w:t xml:space="preserve">M heißt neutrales Element bezüglich der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e=a(3.197)e\ast a = a\ast e = a \tag{3.197}e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 xml:space="preserve">e=a(3.197)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e\ast a=a\ast e=a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alle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Besitzt jedes Element zusätzlich ein inverses Element, entsteht eine wesentlich reichere algebraische Struktur.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3.2.18 – Inverses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einem Element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heißt ein Element a−1</w:t>
      </w:r>
      <w:r w:rsidRPr="009E3E3E">
        <w:rPr>
          <w:rFonts w:ascii="Cambria Math" w:hAnsi="Cambria Math" w:cs="Cambria Math"/>
          <w:bCs w:val="0"/>
        </w:rPr>
        <w:t>∈</w:t>
      </w:r>
      <w:r w:rsidRPr="009E3E3E">
        <w:rPr>
          <w:rFonts w:ascii="Times New Roman" w:hAnsi="Times New Roman" w:cs="Times New Roman"/>
          <w:bCs w:val="0"/>
        </w:rPr>
        <w:t>Ma^{-1}\in Ma−1</w:t>
      </w:r>
      <w:r w:rsidRPr="009E3E3E">
        <w:rPr>
          <w:rFonts w:ascii="Cambria Math" w:hAnsi="Cambria Math" w:cs="Cambria Math"/>
          <w:bCs w:val="0"/>
        </w:rPr>
        <w:t>∈</w:t>
      </w:r>
      <w:r w:rsidRPr="009E3E3E">
        <w:rPr>
          <w:rFonts w:ascii="Times New Roman" w:hAnsi="Times New Roman" w:cs="Times New Roman"/>
          <w:bCs w:val="0"/>
        </w:rPr>
        <w:t>M invers,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a=e.(3.198)a\ast a^{-1} = a^{-1}\ast a = e. \tag{3.198}a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 xml:space="preserve">a=e.(3.198)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a^{-1}=a^{-1}\ast a=e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Kombination aus Abgeschlossenheit, Assoziativität, neutralem Element und Inversen führt unmittelbar zum Gruppenbegriff.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3.2.19 – Gruppe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(M,</w:t>
      </w:r>
      <w:r w:rsidRPr="009E3E3E">
        <w:rPr>
          <w:rFonts w:ascii="Cambria Math" w:hAnsi="Cambria Math" w:cs="Cambria Math"/>
          <w:bCs w:val="0"/>
        </w:rPr>
        <w:t>∗</w:t>
      </w:r>
      <w:r w:rsidRPr="009E3E3E">
        <w:rPr>
          <w:rFonts w:ascii="Times New Roman" w:hAnsi="Times New Roman" w:cs="Times New Roman"/>
          <w:bCs w:val="0"/>
        </w:rPr>
        <w:t>)(3.199)(M,\ast) \tag{3.199}(M,</w:t>
      </w:r>
      <w:r w:rsidRPr="009E3E3E">
        <w:rPr>
          <w:rFonts w:ascii="Cambria Math" w:hAnsi="Cambria Math" w:cs="Cambria Math"/>
          <w:bCs w:val="0"/>
        </w:rPr>
        <w:t>∗</w:t>
      </w:r>
      <w:r w:rsidRPr="009E3E3E">
        <w:rPr>
          <w:rFonts w:ascii="Times New Roman" w:hAnsi="Times New Roman" w:cs="Times New Roman"/>
          <w:bCs w:val="0"/>
        </w:rPr>
        <w:t xml:space="preserve">)(3.199)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(M,\ast)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heißt Gruppe, wenn</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Verknüpfung abgeschlossen ist,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Assoziativität gilt,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neutrales Element existiert,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jedes Element ein Inverses besitzt.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 zusätzlich</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w:t>
      </w:r>
      <w:r w:rsidRPr="009E3E3E">
        <w:rPr>
          <w:rFonts w:ascii="Cambria Math" w:hAnsi="Cambria Math" w:cs="Cambria Math"/>
          <w:bCs w:val="0"/>
        </w:rPr>
        <w:t>∗</w:t>
      </w:r>
      <w:r w:rsidRPr="009E3E3E">
        <w:rPr>
          <w:rFonts w:ascii="Times New Roman" w:hAnsi="Times New Roman" w:cs="Times New Roman"/>
          <w:bCs w:val="0"/>
        </w:rPr>
        <w:t>b=b</w:t>
      </w:r>
      <w:r w:rsidRPr="009E3E3E">
        <w:rPr>
          <w:rFonts w:ascii="Cambria Math" w:hAnsi="Cambria Math" w:cs="Cambria Math"/>
          <w:bCs w:val="0"/>
        </w:rPr>
        <w:t>∗</w:t>
      </w:r>
      <w:r w:rsidRPr="009E3E3E">
        <w:rPr>
          <w:rFonts w:ascii="Times New Roman" w:hAnsi="Times New Roman" w:cs="Times New Roman"/>
          <w:bCs w:val="0"/>
        </w:rPr>
        <w:t>a,(3.200)a\ast b = b\ast a, \tag{3.200}a</w:t>
      </w:r>
      <w:r w:rsidRPr="009E3E3E">
        <w:rPr>
          <w:rFonts w:ascii="Cambria Math" w:hAnsi="Cambria Math" w:cs="Cambria Math"/>
          <w:bCs w:val="0"/>
        </w:rPr>
        <w:t>∗</w:t>
      </w:r>
      <w:r w:rsidRPr="009E3E3E">
        <w:rPr>
          <w:rFonts w:ascii="Times New Roman" w:hAnsi="Times New Roman" w:cs="Times New Roman"/>
          <w:bCs w:val="0"/>
        </w:rPr>
        <w:t>b=b</w:t>
      </w:r>
      <w:r w:rsidRPr="009E3E3E">
        <w:rPr>
          <w:rFonts w:ascii="Cambria Math" w:hAnsi="Cambria Math" w:cs="Cambria Math"/>
          <w:bCs w:val="0"/>
        </w:rPr>
        <w:t>∗</w:t>
      </w:r>
      <w:r w:rsidRPr="009E3E3E">
        <w:rPr>
          <w:rFonts w:ascii="Times New Roman" w:hAnsi="Times New Roman" w:cs="Times New Roman"/>
          <w:bCs w:val="0"/>
        </w:rPr>
        <w:t xml:space="preserve">a,(3.200)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a\ast b=b\ast 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 heißt die Gruppe kommutativ oder abelsch.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Gruppentheorie entstand ursprünglich aus Untersuchungen algebraischer Gleichungen durch Évariste Galois und entwickelte sich später zu einer universellen Beschreibung von Symmetrien (Évariste Galois: </w:t>
      </w:r>
      <w:r w:rsidRPr="009E3E3E">
        <w:rPr>
          <w:rFonts w:ascii="Times New Roman" w:hAnsi="Times New Roman" w:cs="Times New Roman"/>
          <w:bCs w:val="0"/>
          <w:i/>
          <w:iCs/>
        </w:rPr>
        <w:t>Œuvres Mathématiques</w:t>
      </w:r>
      <w:r w:rsidRPr="009E3E3E">
        <w:rPr>
          <w:rFonts w:ascii="Times New Roman" w:hAnsi="Times New Roman" w:cs="Times New Roman"/>
          <w:bCs w:val="0"/>
        </w:rPr>
        <w:t>, posthum veröffentlicht 1846)[78]. Heute erscheinen Gruppen in nahezu allen Bereichen der Mathematik und Physik, insbesondere bei Symmetrietransformationen, Drehungen, Permutationen und Erhaltungsgesetzen.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Gruppen beschreiben jedoch ausschließlich eine einzelne Verknüpfung. Viele mathematische Strukturen besitzen mehrere miteinander wechselwirkende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Deshalb erweitert die Algebra den Gruppenbegriff zu Ringen und Körpern. Ein Ring kombiniert zwei Verknüpfungen, von denen eine gruppenartig und die andere halbgruppenartig organisiert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3.2.20 – Ring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Ring ist eine Menge RRR mit zwei Verknüpfungen +++ und </w:t>
      </w:r>
      <w:r w:rsidRPr="009E3E3E">
        <w:rPr>
          <w:rFonts w:ascii="Cambria Math" w:hAnsi="Cambria Math" w:cs="Cambria Math"/>
          <w:bCs w:val="0"/>
        </w:rPr>
        <w:t>⋅</w:t>
      </w:r>
      <w:r w:rsidRPr="009E3E3E">
        <w:rPr>
          <w:rFonts w:ascii="Times New Roman" w:hAnsi="Times New Roman" w:cs="Times New Roman"/>
          <w:bCs w:val="0"/>
        </w:rPr>
        <w:t>\cdot</w:t>
      </w:r>
      <w:r w:rsidRPr="009E3E3E">
        <w:rPr>
          <w:rFonts w:ascii="Cambria Math" w:hAnsi="Cambria Math" w:cs="Cambria Math"/>
          <w:bCs w:val="0"/>
        </w:rPr>
        <w:t>⋅</w:t>
      </w:r>
      <w:r w:rsidRPr="009E3E3E">
        <w:rPr>
          <w:rFonts w:ascii="Times New Roman" w:hAnsi="Times New Roman" w:cs="Times New Roman"/>
          <w:bCs w:val="0"/>
        </w:rPr>
        <w:t>, sodass</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(R,+)(R,+)(R,+) eine abelsche Gruppe bildet,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(R,</w:t>
      </w:r>
      <w:r w:rsidRPr="009E3E3E">
        <w:rPr>
          <w:rFonts w:ascii="Cambria Math" w:hAnsi="Cambria Math" w:cs="Cambria Math"/>
          <w:bCs w:val="0"/>
        </w:rPr>
        <w:t>⋅</w:t>
      </w:r>
      <w:r w:rsidRPr="009E3E3E">
        <w:rPr>
          <w:rFonts w:ascii="Times New Roman" w:hAnsi="Times New Roman" w:cs="Times New Roman"/>
          <w:bCs w:val="0"/>
        </w:rPr>
        <w:t>)(R,\cdot)(R,</w:t>
      </w:r>
      <w:r w:rsidRPr="009E3E3E">
        <w:rPr>
          <w:rFonts w:ascii="Cambria Math" w:hAnsi="Cambria Math" w:cs="Cambria Math"/>
          <w:bCs w:val="0"/>
        </w:rPr>
        <w:t>⋅</w:t>
      </w:r>
      <w:r w:rsidRPr="009E3E3E">
        <w:rPr>
          <w:rFonts w:ascii="Times New Roman" w:hAnsi="Times New Roman" w:cs="Times New Roman"/>
          <w:bCs w:val="0"/>
        </w:rPr>
        <w:t xml:space="preserve">) assoziativ ist,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beide Operationen durch die Distributivgesetze verbunden sind: </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(b+c)=a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c.(3.201)a\cdot(b+c) = a\cdot b+a\cdot c. \tag{3.201}a</w:t>
      </w:r>
      <w:r w:rsidRPr="009E3E3E">
        <w:rPr>
          <w:rFonts w:ascii="Cambria Math" w:hAnsi="Cambria Math" w:cs="Cambria Math"/>
          <w:bCs w:val="0"/>
          <w:lang w:val="en-US"/>
        </w:rPr>
        <w:t>⋅</w:t>
      </w:r>
      <w:r w:rsidRPr="009E3E3E">
        <w:rPr>
          <w:rFonts w:ascii="Times New Roman" w:hAnsi="Times New Roman" w:cs="Times New Roman"/>
          <w:bCs w:val="0"/>
          <w:lang w:val="en-US"/>
        </w:rPr>
        <w:t>(b+c)=a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c.(3.201)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a\cdot(b+c)=a\cdot b+a\cdot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zusätzlich jedes von Null verschiedene Element multiplikativ invertierbar, entsteht ein Körper.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3.2.21 –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Körper ist ein Ring, für dessen Nichtnull-Elemente zusätzlich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a−1=1.(3.202)a\cdot a^{-1}=1. \tag{3.202}a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a−1=1.(3.202)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 a^{-1}=1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bekannten Zahlbereiche Q\mathbb{Q}Q, R\mathbb{R}R und C\mathbb{C}C sind Beispiele solcher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diesen Strukturen erreicht die klassische Algebra einen hohen Grad allgemeiner Abstraktion. Bemerkenswert ist dabei, dass keine Aussage über die Natur der Elemente getroffen wird. Entscheidend sind ausschließlich die Axiome der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Gerade hierin liegt die große Stärke der abstrakten Algebra. Unterschiedliche mathematische Gegenstände können dieselbe algebraische Struktur besitzen und deshalb mit denselben Methoden untersucht werden. Eine Gruppe beschreibt nicht Zahlen, sondern Symmetrie. Ein </w:t>
      </w:r>
      <w:r w:rsidRPr="009E3E3E">
        <w:rPr>
          <w:rFonts w:ascii="Times New Roman" w:hAnsi="Times New Roman" w:cs="Times New Roman"/>
          <w:bCs w:val="0"/>
        </w:rPr>
        <w:lastRenderedPageBreak/>
        <w:t>Ring beschreibt nicht konkrete Objekte, sondern die Wechselwirkung zweier Operationen. Ein Körper charakterisiert nicht reelle Zahlen, sondern ein bestimmtes axiomatisches Verhalten algebraischer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bildet eine unmittelbare Vorbereitung für den weiteren Aufbau der Dissertation. Im bisherigen Verlauf wurden Mengen als Träger und Relationen als Beschreibungen von Zusammenhängen eingeführt. Mit algebraischen Strukturen treten nun Operationen hinzu, die innerhalb eines mathematischen Systems neue Zustände erzeugen. Dadurch verschiebt sich der Schwerpunkt von der Beschreibung vorhandener Strukturen auf deren formale Veränderbarkeit.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Gleichzeitig wird auch hier eine Grenze sichtbar. Die Algebra legt fest, welche Operationen zulässig sind und welche Gesetze sie erfüllen. Sie erklärt jedoch nicht, weshalb gerade diese Operationen in einem konkreten System auftreten oder wodurch ihre Gesetzmäßigkeiten bestimmt werden. Die Axiome werden vorausgesetzt. Sie entstehen nicht aus der Algebra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diese Beobachtung von zentraler Bedeutung. Algebraische Strukturen liefern einen außerordentlich leistungsfähigen formalen Rahmen für Operationen innerhalb eines Systems. Die Frage nach der funktionalen Entstehung dieser Operationen sowie ihrer Einbettung in kohärente Organisationsprozesse bleibt jedoch weiterhin offen. Erst diese Fragestellung wird später den Übergang von der klassischen Mathematik zur funktionalen Rekonstruktion ermöglichen.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nächsten Abschnitt richte ich den Blick deshalb auf einen weiteren grundlegenden mathematischen Strukturbegriff: Graphen und Netzwerke. Dort verschiebt sich der Fokus von einzelnen Operationen auf die globale Organisation vieler miteinander verbundener Elemente und damit auf jene Strukturen, aus denen später komplexe funktionale Zusammenhänge rekonstruiert werden können.</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3.2.4 Graphen und Netzwerke als Darstellung relationaler Gesamtstrukturen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algebraischen Strukturen habe ich im vorhergehenden Abschnitt beschrieben, wie auf einer Menge Operationen definiert und durch gemeinsame Gesetzmäßigkeiten zu einer mathematischen Struktur verbunden werden können. Damit lässt sich formalisieren, wie Elemente innerhalb eines vorgegebenen Trägers miteinander verknüpft, transformiert oder invertiert werden. Noch nicht beantwortet ist jedoch die Frage, wie sich eine größere Zahl einzelner Elemente und ihrer Beziehungen als zusammenhängende Gesamtstruktur darstellen lässt.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Genau an dieser Stelle setzt die Graphentheorie an. Sie übernimmt die im Abschnitt 3.2.2 eingeführten Relationen, löst sie jedoch aus der ausschließlichen Betrachtung einzelner geordneter Paare. Stattdessen richtet sie den Blick auf die Organisation der Gesamtheit aller Elemente und Verbindungen. Ein Graph beschreibt damit nicht nur, dass zwischen zwei Elementen eine Relation besteht, sondern macht sichtbar, wie sich viele solcher Relationen zu Pfaden, Teilstrukturen, Zentren, Kreisläufen und zusammenhängenden Netzwerken verbinden.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 xml:space="preserve">Die historische Entstehung der Graphentheorie wird gewöhnlich mit Leonhard Eulers Untersuchung des Königsberger Brückenproblems verbunden. Euler reduzierte die konkrete räumliche Anordnung der Stadt auf Landbereiche und Brücken und zeigte, dass für die Lösbarkeit nicht die geometrischen Entfernungen, sondern ausschließlich die Verbindungsstruktur entscheidend ist (Leonhard Euler: „Solutio problematis ad geometriam situs pertinentis“. 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128–140)[79]. Damit entstand eine mathematische Betrachtungsweise, in der die Lage einzelner Objekte gegenüber ihrer strukturellen Verknüpfung zurücktritt.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Graphentheorie entwickelte diesen Grundgedanken zu einem eigenständigen mathematischen Gebiet. Reinhard Diestel stellt Graphen als diskrete Strukturen dar, in denen lokale Verbindungen und globale Eigenschaften systematisch miteinander in Beziehung gesetzt werden können (Reinhard Diestel: </w:t>
      </w:r>
      <w:r w:rsidRPr="009E3E3E">
        <w:rPr>
          <w:rFonts w:ascii="Times New Roman" w:hAnsi="Times New Roman" w:cs="Times New Roman"/>
          <w:bCs w:val="0"/>
          <w:i/>
          <w:iCs/>
        </w:rPr>
        <w:t>Graph Theory</w:t>
      </w:r>
      <w:r w:rsidRPr="009E3E3E">
        <w:rPr>
          <w:rFonts w:ascii="Times New Roman" w:hAnsi="Times New Roman" w:cs="Times New Roman"/>
          <w:bCs w:val="0"/>
        </w:rPr>
        <w:t xml:space="preserve">. 5. Auflage. Berlin/Heidelberg: Springer, 2017)[80]. Mark Newman erweitert diese Perspektive auf komplexe Netzwerke und untersucht insbesondere die statistischen Eigenschaften großer realer Verbindungssysteme (Mark Newman: </w:t>
      </w:r>
      <w:r w:rsidRPr="009E3E3E">
        <w:rPr>
          <w:rFonts w:ascii="Times New Roman" w:hAnsi="Times New Roman" w:cs="Times New Roman"/>
          <w:bCs w:val="0"/>
          <w:i/>
          <w:iCs/>
        </w:rPr>
        <w:t>Networks</w:t>
      </w:r>
      <w:r w:rsidRPr="009E3E3E">
        <w:rPr>
          <w:rFonts w:ascii="Times New Roman" w:hAnsi="Times New Roman" w:cs="Times New Roman"/>
          <w:bCs w:val="0"/>
        </w:rPr>
        <w:t>. 2. Auflage. Oxford: Oxford University Press, 2018)[81].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Erweiterung wesentlich. Relationen bilden einzelne Verbindungen formal ab. Ein Graph fasst diese Verbindungen zu einer Struktur zusammen, deren Eigenschaften nicht mehr allein aus der isolierten Betrachtung einzelner Kanten hervorgehen. Zusammenhang, Erreichbarkeit, Zentralität oder Clusterbildung sind Eigenschaften des gesamten Graphen oder größerer Teilbereiche. Damit tritt erstmals deutlich eine Ebene hervor, auf der lokale Verbindungen und globale Organisation mathematisch gemeinsam untersucht werden können.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3.2.22 –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ist ein geordnetes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G=(V,E),(3.203)G=(V,E), \tag{3.203}G=(V,E),(3.203)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G=(V,E)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wobei VVV die Menge der Knoten und EEE die Menge der Kanten bezeichnet.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ungerichteten einfachen Graphen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V,  u≠v}.(3.204)E\subseteq \bigl\{\{u,v\}\mid u,v\in V,\;u\neq v\bigr\}. \tag{3.204}E</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 xml:space="preserve">V,u=v}.(3.204)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E\subseteq\bigl\{\{u,v\}\mid u,v\in V,\;u\neq v\bigr\}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Kante besitzt in diesem Fall keine ausgezeichnete Richtung. Die Verbindung zwischen uuu und vvv ist mit der Verbindung zwischen vvv und uuu identisch. Damit entspricht ein ungerichteter Graph einer symmetrischen Relation ohne notwendige Schleifen.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gerichteten Graphen werden die Kanten dagegen als geordnete Paare behandelt.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3.2.23 – Gerichteter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gerichteter Graph ist ein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 xml:space="preserve">G=(V,E)(3.205)G=(V,E) \tag{3.205}G=(V,E)(3.205)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G=(V,E)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V×V.(3.206)E\subseteq V\times V. \tag{3.206}E</w:t>
      </w:r>
      <w:r w:rsidRPr="009E3E3E">
        <w:rPr>
          <w:rFonts w:ascii="Cambria Math" w:hAnsi="Cambria Math" w:cs="Cambria Math"/>
          <w:bCs w:val="0"/>
        </w:rPr>
        <w:t>⊆</w:t>
      </w:r>
      <w:r w:rsidRPr="009E3E3E">
        <w:rPr>
          <w:rFonts w:ascii="Times New Roman" w:hAnsi="Times New Roman" w:cs="Times New Roman"/>
          <w:bCs w:val="0"/>
        </w:rPr>
        <w:t xml:space="preserve">V×V.(3.206)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E\subseteq V\times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gerichtete Kante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E(3.207)(u,v)\in E \tag{3.207}(u,v)</w:t>
      </w:r>
      <w:r w:rsidRPr="009E3E3E">
        <w:rPr>
          <w:rFonts w:ascii="Cambria Math" w:hAnsi="Cambria Math" w:cs="Cambria Math"/>
          <w:bCs w:val="0"/>
        </w:rPr>
        <w:t>∈</w:t>
      </w:r>
      <w:r w:rsidRPr="009E3E3E">
        <w:rPr>
          <w:rFonts w:ascii="Times New Roman" w:hAnsi="Times New Roman" w:cs="Times New Roman"/>
          <w:bCs w:val="0"/>
        </w:rPr>
        <w:t xml:space="preserve">E(3.207)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(u,v)\in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führt vom Ausgangsknoten uuu zum Zielknoten vvv. Im Allgemeinen folgt daraus nicht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E.(3.208)(v,u)\in E. \tag{3.208}(v,u)</w:t>
      </w:r>
      <w:r w:rsidRPr="009E3E3E">
        <w:rPr>
          <w:rFonts w:ascii="Cambria Math" w:hAnsi="Cambria Math" w:cs="Cambria Math"/>
          <w:bCs w:val="0"/>
        </w:rPr>
        <w:t>∈</w:t>
      </w:r>
      <w:r w:rsidRPr="009E3E3E">
        <w:rPr>
          <w:rFonts w:ascii="Times New Roman" w:hAnsi="Times New Roman" w:cs="Times New Roman"/>
          <w:bCs w:val="0"/>
        </w:rPr>
        <w:t xml:space="preserve">E.(3.208)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(v,u)\in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gerichtete Graph ist damit eine unmittelbare graphentheoretische Darstellung einer binären Relation. Die graphische und strukturelle Interpretation erweitert jedoch die bloße Mengendarstellung der Relation. Knoten können hinsichtlich ihrer Position im Gesamtgraphen untersucht werden, Kanten können Folgen bilden, und aus der Gesamtheit lokaler Verbindungen entstehen globale Strukturmerkmale.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lokale Kenngröße eines Knotens ist sein Grad.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3.2.24 – Knotengrad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ungerichteten Graphen G=(V,E)G=(V,E)G=(V,E) ist der Grad eines Knotens 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V definiert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.(3.209)\deg(v) = \left| \left\{ u\in V \mid \{u,v\}\in E \right\} \right|. \tag{3.209}deg(v)=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.(3.209)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\deg(v)=\left|\left\{u\in V\mid\{u,v\}\in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Knotengrad gibt die Anzahl der unmittelbar mit vvv verbundenen Knoten an. Er beschreibt damit ausschließlich die lokale Vernetzung des Knotens. Aus einem hohen Grad kann eine besondere strukturelle Bedeutung folgen, sie ist dadurch jedoch nicht vollständig bestimmt. Ein Knoten mit wenigen direkten Verbindungen kann beispielsweise dennoch zwischen ansonsten getrennten Bereichen eines Graphen vermitteln.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müssen Eingangs- und Ausgangsgrad unterschieden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(3.210)\deg^{-}(v) = \left| \left\{ u\in V \mid (u,v)\in E \right\} \right| \tag{3.210}deg−(v)=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\deg^{-}(v)=\left|\left\{u\in V\mid(u,v)\in E\right\}\right|</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deg⁡+(v)=</w:t>
      </w:r>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.(3.211)\deg^{+}(v) = \left| \left\{ w\in V \mid (v,w)\in E \right\} \right|. \tag{3.211}deg+(v)=</w:t>
      </w:r>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 xml:space="preserve">.(3.211)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\deg^{+}(v)=\left|\left\{w\in V\mid(v,w)\in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Eingangsgrad beschreibt, wie viele gerichtete Kanten auf einen Knoten zulaufen. Der Ausgangsgrad gibt an, wie viele Kanten von ihm ausgehen. Diese Unterscheidung wird wichtig, sobald Beziehungen nicht symmetrisch sind. In Kommunikations-, Einfluss- oder Abhängigkeitsnetzwerken können beide Größen deutlich voneinander abweichen.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3.2.4 – Handschlaglemma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endlichen ungerichteten Graphen G=(V,E)G=(V,E)G=(V,E)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.(3.212)\sum_{v\in V}\deg(v)=2|E|. \tag{3.212}v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\sum_{v\in V}\deg(v)=2|E|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 Kante eines ungerichteten Graphen besitzt genau zwei Endknoten. Bei der Summation sämtlicher Knotengrade wird jede Kante daher genau zweimal gezählt, einmal an jedem ihrer Endpunkte. Folglich entspricht die Summe aller Knotengrade dem Doppelten der Kantenzahl.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unmittelbare Konsequenz besteht darin, dass die Anzahl der Knoten ungeraden Grades stets gerade ist. Da die Gesamtsumme der Grade gerade ist, können ungerade Summanden nur in gerader Anzahl auftreten. Bereits dieses einfache Ergebnis zeigt, dass lokale Knoteneigenschaften durch eine globale Bedingung des gesamten Graphen miteinander verbunden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endliche Graphen kann die Kantenstruktur durch eine Matrix dargestellt werden.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3.2.25 – Adjazenzmatrix</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V={v1,v2,…,vn}.(3.213)V=\{v_1,v_2,\ldots,v_n\}. \tag{3.213}V={v1​,v2​,…,vn​}.(3.213)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V=\{v_1,v_2,\ldots,v_n\}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Adjazenzmatrix eines Graphen GGG ist die Matrix</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AG=(aij)</w:t>
      </w:r>
      <w:r w:rsidRPr="009E3E3E">
        <w:rPr>
          <w:rFonts w:ascii="Cambria Math" w:hAnsi="Cambria Math" w:cs="Cambria Math"/>
          <w:bCs w:val="0"/>
        </w:rPr>
        <w:t>∈</w:t>
      </w:r>
      <w:r w:rsidRPr="009E3E3E">
        <w:rPr>
          <w:rFonts w:ascii="Times New Roman" w:hAnsi="Times New Roman" w:cs="Times New Roman"/>
          <w:bCs w:val="0"/>
        </w:rPr>
        <w:t>{0,1}n×n(3.214)\mathbf{A}_G=(a_{ij})\in\{0,1\}^{n\times n} \tag{3.214}AG​=(aij​)</w:t>
      </w:r>
      <w:r w:rsidRPr="009E3E3E">
        <w:rPr>
          <w:rFonts w:ascii="Cambria Math" w:hAnsi="Cambria Math" w:cs="Cambria Math"/>
          <w:bCs w:val="0"/>
        </w:rPr>
        <w:t>∈</w:t>
      </w:r>
      <w:r w:rsidRPr="009E3E3E">
        <w:rPr>
          <w:rFonts w:ascii="Times New Roman" w:hAnsi="Times New Roman" w:cs="Times New Roman"/>
          <w:bCs w:val="0"/>
        </w:rPr>
        <w:t xml:space="preserve">{0,1}n×n(3.214)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\mathbf{A}_G=(a_{ij})\in\{0,1\}^{n\times 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mit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aij={1,(vi,vj)</w:t>
      </w:r>
      <w:r w:rsidRPr="009E3E3E">
        <w:rPr>
          <w:rFonts w:ascii="Cambria Math" w:hAnsi="Cambria Math" w:cs="Cambria Math"/>
          <w:bCs w:val="0"/>
          <w:lang w:val="en-US"/>
        </w:rPr>
        <w:t>∈</w:t>
      </w:r>
      <w:r w:rsidRPr="009E3E3E">
        <w:rPr>
          <w:rFonts w:ascii="Times New Roman" w:hAnsi="Times New Roman" w:cs="Times New Roman"/>
          <w:bCs w:val="0"/>
          <w:lang w:val="en-US"/>
        </w:rPr>
        <w:t>E,0,(vi,vj)</w:t>
      </w:r>
      <w:r w:rsidRPr="009E3E3E">
        <w:rPr>
          <w:rFonts w:ascii="Cambria Math" w:hAnsi="Cambria Math" w:cs="Cambria Math"/>
          <w:bCs w:val="0"/>
          <w:lang w:val="en-US"/>
        </w:rPr>
        <w:t>∉</w:t>
      </w:r>
      <w:r w:rsidRPr="009E3E3E">
        <w:rPr>
          <w:rFonts w:ascii="Times New Roman" w:hAnsi="Times New Roman" w:cs="Times New Roman"/>
          <w:bCs w:val="0"/>
          <w:lang w:val="en-US"/>
        </w:rPr>
        <w:t>E.(3.215)a_{ij} = \begin{cases} 1,&amp;(v_i,v_j)\in E,\\ 0,&amp;(v_i,v_j)\notin E. \end{cases} \tag{3.215}aij​={1,0,​(vi​,vj​)</w:t>
      </w:r>
      <w:r w:rsidRPr="009E3E3E">
        <w:rPr>
          <w:rFonts w:ascii="Cambria Math" w:hAnsi="Cambria Math" w:cs="Cambria Math"/>
          <w:bCs w:val="0"/>
          <w:lang w:val="en-US"/>
        </w:rPr>
        <w:t>∈</w:t>
      </w:r>
      <w:r w:rsidRPr="009E3E3E">
        <w:rPr>
          <w:rFonts w:ascii="Times New Roman" w:hAnsi="Times New Roman" w:cs="Times New Roman"/>
          <w:bCs w:val="0"/>
          <w:lang w:val="en-US"/>
        </w:rPr>
        <w:t>E,(vi​,vj​)</w:t>
      </w:r>
      <w:r w:rsidRPr="009E3E3E">
        <w:rPr>
          <w:rFonts w:ascii="Cambria Math" w:hAnsi="Cambria Math" w:cs="Cambria Math"/>
          <w:bCs w:val="0"/>
          <w:lang w:val="en-US"/>
        </w:rPr>
        <w:t>∈</w:t>
      </w:r>
      <w:r w:rsidRPr="009E3E3E">
        <w:rPr>
          <w:rFonts w:ascii="Times New Roman" w:hAnsi="Times New Roman" w:cs="Times New Roman"/>
          <w:bCs w:val="0"/>
          <w:lang w:val="en-US"/>
        </w:rPr>
        <w:t xml:space="preserve">/E.​(3.215)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a_{ij}=\begin{cases}1,&amp;(v_i,v_j)\in E,\\0,&amp;(v_i,v_j)\notin E.\end{cases}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einem ungerichteten Graphen ist die Adjazenzmatrix symmetrisch:</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AGT=AG.(3.216)\mathbf{A}_G^{\mathsf T} = \mathbf{A}_G. \tag{3.216}AGT​=AG​.(3.216)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\mathbf{A}_G^{\mathsf T}=\mathbf{A}_G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Matrixdarstellung verbindet die Graphentheorie mit der linearen Algebra. Während der Graph eine strukturell anschauliche Darstellung bereitstellt, macht die Adjazenzmatrix dieselbe Struktur rechnerisch zugänglich. Matrixpotenzen geben beispielsweise Auskunft über Folgen von Kanten. Für k</w:t>
      </w:r>
      <w:r w:rsidRPr="009E3E3E">
        <w:rPr>
          <w:rFonts w:ascii="Cambria Math" w:hAnsi="Cambria Math" w:cs="Cambria Math"/>
          <w:bCs w:val="0"/>
        </w:rPr>
        <w:t>∈</w:t>
      </w:r>
      <w:r w:rsidRPr="009E3E3E">
        <w:rPr>
          <w:rFonts w:ascii="Times New Roman" w:hAnsi="Times New Roman" w:cs="Times New Roman"/>
          <w:bCs w:val="0"/>
        </w:rPr>
        <w:t>Nk\in\mathbb{N}k</w:t>
      </w:r>
      <w:r w:rsidRPr="009E3E3E">
        <w:rPr>
          <w:rFonts w:ascii="Cambria Math" w:hAnsi="Cambria Math" w:cs="Cambria Math"/>
          <w:bCs w:val="0"/>
        </w:rPr>
        <w:t>∈</w:t>
      </w:r>
      <w:r w:rsidRPr="009E3E3E">
        <w:rPr>
          <w:rFonts w:ascii="Times New Roman" w:hAnsi="Times New Roman" w:cs="Times New Roman"/>
          <w:bCs w:val="0"/>
        </w:rPr>
        <w:t>N beschreibt der Eintrag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(AGk)ij(3.217)\left(\mathbf{A}_G^k\right)_{ij} \tag{3.217}(AGk​)ij​(3.217)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\left(\mathbf{A}_G^k\right)_{ij}</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Kantenzüge der Länge kkk von viv_ivi​ nach vjv_jvj​, sofern die Matrixmultiplikation über den natürlichen Zahlen ausgeführt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wird eine Verbindung zur relationalen Komposition sichtbar. Die Potenzen einer Relation beschreiben Erreichbarkeit über mehrere relationale Schritte. Die Potenzen einer Adjazenzmatrix stellen dieselbe Grundidee algebraisch dar und bewahren zusätzlich die Anzahl möglicher Kantenzüge.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Um solche Verbindungsfolgen präzise zu unterscheiden, werden Kantenzüge, Wege und Pfade eingeführt.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3.2.26 – Kantenzug und Pfad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Kantenzug der Länge kkk ist eine Folge von Knoten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W=(v0,v1,…,vk),(3.218)W=(v_0,v_1,\ldots,v_k), \tag{3.218}W=(v0​,v1​,…,vk​),(3.218)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W=(v_0,v_1,\ldots,v_k)</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(vi−1,vi)</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{1,…,k}(3.219)(v_{i-1},v_i)\in E \qquad \text{für alle } i\in\{1,\ldots,k\} \tag{3.219}(vi−1​,vi​)</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 xml:space="preserve">{1,…,k}(3.219)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(v_{i-1},v_i)\in E\qquad\text{für alle }i\in\{1,\ldots,k\}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Pfad ist ein Kantenzug, in dem kein Knoten mehrfach vorkommt. Seine Länge entspricht der Zahl der durchlaufenen Kanten.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Unterscheidung zwischen einer unmittelbaren Kante und einem Pfad ist mathematisch wesentlich. Zwei Knoten können miteinander verbunden sein, ohne direkt benachbart zu sein. Damit entsteht eine gestufte Form relationaler Nähe. Direkte Verbindung, Erreichbarkeit über wenige Zwischenschritte und Erreichbarkeit über lange Pfade stellen unterschiedliche strukturelle Situationen dar.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3.2.27 – Zusammenhang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ungerichteter Graph heißt zusammenhängend, wenn für je zwei Knoten u,v</w:t>
      </w:r>
      <w:r w:rsidRPr="009E3E3E">
        <w:rPr>
          <w:rFonts w:ascii="Cambria Math" w:hAnsi="Cambria Math" w:cs="Cambria Math"/>
          <w:bCs w:val="0"/>
        </w:rPr>
        <w:t>∈</w:t>
      </w:r>
      <w:r w:rsidRPr="009E3E3E">
        <w:rPr>
          <w:rFonts w:ascii="Times New Roman" w:hAnsi="Times New Roman" w:cs="Times New Roman"/>
          <w:bCs w:val="0"/>
        </w:rPr>
        <w:t>Vu,v\in Vu,v</w:t>
      </w:r>
      <w:r w:rsidRPr="009E3E3E">
        <w:rPr>
          <w:rFonts w:ascii="Cambria Math" w:hAnsi="Cambria Math" w:cs="Cambria Math"/>
          <w:bCs w:val="0"/>
        </w:rPr>
        <w:t>∈</w:t>
      </w:r>
      <w:r w:rsidRPr="009E3E3E">
        <w:rPr>
          <w:rFonts w:ascii="Times New Roman" w:hAnsi="Times New Roman" w:cs="Times New Roman"/>
          <w:bCs w:val="0"/>
        </w:rPr>
        <w:t>V ein Pfad von uuu nach vvv existiert: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V  </w:t>
      </w:r>
      <w:r w:rsidRPr="009E3E3E">
        <w:rPr>
          <w:rFonts w:ascii="Cambria Math" w:hAnsi="Cambria Math" w:cs="Cambria Math"/>
          <w:bCs w:val="0"/>
        </w:rPr>
        <w:t>∃</w:t>
      </w:r>
      <w:r w:rsidRPr="009E3E3E">
        <w:rPr>
          <w:rFonts w:ascii="Times New Roman" w:hAnsi="Times New Roman" w:cs="Times New Roman"/>
          <w:bCs w:val="0"/>
        </w:rPr>
        <w:t>Puv.(3.220)\forall u,v\in V\; \exists P_{uv}. \tag{3.220}</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Puv​.(3.220)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u,v\in V\;\exists P_{uv}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Graph nicht zusammenhängend, zerfällt er in Zusammenhangskomponenten. Jede Komponente ist für sich zusammenhängend, besitzt jedoch keine Kante zu den übrigen Komponenten.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unterscheide ich zwischen schwachem und starkem Zusammenhang. Ein gerichteter Graph heißt stark zusammenhängend, wenn jeder Knoten von jedem anderen Knoten durch einen gerichteten Pfad erreichbar ist: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v.(3.221)\forall u,v\in V: u\leadsto v. \tag{3.221}</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 xml:space="preserve">v.(3.221)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u,v\in V:\;u\leadsto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Starker Zusammenhang setzt wechselseitige Erreichbarkeit voraus, nicht jedoch eine direkte symmetrische Verbindung. Dadurch kann ein gerichtetes Netzwerk als Ganzes wechselseitig zugänglich sein, obwohl einzelne Kanten ausschließlich in eine Richtung verlaufen.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Auf Grundlage der Pfade lässt sich ein graphentheoretischer Abstand definieren.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3.2.28 – Graphendistanz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zwei Knoten u,vu,vu,v eines zusammenhängenden Graphen ist die Distanz</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dG(u,v)=min⁡{ℓ(P)</w:t>
      </w:r>
      <w:r w:rsidRPr="009E3E3E">
        <w:rPr>
          <w:rFonts w:ascii="Cambria Math" w:hAnsi="Cambria Math" w:cs="Cambria Math"/>
          <w:bCs w:val="0"/>
        </w:rPr>
        <w:t>∣</w:t>
      </w:r>
      <w:r w:rsidRPr="009E3E3E">
        <w:rPr>
          <w:rFonts w:ascii="Times New Roman" w:hAnsi="Times New Roman" w:cs="Times New Roman"/>
          <w:bCs w:val="0"/>
        </w:rPr>
        <w:t>P ist ein Pfad von u nach v}.(3.222)d_G(u,v) = \min \left\{ \ell(P) \mid P\text{ ist ein Pfad von }u\text{ nach }v \right\}. \tag{3.222}dG​(u,v)=min{ℓ(P)</w:t>
      </w:r>
      <w:r w:rsidRPr="009E3E3E">
        <w:rPr>
          <w:rFonts w:ascii="Cambria Math" w:hAnsi="Cambria Math" w:cs="Cambria Math"/>
          <w:bCs w:val="0"/>
        </w:rPr>
        <w:t>∣</w:t>
      </w:r>
      <w:r w:rsidRPr="009E3E3E">
        <w:rPr>
          <w:rFonts w:ascii="Times New Roman" w:hAnsi="Times New Roman" w:cs="Times New Roman"/>
          <w:bCs w:val="0"/>
        </w:rPr>
        <w:t xml:space="preserve">P ist ein Pfad von u nach v}.(3.222)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d_G(u,v)=\min\left\{\ell(P)\mid P\text{ ist ein Pfad von }u\text{ nach }v\right\}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Graphendistanz ist die Länge eines kürzesten Pfades zwischen zwei Knoten. Sie hängt nicht von einer räumlichen Entfernung ab. Zwei räumlich nahe Objekte können im Graphen </w:t>
      </w:r>
      <w:r w:rsidRPr="009E3E3E">
        <w:rPr>
          <w:rFonts w:ascii="Times New Roman" w:hAnsi="Times New Roman" w:cs="Times New Roman"/>
          <w:bCs w:val="0"/>
        </w:rPr>
        <w:lastRenderedPageBreak/>
        <w:t>weit voneinander entfernt sein, wenn sie nur über viele Zwischenschritte verbunden sind. Umgekehrt können räumlich weit entfernte Objekte graphentheoretisch benachbart sein.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Trennung von geometrischer und struktureller Entfernung besitzt für relationale Modelle besondere Bedeutung. Graphen beschreiben keine physikalische Lage, sofern eine solche nicht ausdrücklich zusätzlich definiert wird. Ihre Nähe entsteht ausschließlich aus der Struktur der Verbindungen.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kann außerdem geschlossene Wege enthalten.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3.2.29 – Zyklus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Zyklus ist ein geschlossener Pfad</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C=(v0,v1,…,vk−1,v0),(3.223)C=(v_0,v_1,\ldots,v_{k-1},v_0), \tag{3.223}C=(v0​,v1​,…,vk−1​,v0​),(3.223)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C=(v_0,v_1,\ldots,v_{k-1},v_0)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dem die Knoten v0,…,vk−1v_0,\ldots,v_{k-1}v0​,…,vk−1​ paarweise verschieden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Zyklen sind strukturell bedeutsam, weil sie Rückwege, Rückkopplungen und alternative Verbindungsverläufe ermöglichen. Ein azyklischer Graph besitzt dagegen keine solchen geschlossenen Pfade. Ein zusammenhängender ungerichteter azyklischer Graph heißt Baum.</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3.2.30 –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Baum ist ein zusammenhängender ungerichteter Graph ohne Zyklen.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endlichen Baum T=(V,E)T=(V,E)T=(V,E) gilt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−1.(3.224)|E|=|V|-1. \tag{3.224}</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−1.(3.224)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|E|=|V|-1</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3.2.5 – Eindeutigkeit der Pfade in einem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einem Baum existiert zwischen je zwei verschiedenen Knoten genau ein Pfad.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 ein Baum zusammenhängend ist, existiert zwischen je zwei Knoten mindestens ein Pfad. Angenommen, zwischen zwei Knoten gäbe es zwei verschiedene Pfade. Dann würden diese Pfade gemeinsam einen Zyklus enthalten. Dies widerspricht der Azyklizität des Baumes. Somit ist der Pfad eindeutig.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Bäume bilden hierarchische und verzweigungsartige Strukturen besonders klar ab. Ihre Eindeutigkeit der Verbindungswege erleichtert zahlreiche mathematische und algorithmische Verfahren. Zugleich besitzen Bäume keine redundanten Verbindungen. Wird eine einzelne </w:t>
      </w:r>
      <w:r w:rsidRPr="009E3E3E">
        <w:rPr>
          <w:rFonts w:ascii="Times New Roman" w:hAnsi="Times New Roman" w:cs="Times New Roman"/>
          <w:bCs w:val="0"/>
        </w:rPr>
        <w:lastRenderedPageBreak/>
        <w:t>Kante entfernt, zerfällt der Baum in zwei Komponenten. Redundanz und Robustheit sind daher nicht unabhängig von der Zyklenstruktur eines Graphen.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reale Systeme reicht die bloße Unterscheidung zwischen vorhandenen und nicht vorhandenen Kanten häufig nicht aus. Verbindungen können unterschiedlich stark, lang, wahrscheinlich, teuer oder zuverlässig sein. Dies führt zum gewichteten Graphen.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3.2.31 – Gewichteter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gewichteter Graph ist ein Tripel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G=(V,E,w)(3.225)G=(V,E,w) \tag{3.225}G=(V,E,w)(3.225)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G=(V,E,w)</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einer Gewichtsfunktion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 xml:space="preserve">w:E→R.(3.226)w:E\rightarrow\mathbb{R}. </w:t>
      </w:r>
      <w:r w:rsidRPr="009E3E3E">
        <w:rPr>
          <w:rFonts w:ascii="Times New Roman" w:hAnsi="Times New Roman" w:cs="Times New Roman"/>
          <w:bCs w:val="0"/>
          <w:lang w:val="en-US"/>
        </w:rPr>
        <w:t xml:space="preserve">\tag{3.226}w:E→R.(3.226)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w:E\rightarrow\mathbb{R}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Element der Kantenmenge wird damit ein reeller Wert zugeordnet. Die Bedeutung dieses Wertes hängt vom Modell ab. Er kann Stärke, Entfernung, Kapazität, Wahrscheinlichkeit oder eine andere quantifizierbare Eigenschaft der Verbindung ausdrücken.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Länge eines Pfades kann dann als Summe seiner Kantengewichte bestimmt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Lw(P)=∑e</w:t>
      </w:r>
      <w:r w:rsidRPr="009E3E3E">
        <w:rPr>
          <w:rFonts w:ascii="Cambria Math" w:hAnsi="Cambria Math" w:cs="Cambria Math"/>
          <w:bCs w:val="0"/>
        </w:rPr>
        <w:t>∈</w:t>
      </w:r>
      <w:r w:rsidRPr="009E3E3E">
        <w:rPr>
          <w:rFonts w:ascii="Times New Roman" w:hAnsi="Times New Roman" w:cs="Times New Roman"/>
          <w:bCs w:val="0"/>
        </w:rPr>
        <w:t>Pw(e).(3.227)L_w(P) = \sum_{e\in P}w(e). \tag{3.227}Lw​(P)=e</w:t>
      </w:r>
      <w:r w:rsidRPr="009E3E3E">
        <w:rPr>
          <w:rFonts w:ascii="Cambria Math" w:hAnsi="Cambria Math" w:cs="Cambria Math"/>
          <w:bCs w:val="0"/>
        </w:rPr>
        <w:t>∈</w:t>
      </w:r>
      <w:r w:rsidRPr="009E3E3E">
        <w:rPr>
          <w:rFonts w:ascii="Times New Roman" w:hAnsi="Times New Roman" w:cs="Times New Roman"/>
          <w:bCs w:val="0"/>
        </w:rPr>
        <w:t xml:space="preserve">P∑​w(e).(3.227)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L_w(P)=\sum_{e\in P}w(e)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gewichtete Distanz ergibt sich aus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dw(u,v)=min⁡P:u</w:t>
      </w:r>
      <w:r w:rsidRPr="009E3E3E">
        <w:rPr>
          <w:rFonts w:ascii="Cambria Math" w:hAnsi="Cambria Math" w:cs="Cambria Math"/>
          <w:bCs w:val="0"/>
        </w:rPr>
        <w:t>⇝</w:t>
      </w:r>
      <w:r w:rsidRPr="009E3E3E">
        <w:rPr>
          <w:rFonts w:ascii="Times New Roman" w:hAnsi="Times New Roman" w:cs="Times New Roman"/>
          <w:bCs w:val="0"/>
        </w:rPr>
        <w:t>vLw(P).(3.228)d_w(u,v) = \min_{P:u\leadsto v}L_w(P). \tag{3.228}dw​(u,v)=P:u</w:t>
      </w:r>
      <w:r w:rsidRPr="009E3E3E">
        <w:rPr>
          <w:rFonts w:ascii="Cambria Math" w:hAnsi="Cambria Math" w:cs="Cambria Math"/>
          <w:bCs w:val="0"/>
        </w:rPr>
        <w:t>⇝</w:t>
      </w:r>
      <w:r w:rsidRPr="009E3E3E">
        <w:rPr>
          <w:rFonts w:ascii="Times New Roman" w:hAnsi="Times New Roman" w:cs="Times New Roman"/>
          <w:bCs w:val="0"/>
        </w:rPr>
        <w:t xml:space="preserve">vmin​Lw​(P).(3.228)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d_w(u,v)=\min_{P:u\leadsto v}L_w(P)</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Gewichtete Graphen erweitern die binäre Relationsentscheidung um quantitative Eigenschaften. Dennoch bleibt auch hier die Kantenmenge vorausgesetzt. Die Gewichtsfunktion beschreibt die Ausprägung bereits festgelegter Verbindungen. Sie erklärt nicht, weshalb eine Verbindung entsteht, wodurch ihr Gewicht bestimmt wird oder wie sich dieses Gewicht verändert.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Mit wachsender Größe realer Graphen tritt neben die klassische Graphentheorie die Netzwerkwissenschaft. Sie untersucht nicht nur einzelne exakt vorgegebene Graphen, sondern charakteristische Strukturen großer Netzwerke. Albert-László Barabási beschreibt insbesondere Netzwerke, deren Gradverteilungen stark ungleichmäßig sind und in denen wenige hochgradige Knoten einen erheblichen Anteil der Verbindungen tragen (Albert-László Barabási: </w:t>
      </w:r>
      <w:r w:rsidRPr="009E3E3E">
        <w:rPr>
          <w:rFonts w:ascii="Times New Roman" w:hAnsi="Times New Roman" w:cs="Times New Roman"/>
          <w:bCs w:val="0"/>
          <w:i/>
          <w:iCs/>
        </w:rPr>
        <w:t>Network Science</w:t>
      </w:r>
      <w:r w:rsidRPr="009E3E3E">
        <w:rPr>
          <w:rFonts w:ascii="Times New Roman" w:hAnsi="Times New Roman" w:cs="Times New Roman"/>
          <w:bCs w:val="0"/>
        </w:rPr>
        <w:t>. Cambridge: Cambridge University Press, 2016)[82].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Gradverteilung eines endlichen Netzwerks kann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(3.229)P(k) = \frac{ \left| \left\{ v\in V \mid \deg(v)=k \right\} \right| }{ |V| } \tag{3.229}P(k)=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 xml:space="preserve">​(3.229)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P(k)=\frac{\left|\left\{v\in V\mid\deg(v)=k\right\}\right|}{|V|}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definiert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gibt den Anteil der Knoten mit Grad kkk an. In zufälligen, regulären oder skalenfreien Netzwerken können sich deutlich unterschiedliche Gradverteilungen ergeben. Dadurch wird sichtbar, dass Netzwerke mit gleicher Knoten- und Kantenzahl dennoch grundlegend verschiedene Organisationsformen besitzen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weitere lokale Größe ist der Clusterkoeffizient. Für einen Knoten vvv mit Grad kv≥2k_v\geq 2kv​≥2 sei eve_vev​ die Zahl der Kanten zwischen seinen Nachbarknoten.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C(v)=2evkv(kv−1).(3.230)C(v) = \frac{2e_v}{k_v(k_v-1)}. \tag{3.230}C(v)=kv​(kv​−1)2ev​​.(3.230)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C(v)=\frac{2e_v}{k_v(k_v-1)}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Clusterkoeffizient beschreibt, welcher Anteil der zwischen den Nachbarn eines Knotens möglichen Verbindungen tatsächlich besteht. Hohe Werte weisen auf lokal stark verdichtete Teilstrukturen hin.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lokaler Verdichtung wird die strukturelle Bedeutung einzelner Knoten durch Zentralitätsmaße untersucht. Die normierte Gradzentralität eines Knotens lautet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CD(v)=deg⁡(v)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−1.(3.231)C_D(v) = \frac{\deg(v)}{|V|-1}. \tag{3.231}CD​(v)=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−1deg(v)​.(3.231)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C_D(v)=\frac{\deg(v)}{|V|-1}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bewertet einen Knoten nach der Zahl seiner unmittelbaren Verbindungen. Andere Zentralitätsmaße berücksichtigen dagegen kürzeste Pfade, Vermittlungspositionen oder die Zentralität benachbarter Knoten. Dadurch wird deutlich, dass strukturelle Bedeutung kein eindimensionaler Begriff ist. Ein Knoten kann lokal hochgradig, global jedoch randständig sein. Ein anderer Knoten kann nur wenige Verbindungen besitzen und dennoch als Brücke zwischen mehreren Teilnetzwerken wirken.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meiner Sicht liegt genau hier eine Stärke der Graphen- und Netzwerktheorie. Sie ermöglicht es, relationale Organisation auf mehreren Ebenen gleichzeitig zu untersuchen. Einzelne Kanten beschreiben lokale Verbindungen. Knotengrade und Clusterkoeffizienten erfassen lokale Einbettungen. Pfade und Distanzen beschreiben mittelbare Beziehungen. Komponenten, Zyklen und Gradverteilungen charakterisieren die Gesamtstruktur.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Gleichzeitig muss ich die Grenzen dieser Darstellung deutlich festhalten. Ein Graph enthält zunächst Knoten und Kanten. Er setzt damit sowohl die Elemente als auch die Entscheidung </w:t>
      </w:r>
      <w:r w:rsidRPr="009E3E3E">
        <w:rPr>
          <w:rFonts w:ascii="Times New Roman" w:hAnsi="Times New Roman" w:cs="Times New Roman"/>
          <w:bCs w:val="0"/>
        </w:rPr>
        <w:lastRenderedPageBreak/>
        <w:t>über ihre Verbindung bereits voraus. Selbst ein dynamischer Graph, dessen Kanten sich im Verlauf eines Parameters verändern, benötigt eine Regel, nach der diese Veränderungen erfolgen. Die Graphentheorie stellt die Struktur dar, erzeugt deren funktionale Bildungsregel jedoch nicht aus sich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Auch die Interpretation globaler Netzwerkkennwerte verlangt Vorsicht. Ein hoher Knotengrad ist nicht automatisch mit funktionaler Bedeutung gleichzusetzen. Eine hohe Zentralität sagt zunächst nur aus, dass ein Knoten hinsichtlich eines bestimmten mathematischen Maßes eine besondere Position besitzt. Ob daraus Einfluss, Steuerungsfähigkeit, Stabilisierung oder Gefährdung folgt, muss durch die inhaltliche Modellierung begründet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 Graphentheorie dennoch unverzichtbar. Funktionale Beziehungen werden später nicht isoliert auftreten, sondern sich zu Netzwerken verbinden. Graphen ermöglichen die formale Darstellung solcher Relationierungsstrukturen. Sie erlauben die Untersuchung von Wegen, Rückkopplungen, Vermittlungspositionen, Clustern und struktureller Dominanz.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Ich werde dabei jedoch nicht voraussetzen, dass ein funktionales System bereits als fertiger Graph existiert. Vielmehr muss später erklärt werden, wie funktionale Unterschiede relationierbar werden, wie sich aus diesen Relationen wiederholbare Operationen entwickeln und unter welchen Bedingungen daraus stabile Netzwerkstrukturen hervorgehen. Der klassische Graph beschreibt das Ergebnis einer solchen Organisation. Die funktionale Entstehung dieses Ergebnisses bleibt zunächst offen.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ergibt sich ein weiterer Schritt im Aufbau der mathematischen Grundlagen. Mengen stellen Elemente bereit. Relationen wählen Verbindungen zwischen ihnen aus. Algebraische Strukturen definieren Operationen. Graphen fassen eine Vielzahl lokaler Relationen zu einer untersuchbaren Gesamtstruktur zusammen. Für die Beschreibung tatsächlicher Veränderung reicht diese strukturelle Ebene jedoch noch nicht aus. Dazu muss formalisiert werden, wie ein mathematisches Objekt auf ein anderes abgebildet und wie aus einem gegebenen Zustand ein bestimmter Folgezustand erzeugt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nächsten Abschnitt untersuche ich deshalb Funktionen und Abbildungen als mathematische Beschreibung eindeutiger Transformationen. Dort wird die bisher nur strukturell dargestellte Verbindung erstmals als gerichtete Zuordnung behandelt, durch die jedem zulässigen Ausgangselement ein eindeutig bestimmtes Ergebnis zugeordnet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Für das Repository vorgesehene 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[79]</w:t>
      </w:r>
      <w:r w:rsidRPr="009E3E3E">
        <w:rPr>
          <w:rFonts w:ascii="Times New Roman" w:hAnsi="Times New Roman" w:cs="Times New Roman"/>
          <w:bCs w:val="0"/>
          <w:lang w:val="en-US"/>
        </w:rPr>
        <w:t xml:space="preserve"> Euler, Leonhard: „Solutio problematis ad geometriam situs pertinentis“. </w:t>
      </w:r>
      <w:r w:rsidRPr="009E3E3E">
        <w:rPr>
          <w:rFonts w:ascii="Times New Roman" w:hAnsi="Times New Roman" w:cs="Times New Roman"/>
          <w:bCs w:val="0"/>
        </w:rPr>
        <w:t xml:space="preserve">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128–140.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[80]</w:t>
      </w:r>
      <w:r w:rsidRPr="009E3E3E">
        <w:rPr>
          <w:rFonts w:ascii="Times New Roman" w:hAnsi="Times New Roman" w:cs="Times New Roman"/>
          <w:bCs w:val="0"/>
        </w:rPr>
        <w:t xml:space="preserve"> Diestel, Reinhard: </w:t>
      </w:r>
      <w:r w:rsidRPr="009E3E3E">
        <w:rPr>
          <w:rFonts w:ascii="Times New Roman" w:hAnsi="Times New Roman" w:cs="Times New Roman"/>
          <w:bCs w:val="0"/>
          <w:i/>
          <w:iCs/>
        </w:rPr>
        <w:t>Graph Theory</w:t>
      </w:r>
      <w:r w:rsidRPr="009E3E3E">
        <w:rPr>
          <w:rFonts w:ascii="Times New Roman" w:hAnsi="Times New Roman" w:cs="Times New Roman"/>
          <w:bCs w:val="0"/>
        </w:rPr>
        <w:t>. 5. Auflage. Berlin/Heidelberg: Springer, 2017.</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[81]</w:t>
      </w:r>
      <w:r w:rsidRPr="009E3E3E">
        <w:rPr>
          <w:rFonts w:ascii="Times New Roman" w:hAnsi="Times New Roman" w:cs="Times New Roman"/>
          <w:bCs w:val="0"/>
          <w:lang w:val="en-US"/>
        </w:rPr>
        <w:t xml:space="preserve"> Newman, Mark: </w:t>
      </w:r>
      <w:r w:rsidRPr="009E3E3E">
        <w:rPr>
          <w:rFonts w:ascii="Times New Roman" w:hAnsi="Times New Roman" w:cs="Times New Roman"/>
          <w:bCs w:val="0"/>
          <w:i/>
          <w:iCs/>
          <w:lang w:val="en-US"/>
        </w:rPr>
        <w:t>Networks</w:t>
      </w:r>
      <w:r w:rsidRPr="009E3E3E">
        <w:rPr>
          <w:rFonts w:ascii="Times New Roman" w:hAnsi="Times New Roman" w:cs="Times New Roman"/>
          <w:bCs w:val="0"/>
          <w:lang w:val="en-US"/>
        </w:rPr>
        <w:t>. 2. Auflage. Oxford: Oxford University Press, 2018.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[82]</w:t>
      </w:r>
      <w:r w:rsidRPr="009E3E3E">
        <w:rPr>
          <w:rFonts w:ascii="Times New Roman" w:hAnsi="Times New Roman" w:cs="Times New Roman"/>
          <w:bCs w:val="0"/>
          <w:lang w:val="en-US"/>
        </w:rPr>
        <w:t xml:space="preserve"> Barabási, Albert-László: </w:t>
      </w:r>
      <w:r w:rsidRPr="009E3E3E">
        <w:rPr>
          <w:rFonts w:ascii="Times New Roman" w:hAnsi="Times New Roman" w:cs="Times New Roman"/>
          <w:bCs w:val="0"/>
          <w:i/>
          <w:iCs/>
          <w:lang w:val="en-US"/>
        </w:rPr>
        <w:t>Network Science</w:t>
      </w:r>
      <w:r w:rsidRPr="009E3E3E">
        <w:rPr>
          <w:rFonts w:ascii="Times New Roman" w:hAnsi="Times New Roman" w:cs="Times New Roman"/>
          <w:bCs w:val="0"/>
          <w:lang w:val="en-US"/>
        </w:rPr>
        <w:t xml:space="preserve">. </w:t>
      </w:r>
      <w:r w:rsidRPr="009E3E3E">
        <w:rPr>
          <w:rFonts w:ascii="Times New Roman" w:hAnsi="Times New Roman" w:cs="Times New Roman"/>
          <w:bCs w:val="0"/>
        </w:rPr>
        <w:t>Cambridge: Cambridge University Press, 2016.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nächste freie Literaturziffer ist damit </w:t>
      </w:r>
      <w:r w:rsidRPr="009E3E3E">
        <w:rPr>
          <w:rFonts w:ascii="Times New Roman" w:hAnsi="Times New Roman" w:cs="Times New Roman"/>
          <w:b/>
        </w:rPr>
        <w:t>[83]</w:t>
      </w:r>
      <w:r w:rsidRPr="009E3E3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lastRenderedPageBreak/>
        <w:t>3.2.5 Funktionen und Abbildungen als formale Beschreibung eindeutiger Zuordnungen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Mengen wurden im bisherigen Verlauf die mathematischen Träger definiert. Relationen ermöglichten anschließend die Beschreibung möglicher Beziehungen zwischen ihren Elementen. Algebraische Strukturen führten Operationen ein, durch die aus vorhandenen Elementen neue Elemente entstehen konnten. Die Graphentheorie schließlich zeigte, wie sich eine Vielzahl solcher Beziehungen zu komplexen Gesamtstrukturen organisieren lässt. Trotz dieser aufeinander aufbauenden Konzepte bleibt jedoch eine grundlegende mathematische Fragestellung offen. Bisher wurde nicht formalisiert, wie einem einzelnen Element eines Ausgangsbereichs eindeutig ein Element eines Zielbereichs zugeordnet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Fragestellung bildet den Gegenstand der Funktionentheorie. Funktionen gehören zu den zentralen Strukturbegriffen der modernen Mathematik, weil sie Veränderungen, Transformationen und Abhängigkeiten formal beschreiben. Im Unterschied zu allgemeinen Relationen besitzt eine Funktion die Eigenschaft der Eindeutigkeit. Jedem zulässigen Argument wird genau ein Funktionswert zugeordnet. Diese Forderung bildet die Grundlage nahezu aller mathematischen Modelle in Analysis, Algebra, Wahrscheinlichkeitstheorie, Informatik und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Funktionsbegriff schrittweise. Leonhard Euler verstand unter einer Funktion zunächst einen analytischen Ausdruck, der aus einer Variablen gebildet wird (Leonhard Euler: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xml:space="preserve">. Lausanne: Marc-Michel Bousquet, 1748)[83]. Im Laufe des 19. Jahrhunderts wurde diese Auffassung zunehmend verallgemeinert. Peter Gustav Lejeune Dirichlet löste den Funktionsbegriff von einer konkreten analytischen Darstellung und definierte Funktionen ausschließlich über eindeutige Zuordnungen zwischen Elementen zweier Mengen (Peter Gustav Lejeune Dirichlet: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Berlin, 1829)[84]. Diese axiomatische Sichtweise bildet bis heute die Grundlage der modernen Mathematik.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mengentheoretische Formulierung einer Funktion wurde später insbesondere durch Nicolas Bourbaki systematisch ausgearbeitet und als Abbildung zwischen Mengen rekonstruiert (Nicolas Bourbaki: </w:t>
      </w:r>
      <w:r w:rsidRPr="009E3E3E">
        <w:rPr>
          <w:rFonts w:ascii="Times New Roman" w:hAnsi="Times New Roman" w:cs="Times New Roman"/>
          <w:bCs w:val="0"/>
          <w:i/>
          <w:iCs/>
        </w:rPr>
        <w:t>Théorie des Ensembles</w:t>
      </w:r>
      <w:r w:rsidRPr="009E3E3E">
        <w:rPr>
          <w:rFonts w:ascii="Times New Roman" w:hAnsi="Times New Roman" w:cs="Times New Roman"/>
          <w:bCs w:val="0"/>
        </w:rPr>
        <w:t>. Paris: Hermann, 1954)[72].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Entwicklung von besonderer Bedeutung. Relationen beschreiben mögliche Verbindungen zwischen Elementen. Funktionen legen dagegen eine eindeutige Zuordnung fest. Dadurch entsteht erstmals eine mathematische Beschreibung gerichteter Transformationen, bei denen jedem zulässigen Ausgangszustand genau ein bestimmter Folgezustand entspricht. Funktionen bilden damit die formale Grundlage deterministischer Prozesse.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3.2.32 – 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AAA und BBB Mengen.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Eine Funktion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f:A→B(3.232)f:A\rightarrow B \tag{3.232}f:A→B(3.232)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f:A\rightarrow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eine Relation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w:t>
      </w:r>
      <w:r w:rsidRPr="009E3E3E">
        <w:rPr>
          <w:rFonts w:ascii="Cambria Math" w:hAnsi="Cambria Math" w:cs="Cambria Math"/>
          <w:bCs w:val="0"/>
          <w:lang w:val="en-US"/>
        </w:rPr>
        <w:t>⊆</w:t>
      </w:r>
      <w:r w:rsidRPr="009E3E3E">
        <w:rPr>
          <w:rFonts w:ascii="Times New Roman" w:hAnsi="Times New Roman" w:cs="Times New Roman"/>
          <w:bCs w:val="0"/>
          <w:lang w:val="en-US"/>
        </w:rPr>
        <w:t>A×B,(3.233)f\subseteq A\times B, \tag{3.233}f</w:t>
      </w:r>
      <w:r w:rsidRPr="009E3E3E">
        <w:rPr>
          <w:rFonts w:ascii="Cambria Math" w:hAnsi="Cambria Math" w:cs="Cambria Math"/>
          <w:bCs w:val="0"/>
          <w:lang w:val="en-US"/>
        </w:rPr>
        <w:t>⊆</w:t>
      </w:r>
      <w:r w:rsidRPr="009E3E3E">
        <w:rPr>
          <w:rFonts w:ascii="Times New Roman" w:hAnsi="Times New Roman" w:cs="Times New Roman"/>
          <w:bCs w:val="0"/>
          <w:lang w:val="en-US"/>
        </w:rPr>
        <w:t xml:space="preserve">A×B,(3.233)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f\subseteq A\times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A  </w:t>
      </w:r>
      <w:r w:rsidRPr="009E3E3E">
        <w:rPr>
          <w:rFonts w:ascii="Cambria Math" w:hAnsi="Cambria Math" w:cs="Cambria Math"/>
          <w:bCs w:val="0"/>
          <w:lang w:val="en-US"/>
        </w:rPr>
        <w:t>∃</w:t>
      </w:r>
      <w:r w:rsidRPr="009E3E3E">
        <w:rPr>
          <w:rFonts w:ascii="Times New Roman" w:hAnsi="Times New Roman" w:cs="Times New Roman"/>
          <w:bCs w:val="0"/>
          <w:lang w:val="en-US"/>
        </w:rPr>
        <w:t>! 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f.(3.234)\forall a\in A\; \exists!\,b\in B: (a,b)\in f. \tag{3.234}</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 xml:space="preserve">f.(3.234)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a\in A\;\exists!\,b\in B:(a,b)\in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Funktion ordnet somit jedem Element des Definitionsbereiches genau ein Element des Zielbereiches zu.</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Definitionsbereich wird häufig auch als Urbildmenge bezeichnet, während der Zielbereich die Menge aller zulässigen Funktionswerte beschreibt. Tatsächlich angenommene Funktionswerte bilden dagegen die Bildmenge.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3.2.33 – Bildmenge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f:A→Bf:A\rightarrow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Bildmenge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 f(a)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 }.(3.235)f(A) = \{\,f(a)\mid a\in A\,\}. \tag{3.235}f(A)={f(a)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A}.(3.235)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f(A)=\{\,f(a)\mid a\in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Es gilt stets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r w:rsidRPr="009E3E3E">
        <w:rPr>
          <w:rFonts w:ascii="Cambria Math" w:hAnsi="Cambria Math" w:cs="Cambria Math"/>
          <w:bCs w:val="0"/>
          <w:lang w:val="en-US"/>
        </w:rPr>
        <w:t>⊆</w:t>
      </w:r>
      <w:r w:rsidRPr="009E3E3E">
        <w:rPr>
          <w:rFonts w:ascii="Times New Roman" w:hAnsi="Times New Roman" w:cs="Times New Roman"/>
          <w:bCs w:val="0"/>
          <w:lang w:val="en-US"/>
        </w:rPr>
        <w:t>B.(3.236)f(A)\subseteq B. \tag{3.236}f(A)</w:t>
      </w:r>
      <w:r w:rsidRPr="009E3E3E">
        <w:rPr>
          <w:rFonts w:ascii="Cambria Math" w:hAnsi="Cambria Math" w:cs="Cambria Math"/>
          <w:bCs w:val="0"/>
          <w:lang w:val="en-US"/>
        </w:rPr>
        <w:t>⊆</w:t>
      </w:r>
      <w:r w:rsidRPr="009E3E3E">
        <w:rPr>
          <w:rFonts w:ascii="Times New Roman" w:hAnsi="Times New Roman" w:cs="Times New Roman"/>
          <w:bCs w:val="0"/>
          <w:lang w:val="en-US"/>
        </w:rPr>
        <w:t xml:space="preserve">B.(3.236)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f(A)\subseteq 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wird deutlich, dass Zielbereich und Bildmenge im Allgemeinen nicht identisch sein müssen.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kann unterschiedliche strukturelle Eigenschaften besitzen.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3.2.34 – Injektivität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injektiv,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lastRenderedPageBreak/>
        <w:t>f(a1)=f(a2)</w:t>
      </w:r>
      <w:r w:rsidRPr="009E3E3E">
        <w:rPr>
          <w:rFonts w:ascii="Cambria Math" w:hAnsi="Cambria Math" w:cs="Cambria Math"/>
          <w:bCs w:val="0"/>
        </w:rPr>
        <w:t>⟹</w:t>
      </w:r>
      <w:r w:rsidRPr="009E3E3E">
        <w:rPr>
          <w:rFonts w:ascii="Times New Roman" w:hAnsi="Times New Roman" w:cs="Times New Roman"/>
          <w:bCs w:val="0"/>
          <w:lang w:val="en-US"/>
        </w:rPr>
        <w:t>a1=a2.(3.237)f(a_1)=f(a_2) \Longrightarrow a_1=a_2. \tag{3.237}f(a1​)=f(a2​)</w:t>
      </w:r>
      <w:r w:rsidRPr="009E3E3E">
        <w:rPr>
          <w:rFonts w:ascii="Cambria Math" w:hAnsi="Cambria Math" w:cs="Cambria Math"/>
          <w:bCs w:val="0"/>
        </w:rPr>
        <w:t>⟹</w:t>
      </w:r>
      <w:r w:rsidRPr="009E3E3E">
        <w:rPr>
          <w:rFonts w:ascii="Times New Roman" w:hAnsi="Times New Roman" w:cs="Times New Roman"/>
          <w:bCs w:val="0"/>
          <w:lang w:val="en-US"/>
        </w:rPr>
        <w:t xml:space="preserve">a1​=a2​.(3.237)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f(a_1)=f(a_2)\Longrightarrow a_1=a_2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Verschiedene Elemente des Definitionsbereiches besitzen somit stets verschiedene Bilder.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3.2.35 – Surjektivität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surjektiv, wenn</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B  </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A:f(a)=b.(3.238)\forall b\in B\; \exists a\in A: f(a)=b. \tag{3.238}</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A:f(a)=b.(3.238)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b\in B\;\exists a\in A:f(a)=b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Jedes Element des Zielbereiches wird mindestens einmal getroffen.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3.2.36 – Bijektivität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bijektiv, wenn sie sowohl injektiv als auch surjektiv ist.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bijektive Funktionen existiert genau eine Umkehrfunktion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f−1:B→A.(3.239)f^{-1}:B\rightarrow A. \tag{3.239}f−1:B→A.(3.239)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f^{-1}:B\rightarrow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Sie erfüllt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f−1(f(a))=a(3.240)f^{-1}(f(a)) = a \tag{3.240}f−1(f(a))=a(3.240)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f^{-1}(f(a))=a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sowie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f(f−1(b))=b.(3.241)f(f^{-1}(b)) = b. \tag{3.241}f(f−1(b))=b.(3.241)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f(f^{-1}(b))=b</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3.2.6 – Existenz der Umkehrfunktion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besitzt genau dann eine Umkehrfunktion, wenn sie bijektiv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eine Funktion bijektiv, besitzt jedes Element des Zielbereiches genau ein Urbild. Dadurch lässt sich jedem b</w:t>
      </w:r>
      <w:r w:rsidRPr="009E3E3E">
        <w:rPr>
          <w:rFonts w:ascii="Cambria Math" w:hAnsi="Cambria Math" w:cs="Cambria Math"/>
          <w:bCs w:val="0"/>
        </w:rPr>
        <w:t>∈</w:t>
      </w:r>
      <w:r w:rsidRPr="009E3E3E">
        <w:rPr>
          <w:rFonts w:ascii="Times New Roman" w:hAnsi="Times New Roman" w:cs="Times New Roman"/>
          <w:bCs w:val="0"/>
        </w:rPr>
        <w:t>Bb\in Bb</w:t>
      </w:r>
      <w:r w:rsidRPr="009E3E3E">
        <w:rPr>
          <w:rFonts w:ascii="Cambria Math" w:hAnsi="Cambria Math" w:cs="Cambria Math"/>
          <w:bCs w:val="0"/>
        </w:rPr>
        <w:t>∈</w:t>
      </w:r>
      <w:r w:rsidRPr="009E3E3E">
        <w:rPr>
          <w:rFonts w:ascii="Times New Roman" w:hAnsi="Times New Roman" w:cs="Times New Roman"/>
          <w:bCs w:val="0"/>
        </w:rPr>
        <w:t>B eindeutig das entsprechende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 xml:space="preserve">A zuordnen. Diese Zuordnung definiert die Umkehrfunktion. Umgekehrt setzt jede Umkehrfunktion voraus, dass </w:t>
      </w:r>
      <w:r w:rsidRPr="009E3E3E">
        <w:rPr>
          <w:rFonts w:ascii="Times New Roman" w:hAnsi="Times New Roman" w:cs="Times New Roman"/>
          <w:bCs w:val="0"/>
        </w:rPr>
        <w:lastRenderedPageBreak/>
        <w:t>kein Zielwert mehrfach oder überhaupt nicht getroffen wird. Damit müssen Injektivität und Surjektivität gelten.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einzelnen Funktionen spielt ihre Verkettung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lang w:val="en-US"/>
        </w:rPr>
      </w:pPr>
      <w:r w:rsidRPr="009E3E3E">
        <w:rPr>
          <w:rFonts w:ascii="Times New Roman" w:hAnsi="Times New Roman" w:cs="Times New Roman"/>
          <w:b/>
          <w:sz w:val="27"/>
          <w:szCs w:val="27"/>
          <w:lang w:val="en-US"/>
        </w:rPr>
        <w:t>Definition 3.2.37 – Funktionskomposition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f:A→Bf:A\rightarrow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g:B→Cg:B\rightarrow Cg:B→C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Komposition definiert als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r w:rsidRPr="009E3E3E">
        <w:rPr>
          <w:rFonts w:ascii="Times New Roman" w:hAnsi="Times New Roman" w:cs="Times New Roman"/>
          <w:bCs w:val="0"/>
          <w:lang w:val="en-US"/>
        </w:rPr>
        <w:t>f:A→C.(3.242)g\circ f : A \rightarrow C. \tag{3.242}g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f:A→C.(3.242)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g\circ f:A\rightarrow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 xml:space="preserve">A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r w:rsidRPr="009E3E3E">
        <w:rPr>
          <w:rFonts w:ascii="Times New Roman" w:hAnsi="Times New Roman" w:cs="Times New Roman"/>
          <w:bCs w:val="0"/>
          <w:lang w:val="en-US"/>
        </w:rPr>
        <w:t>f)(a)=g(f(a)).(3.243)(g\circ f)(a) = g(f(a)). \tag{3.243}(g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f)(a)=g(f(a)).(3.243)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(g\circ f)(a)=g(f(a))</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3.2.7 – Assoziativität der Funktionskomposition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drei Funktionen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f:A→B,g:B→C,h:C→Df:A\rightarrow B,\quad g:B\rightarrow C,\quad h:C\rightarrow Df:A→B,g:B→C,h:C→D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f.(3.244)h\circ(g\circ f) = (h\circ g)\circ f. \tag{3.244}h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 xml:space="preserve">f.(3.244)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h\circ(g\circ f)=(h\circ g)\circ 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 Element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A ergibt sich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h((g(f(a))))=(h(g))(f(a)).h((g(f(a)))) = (h(g))(f(a)).h((g(f(a))))=(h(g))(f(a)).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Da beide Seiten denselben Funktionswert liefern, stimmen beide Kompositionen überein.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Assoziativität erlaubt es, längere Transformationsketten eindeutig zu bilden, ohne die Klammerung festlegen zu müssen. Sie bildet die Grundlage funktionaler Prozessketten.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außerdem die Identitätsabbildung.</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3.2.38 – Identität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Identitätsfunktion auf einer Menge AAA ist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id⁡A(a)=a.(3.245)\operatorname{id}_A(a) = a. \tag{3.245}idA​(a)=a.(3.245)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\operatorname{id}_A(a)=a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verändert kein Element und wirkt bezüglich der Komposition neutral: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r w:rsidRPr="009E3E3E">
        <w:rPr>
          <w:rFonts w:ascii="Times New Roman" w:hAnsi="Times New Roman" w:cs="Times New Roman"/>
          <w:bCs w:val="0"/>
        </w:rPr>
        <w:t>f.(3.246)f\circ\operatorname{id}_A = f = \operatorname{id}_B\circ f. \tag{3.246}f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r w:rsidRPr="009E3E3E">
        <w:rPr>
          <w:rFonts w:ascii="Times New Roman" w:hAnsi="Times New Roman" w:cs="Times New Roman"/>
          <w:bCs w:val="0"/>
        </w:rPr>
        <w:t xml:space="preserve">f.(3.246)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f\circ\operatorname{id}_A=f=\operatorname{id}_B\circ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entsteht eine erste algebraische Struktur auf Funktionen selbst. Funktionen können miteinander verkettet werden, besitzen Identitätselemente und – im bijektiven Fall – Inverse. Dadurch werden Funktionen nicht nur zu Beschreibungen einzelner Zuordnungen, sondern zu Objekten, auf denen wiederum mathematische Operationen definiert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Beobachtung besitzt erhebliche Tragweite. Während Relationen mögliche Zusammenhänge beschreiben und Graphen deren Gesamtstruktur sichtbar machen, ermöglichen Funktionen die Beschreibung gerichteter Transformationen zwischen Zuständen. Prozesse können dadurch als Folgen eindeutig definierter Abbildungen rekonstruiert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Dennoch bleibt auch hier eine grundlegende Grenze bestehen. Die Funktion legt lediglich fest, welcher Zielwert einem Ausgangswert zugeordnet wird. Sie erklärt jedoch nicht, weshalb genau diese Zuordnung gilt oder wodurch sie entsteht. Die mathematische Abbildung setzt ihre Zuordnungsvorschrift bereits voraus. Ihre funktionale Genese wird durch den klassischen Funktionsbegriff nicht beschrieben.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bildet diese Grenze einen entscheidenden Ausgangspunkt. Funktionen liefern einen außerordentlich präzisen mathematischen Formalismus für deterministische Transformationen. Die spätere Theorie wird jedoch untersuchen, unter welchen funktionalen Bedingungen solche Transformationen überhaupt entstehen, stabil bleiben oder sich verändern. Damit verschiebt sich der Fokus von der Beschreibung gegebener Abbildungen auf die Rekonstruktion ihrer funktionalen Entstehung.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folgenden Abschnitt werden deshalb Vektorräume eingeführt. Sie erweitern den bisherigen Funktionsbegriff um lineare Strukturen und eröffnen damit die Möglichkeit, Zustände, Richtungen und Transformationen innerhalb kontinuierlicher mathematischer Räume formal zu beschreiben.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lastRenderedPageBreak/>
        <w:t>[83]</w:t>
      </w:r>
      <w:r w:rsidRPr="009E3E3E">
        <w:rPr>
          <w:rFonts w:ascii="Times New Roman" w:hAnsi="Times New Roman" w:cs="Times New Roman"/>
          <w:bCs w:val="0"/>
        </w:rPr>
        <w:t xml:space="preserve"> Euler, Leonhard: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Lausanne: Marc-Michel Bousquet, 1748.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[84]</w:t>
      </w:r>
      <w:r w:rsidRPr="009E3E3E">
        <w:rPr>
          <w:rFonts w:ascii="Times New Roman" w:hAnsi="Times New Roman" w:cs="Times New Roman"/>
          <w:bCs w:val="0"/>
        </w:rPr>
        <w:t xml:space="preserve"> Dirichlet, Peter Gustav Lejeune: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Berlin, 1829.</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Wiederverwendete Quelle:</w:t>
      </w:r>
      <w:r w:rsidRPr="009E3E3E">
        <w:rPr>
          <w:rFonts w:ascii="Times New Roman" w:hAnsi="Times New Roman" w:cs="Times New Roman"/>
          <w:bCs w:val="0"/>
        </w:rPr>
        <w:t xml:space="preserve"> </w:t>
      </w:r>
      <w:r w:rsidRPr="009E3E3E">
        <w:rPr>
          <w:rFonts w:ascii="Times New Roman" w:hAnsi="Times New Roman" w:cs="Times New Roman"/>
          <w:b/>
        </w:rPr>
        <w:t>[72]</w:t>
      </w:r>
      <w:r w:rsidRPr="009E3E3E">
        <w:rPr>
          <w:rFonts w:ascii="Times New Roman" w:hAnsi="Times New Roman" w:cs="Times New Roman"/>
          <w:bCs w:val="0"/>
        </w:rPr>
        <w:t xml:space="preserve"> Bourbaki.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[85]</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3.2.6 Vektorräume als mathematische Beschreibung linearer Zustandsräume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Funktionen wurde im vorhergehenden Abschnitt beschrieben, wie sich Elemente eines Definitionsbereichs eindeutig auf Elemente eines Zielbereichs abbilden lassen. Dadurch konnten gerichtete Transformationen mathematisch formalisiert werden. Viele mathematische Fragestellungen lassen sich jedoch nicht allein durch die Existenz einer eindeutigen Zuordnung beantworten. Häufig interessiert zusätzlich, wie mehrere Zustände miteinander kombiniert werden können, welche Richtung eine Veränderung besitzt und wie sich unterschiedliche Veränderungen gegenseitig verstärken oder aufheben. Für diese Fragestellungen reicht der allgemeine Funktionsbegriff nicht mehr aus. Er muss um eine lineare Struktur erweitert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Erweiterung erfolgt durch den Begriff des Vektorraums. Vektorräume gehören zu den grundlegenden Strukturen der modernen Mathematik. Sie verbinden algebraische Operationen mit geometrischer Interpretation und ermöglichen dadurch eine einheitliche Beschreibung von Zuständen, Richtungen und Transformationen. In nahezu allen mathematischen Disziplinen bilden sie den Ausgangspunkt für lineare Modelle. Dies gilt ebenso für die lineare Algebra, die Differentialgleichungstheorie, die Funktionalanalysis, die Optimierung, die Signalverarbeitung sowie für große Teile der theoretischen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Vektorbegriff zunächst aus geometrischen Fragestellungen. Hermann Grassmann formulierte Mitte des 19. Jahrhunderts erstmals eine allgemeine Algebra gerichteter Größen und löste den Vektorbegriff von seiner ausschließlich geometrischen Interpretation (Hermann Grassmann: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Leipzig: Otto Wigand, 1844)[85]. Giuseppe Peano überführte diese Ideen später in eine streng axiomatische Formulierung des linearen Raumes (Giuseppe Peano: </w:t>
      </w:r>
      <w:r w:rsidRPr="009E3E3E">
        <w:rPr>
          <w:rFonts w:ascii="Times New Roman" w:hAnsi="Times New Roman" w:cs="Times New Roman"/>
          <w:bCs w:val="0"/>
          <w:i/>
          <w:iCs/>
        </w:rPr>
        <w:t>Calcolo geometrico</w:t>
      </w:r>
      <w:r w:rsidRPr="009E3E3E">
        <w:rPr>
          <w:rFonts w:ascii="Times New Roman" w:hAnsi="Times New Roman" w:cs="Times New Roman"/>
          <w:bCs w:val="0"/>
        </w:rPr>
        <w:t xml:space="preserve">. Turin: Fratelli Bocca, 1888)[86]. Die heute gebräuchliche Definition des Vektorraums entstand schließlich im Rahmen der modernen Algebra und wurde insbesondere durch Nicolas Bourbaki systematisch vereinheitlicht (Nicolas Bourbaki: </w:t>
      </w:r>
      <w:r w:rsidRPr="009E3E3E">
        <w:rPr>
          <w:rFonts w:ascii="Times New Roman" w:hAnsi="Times New Roman" w:cs="Times New Roman"/>
          <w:bCs w:val="0"/>
          <w:i/>
          <w:iCs/>
        </w:rPr>
        <w:t>Algèbre</w:t>
      </w:r>
      <w:r w:rsidRPr="009E3E3E">
        <w:rPr>
          <w:rFonts w:ascii="Times New Roman" w:hAnsi="Times New Roman" w:cs="Times New Roman"/>
          <w:bCs w:val="0"/>
        </w:rPr>
        <w:t>. Paris: Hermann, 1947)[87].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besitzt der Vektorraum eine besondere Bedeutung. Während Funktionen gerichtete Zuordnungen zwischen Zuständen beschreiben, ermöglicht der Vektorraum die Beschreibung des Zustands selbst. Ein Zustand kann dadurch als Element eines linearen Raumes verstanden werden, auf dem Addition und Skalierung definiert sind. Veränderungen erscheinen nicht mehr ausschließlich als Abbildungen zwischen Mengen, sondern zugleich als Verschiebungen innerhalb eines strukturierten Zustandsraumes.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3.2.39 – Vektorraum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Sei KKK ein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Vektorraum über KKK ist eine Menge VVV zusammen mit zwei Verknüpfungen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+:V×V→V(3.247)+ : V\times V\rightarrow V \tag{3.247}+:V×V→V(3.247)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 V\times V\rightarrow V</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:K×V→V,(3.248)\cdot : K\times V\rightarrow V, \tag{3.248}</w:t>
      </w:r>
      <w:r w:rsidRPr="009E3E3E">
        <w:rPr>
          <w:rFonts w:ascii="Cambria Math" w:hAnsi="Cambria Math" w:cs="Cambria Math"/>
          <w:bCs w:val="0"/>
          <w:lang w:val="en-US"/>
        </w:rPr>
        <w:t>⋅</w:t>
      </w:r>
      <w:r w:rsidRPr="009E3E3E">
        <w:rPr>
          <w:rFonts w:ascii="Times New Roman" w:hAnsi="Times New Roman" w:cs="Times New Roman"/>
          <w:bCs w:val="0"/>
          <w:lang w:val="en-US"/>
        </w:rPr>
        <w:t xml:space="preserve">:K×V→V,(3.248)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\cdot : K\times V\rightarrow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die die folgenden Axiome gelten.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V1 – Assoziativität der Addition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 xml:space="preserve">(u+v)+w=u+(v+w).(3.249)(u+v)+w=u+(v+w). </w:t>
      </w:r>
      <w:r w:rsidRPr="009E3E3E">
        <w:rPr>
          <w:rFonts w:ascii="Times New Roman" w:hAnsi="Times New Roman" w:cs="Times New Roman"/>
          <w:bCs w:val="0"/>
          <w:lang w:val="en-US"/>
        </w:rPr>
        <w:t xml:space="preserve">\tag{3.249}(u+v)+w=u+(v+w).(3.249)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(u+v)+w=u+(v+w)</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V2 – Kommutativität der 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u+v=v+u.(3.250)u+v=v+u. \tag{3.250}u+v=v+u.(3.250)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u+v=v+u</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V3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Es 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w:t>
      </w:r>
      <w:r w:rsidRPr="009E3E3E">
        <w:rPr>
          <w:rFonts w:ascii="Cambria Math" w:hAnsi="Cambria Math" w:cs="Cambria Math"/>
          <w:bCs w:val="0"/>
        </w:rPr>
        <w:t>∈</w:t>
      </w:r>
      <w:r w:rsidRPr="009E3E3E">
        <w:rPr>
          <w:rFonts w:ascii="Times New Roman" w:hAnsi="Times New Roman" w:cs="Times New Roman"/>
          <w:bCs w:val="0"/>
        </w:rPr>
        <w:t>V,0\in V,0</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 dass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v+0=v.(3.251)v+0=v. \tag{3.251}v+0=v.(3.251)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v+0=v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V4 – Additives Inverses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−v,-v,−v,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den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 xml:space="preserve">v+(−v)=0.(3.252)v+(-v)=0. \tag{3.252}v+(−v)=0.(3.252)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v+(-v)=0</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V5 – Distributivität bezüglich der Vektoraddition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λ(u+v)=λu+λv.(3.253)\lambda(u+v) = \lambda u+\lambda v. \tag{3.253}λ(u+v)=λu+λv.(3.253)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\lambda(u+v)=\lambda u+\lambda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V6 – Distributivität bezüglich der Skalare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(λ+μ)v=λv+μv.(3.254)(\lambda+\mu)v = \lambda v+\mu v. \tag{3.254}(λ+μ)v=λv+μv.(3.254)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(\lambda+\mu)v=\lambda v+\mu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V7 – Verträglichkeit der Skalarmultiplikation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(λμ)v=λ(μv).(3.255)(\lambda\mu)v = \lambda(\mu v). \tag{3.255}(λμ)v=λ(μv).(3.255)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(\lambda\mu)v=\lambda(\mu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V8 – Einheit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1v=v.(3.256)1v=v. \tag{3.256}1v=v.(3.256)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1v=v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acht Axiome definieren den abstrakten Begriff eines linearen Raumes vollständig. Bemerkenswert ist dabei, dass keinerlei geometrische Vorstellung vorausgesetzt wird. Ein Vektorraum besteht ausschließlich aus einer Menge, zwei Operationen und deren algebraischen Eigenschaften. Erst spätere Interpretationen verleihen den Elementen Begriffe wie Richtung, Verschiebung oder Zustand.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Konsequenz der Axiome betrifft die Eindeutigkeit des Nullvektors.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3.2.8 – Eindeutigkeit des Nullvektors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jedem Vektorraum existiert genau ein additives neutrales Element.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Angenommen, es existierten zwei Nullvektoren 010_101​ und 020_202​.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01=01+02=02.(3.257)0_1 = 0_1+0_2 = 0_2. \tag{3.257}01​=01​+02​=02​.(3.257)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0_1=0_1+0_2=0_2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Damit stimmen beide überein. Der Nullvektor ist somit eindeutig.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eindeutig ist das additive Inverse.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3.2.9 – Eindeutigkeit des inversen 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 Vektor existiert genau ein additives Inverses.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xxx und yyy zwei additive Inverse desselben Vektors vvv.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x=x+0=x+(v+y)=(x+v)+y=0+y=y.(3.258)x = x+0 = x+(v+y) = (x+v)+y = 0+y = y. \tag{3.258}x=x+0=x+(v+y)=(x+v)+y=0+y=y.(3.258)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x=x+0=x+(v+y)=(x+v)+y=0+y=y</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Somit ist das additive Inverse eindeutig bestimmt.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den Vektorraumaxiomen folgen weitere grundlegende Eigenschaften unmittelbar.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Vektor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 xml:space="preserve">0v=0.(3.259)0v=0. </w:t>
      </w:r>
      <w:r w:rsidRPr="00CF5192">
        <w:rPr>
          <w:rFonts w:ascii="Times New Roman" w:hAnsi="Times New Roman" w:cs="Times New Roman"/>
          <w:bCs w:val="0"/>
          <w:lang w:val="en-US"/>
        </w:rPr>
        <w:t>\tag{3.259}0v=0.(3.259)</w:t>
      </w:r>
      <w:r w:rsidRPr="009E3E3E">
        <w:rPr>
          <w:rFonts w:ascii="Times New Roman" w:hAnsi="Times New Roman" w:cs="Times New Roman"/>
          <w:bCs w:val="0"/>
          <w:lang w:val="en-US"/>
        </w:rPr>
        <w:t xml:space="preserve">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0v=0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folgt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(−1)v=−v.(3.260)(-1)v=-v. \tag{3.260}(−1)v=−v.(3.260)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(-1)v=-v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Aussagen erscheinen zunächst selbstverständlich. Tatsächlich sind sie jedoch bereits Konsequenzen der Vektorraumaxiome und müssen nicht zusätzlich vorausgesetzt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zentrale Eigenschaft linearer Räume ist die Möglichkeit, neue Vektoren durch Linearkombinationen zu erzeugen.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3.2.40 – Linearkombination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Linearkombination der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v1,…,vnv_1,\ldots,v_nv1​,…,vn​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Ausdruck der Form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∑i=1nλivi.(3.261)\sum_{i=1}^{n}\lambda_i v_i. \tag{3.261}i=1∑n​λi​vi​.(3.261)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\sum_{i=1}^{n}\lambda_i v_i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Menge aller Linearkombinationen bildet den linearen Spann.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3.2.41 – Linearer Spann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 Teilmenge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M</w:t>
      </w:r>
      <w:r w:rsidRPr="009E3E3E">
        <w:rPr>
          <w:rFonts w:ascii="Cambria Math" w:hAnsi="Cambria Math" w:cs="Cambria Math"/>
          <w:bCs w:val="0"/>
        </w:rPr>
        <w:t>⊆</w:t>
      </w:r>
      <w:r w:rsidRPr="009E3E3E">
        <w:rPr>
          <w:rFonts w:ascii="Times New Roman" w:hAnsi="Times New Roman" w:cs="Times New Roman"/>
          <w:bCs w:val="0"/>
        </w:rPr>
        <w:t>VM\subseteq VM</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M}.(3.262)\operatorname{span}(M) = \left\{ \sum_{i=1}^{n}\lambda_i v_i \mid v_i\in M \right\}. \tag{3.262}span(M)={i=1∑n​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M}.(3.262)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\operatorname{span}(M)=\left\{\sum_{i=1}^{n}\lambda_i v_i\mid v_i\in M\right\}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lineare Spann beschreibt den kleinsten Untervektorraum, der sämtliche Elemente von MMM enthält.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die lineare Unabhängigkeit.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3.2.42 – Lineare Unabhängigkeit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v1,…,vnv_1,\ldots,v_nv1​,…,vn​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heißen linear unabhängig,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∑i=1nλivi=0</w:t>
      </w:r>
      <w:r w:rsidRPr="009E3E3E">
        <w:rPr>
          <w:rFonts w:ascii="Cambria Math" w:hAnsi="Cambria Math" w:cs="Cambria Math"/>
          <w:bCs w:val="0"/>
        </w:rPr>
        <w:t>⟹</w:t>
      </w:r>
      <w:r w:rsidRPr="009E3E3E">
        <w:rPr>
          <w:rFonts w:ascii="Times New Roman" w:hAnsi="Times New Roman" w:cs="Times New Roman"/>
          <w:bCs w:val="0"/>
        </w:rPr>
        <w:t xml:space="preserve">λi=0(i=1,…,n).(3.263)\sum_{i=1}^{n}\lambda_i v_i = 0 \Longrightarrow \lambda_i=0 \quad (i=1,\ldots,n). </w:t>
      </w:r>
      <w:r w:rsidRPr="009E3E3E">
        <w:rPr>
          <w:rFonts w:ascii="Times New Roman" w:hAnsi="Times New Roman" w:cs="Times New Roman"/>
          <w:bCs w:val="0"/>
          <w:lang w:val="en-US"/>
        </w:rPr>
        <w:t>\tag{3.263}i=1∑n​</w:t>
      </w:r>
      <w:r w:rsidRPr="009E3E3E">
        <w:rPr>
          <w:rFonts w:ascii="Times New Roman" w:hAnsi="Times New Roman" w:cs="Times New Roman"/>
          <w:bCs w:val="0"/>
        </w:rPr>
        <w:t>λ</w:t>
      </w:r>
      <w:r w:rsidRPr="009E3E3E">
        <w:rPr>
          <w:rFonts w:ascii="Times New Roman" w:hAnsi="Times New Roman" w:cs="Times New Roman"/>
          <w:bCs w:val="0"/>
          <w:lang w:val="en-US"/>
        </w:rPr>
        <w:t>i​vi​=0</w:t>
      </w:r>
      <w:r w:rsidRPr="009E3E3E">
        <w:rPr>
          <w:rFonts w:ascii="Cambria Math" w:hAnsi="Cambria Math" w:cs="Cambria Math"/>
          <w:bCs w:val="0"/>
        </w:rPr>
        <w:t>⟹</w:t>
      </w:r>
      <w:r w:rsidRPr="009E3E3E">
        <w:rPr>
          <w:rFonts w:ascii="Times New Roman" w:hAnsi="Times New Roman" w:cs="Times New Roman"/>
          <w:bCs w:val="0"/>
        </w:rPr>
        <w:t>λ</w:t>
      </w:r>
      <w:r w:rsidRPr="009E3E3E">
        <w:rPr>
          <w:rFonts w:ascii="Times New Roman" w:hAnsi="Times New Roman" w:cs="Times New Roman"/>
          <w:bCs w:val="0"/>
          <w:lang w:val="en-US"/>
        </w:rPr>
        <w:t xml:space="preserve">i​=0(i=1,…,n).(3.263)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\sum_{i=1}^{n}\lambda_i v_i=0\Longrightarrow\lambda_i=0\quad(i=1,\ldots,n)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Keine der betrachteten Richtungen lässt sich dann als Linearkombination der übrigen darstellen.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3.2.43 – Basis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Basis eines Vektorraums ist eine linear unabhängige Menge, deren Spann den gesamten Vektorraum erzeugt.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Jeder Vektor besitzt bezüglich einer Basis eine eindeutige Darstellung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v=∑i=1nλiei.(3.264)v = \sum_{i=1}^{n}\lambda_i e_i. \tag{3.264}v=i=1∑n​λi​ei​.(3.264)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v=\sum_{i=1}^{n}\lambda_i e_i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Basisvektoren definiert die Dimension.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Definition 3.2.44 – Dimension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Dimension eines endlichdimensionalen Vektorraums ist die Anzahl der Elemente jeder seiner Basen.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wird geschrieben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dim⁡(V)=n.(3.265)\dim(V)=n. \tag{3.265}dim(V)=n.(3.265)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\dim(V)=n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Tatsache, dass sämtliche Basen dieselbe Mächtigkeit besitzen, gehört zu den grundlegenden Resultaten der linearen Algebra.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Bis zu diesem Punkt wurden Vektoren ausschließlich über ihre algebraischen Eigenschaften beschrieben. Für viele Anwendungen genügt dies jedoch nicht. Häufig interessiert zusätzlich die Länge eines Vektors oder der Winkel zwischen zwei Richtungen. Diese Begriffe lassen sich allein aus den Vektorraumaxiomen nicht ableiten. Sie erfordern zusätzliche Strukturen, insbesondere Skalarprodukte und Normen.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Gerade diese Erweiterung besitzt für die spätere mathematische Rekonstruktion funktionaler Zustandsräume besondere Bedeutung. Der abstrakte Vektorraum stellt lediglich die lineare Struktur bereit. Erst durch Metriken, Skalarprodukte oder allgemeinere Bewertungsfunktionen entstehen mathematische Größen, mit denen Ähnlichkeit, Abstand oder Kohärenz beschrieben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bildet der Vektorraum die Brücke zwischen der bisher entwickelten Algebra und den im folgenden Abschnitt behandelten linearen Abbildungen, Matrizen und Operatoren. Dort wird untersucht, wie sich lineare Transformationen innerhalb solcher Zustandsräume mathematisch darstellen lassen und welche Eigenschaften dabei erhalten bleiben.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rPr>
        <w:t>[85]</w:t>
      </w:r>
      <w:r w:rsidRPr="009E3E3E">
        <w:rPr>
          <w:rFonts w:ascii="Times New Roman" w:hAnsi="Times New Roman" w:cs="Times New Roman"/>
          <w:bCs w:val="0"/>
        </w:rPr>
        <w:t xml:space="preserve"> Grassmann, Hermann: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w:t>
      </w:r>
      <w:r w:rsidRPr="009E3E3E">
        <w:rPr>
          <w:rFonts w:ascii="Times New Roman" w:hAnsi="Times New Roman" w:cs="Times New Roman"/>
          <w:bCs w:val="0"/>
          <w:lang w:val="en-US"/>
        </w:rPr>
        <w:t>Leipzig: Otto Wigand, 1844.</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[86]</w:t>
      </w:r>
      <w:r w:rsidRPr="009E3E3E">
        <w:rPr>
          <w:rFonts w:ascii="Times New Roman" w:hAnsi="Times New Roman" w:cs="Times New Roman"/>
          <w:bCs w:val="0"/>
          <w:lang w:val="en-US"/>
        </w:rPr>
        <w:t xml:space="preserve"> Peano, Giuseppe: </w:t>
      </w:r>
      <w:r w:rsidRPr="009E3E3E">
        <w:rPr>
          <w:rFonts w:ascii="Times New Roman" w:hAnsi="Times New Roman" w:cs="Times New Roman"/>
          <w:bCs w:val="0"/>
          <w:i/>
          <w:iCs/>
          <w:lang w:val="en-US"/>
        </w:rPr>
        <w:t>Calcolo geometrico</w:t>
      </w:r>
      <w:r w:rsidRPr="009E3E3E">
        <w:rPr>
          <w:rFonts w:ascii="Times New Roman" w:hAnsi="Times New Roman" w:cs="Times New Roman"/>
          <w:bCs w:val="0"/>
          <w:lang w:val="en-US"/>
        </w:rPr>
        <w:t>. Turin: Fratelli Bocca, 1888.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[87]</w:t>
      </w:r>
      <w:r w:rsidRPr="009E3E3E">
        <w:rPr>
          <w:rFonts w:ascii="Times New Roman" w:hAnsi="Times New Roman" w:cs="Times New Roman"/>
          <w:bCs w:val="0"/>
          <w:lang w:val="en-US"/>
        </w:rPr>
        <w:t xml:space="preserve"> Bourbaki, Nicolas: </w:t>
      </w:r>
      <w:r w:rsidRPr="009E3E3E">
        <w:rPr>
          <w:rFonts w:ascii="Times New Roman" w:hAnsi="Times New Roman" w:cs="Times New Roman"/>
          <w:bCs w:val="0"/>
          <w:i/>
          <w:iCs/>
          <w:lang w:val="en-US"/>
        </w:rPr>
        <w:t>Algèbre</w:t>
      </w:r>
      <w:r w:rsidRPr="009E3E3E">
        <w:rPr>
          <w:rFonts w:ascii="Times New Roman" w:hAnsi="Times New Roman" w:cs="Times New Roman"/>
          <w:bCs w:val="0"/>
          <w:lang w:val="en-US"/>
        </w:rPr>
        <w:t xml:space="preserve">. </w:t>
      </w:r>
      <w:r w:rsidRPr="009E3E3E">
        <w:rPr>
          <w:rFonts w:ascii="Times New Roman" w:hAnsi="Times New Roman" w:cs="Times New Roman"/>
          <w:bCs w:val="0"/>
        </w:rPr>
        <w:t>Paris: Hermann, 1947.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[88]</w:t>
      </w:r>
    </w:p>
    <w:p w:rsidR="008D1B14" w:rsidRPr="008D1B14" w:rsidRDefault="008D1B14" w:rsidP="008D1B14">
      <w:pPr>
        <w:spacing w:before="100" w:beforeAutospacing="1" w:after="100" w:afterAutospacing="1"/>
        <w:outlineLvl w:val="1"/>
        <w:rPr>
          <w:rFonts w:ascii="Times New Roman" w:hAnsi="Times New Roman" w:cs="Times New Roman"/>
          <w:b/>
          <w:sz w:val="36"/>
          <w:szCs w:val="36"/>
        </w:rPr>
      </w:pPr>
      <w:r w:rsidRPr="008D1B14">
        <w:rPr>
          <w:rFonts w:ascii="Times New Roman" w:hAnsi="Times New Roman" w:cs="Times New Roman"/>
          <w:b/>
          <w:sz w:val="36"/>
          <w:szCs w:val="36"/>
        </w:rPr>
        <w:t>3.2.7 Lineare Abbildungen, Matrizen und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im vorhergehenden Abschnitt eingeführte Vektorraum stellt eine algebraisch strukturierte Menge möglicher Zustände bereit. Seine Elemente können addiert und mit Skalaren multipliziert werden. Damit ist beschrieben, wie sich Zustände innerhalb eines linearen Raumes miteinander verbinden lassen. Noch nicht bestimmt ist jedoch, wie ein solcher Zustand in einen anderen Zustand überführt wird und unter welchen Bedingungen die dabei vorhandene lineare Struktur erhalten bleibt.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Diese Aufgabe übernehmen lineare Abbildungen. Sie bilden Vektoren eines Vektorraums auf Vektoren eines möglicherweise anderen Vektorraums ab, ohne die für den Raum charakteristischen Verknüpfungen zu zerstören. Die Addition von Vektoren und deren Multiplikation mit Skalaren bleiben unter der Abbildung erhalten. Lineare Abbildungen verbinden dadurch die im vorhergehenden Abschnitt eingeführte Zustandsstruktur mit einer formal beschreibbaren Veränderungsstruktur.</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rPr>
        <w:t xml:space="preserve">Historisch ist diese Entwicklung eng mit der Entstehung des Matrizenkalküls verbunden. James Joseph Sylvester verwendete den Begriff der Matrix Mitte des 19. Jahrhunderts für rechteckige Anordnungen, aus denen unterschiedliche Determinanten gebildet werden konnten (James Joseph Sylvester: „Additions to the Articles in the September Number of This Journal, ‘On a New Class of Theorems,’ and on Pascal’s Theorem“.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xml:space="preserve">, Series 3, Band 37, 1850, S. 363–370)[88]. </w:t>
      </w:r>
      <w:r w:rsidRPr="008D1B14">
        <w:rPr>
          <w:rFonts w:ascii="Times New Roman" w:hAnsi="Times New Roman" w:cs="Times New Roman"/>
          <w:bCs w:val="0"/>
        </w:rPr>
        <w:t xml:space="preserve">Arthur Cayley entwickelte daraus eine eigenständige Theorie der Matrizen und formulierte bereits zentrale Regeln der Matrixaddition und Matrixmultiplikation (Arthur Cayley: „A Memoir on the Theory of Matrices“.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xml:space="preserve">, Band 148, 1858, S. 17–37)[89].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In der modernen linearen Algebra werden Matrizen nicht mehr lediglich als Zahlenschemata verstanden. Sie sind Koordinatendarstellungen linearer Abbildungen. Paul Halmos stellte die lineare Transformation deshalb ausdrücklich in den Mittelpunkt seiner systematischen Behandlung endlichdimensionaler Vektorräume (Paul Richard Halmos: </w:t>
      </w:r>
      <w:r w:rsidRPr="008D1B14">
        <w:rPr>
          <w:rFonts w:ascii="Times New Roman" w:hAnsi="Times New Roman" w:cs="Times New Roman"/>
          <w:bCs w:val="0"/>
          <w:i/>
          <w:iCs/>
        </w:rPr>
        <w:t>Finite-Dimensional Vector Spaces</w:t>
      </w:r>
      <w:r w:rsidRPr="008D1B14">
        <w:rPr>
          <w:rFonts w:ascii="Times New Roman" w:hAnsi="Times New Roman" w:cs="Times New Roman"/>
          <w:bCs w:val="0"/>
        </w:rPr>
        <w:t xml:space="preserve">. Princeton: Princeton University Press, 1942)[90].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ist diese Unterscheidung wesentlich. Eine lineare Abbildung ist zunächst ein von der gewählten Basis unabhängiges mathematisches Objekt. Eine Matrix ist dagegen die Darstellung dieser Abbildung bezüglich bestimmter Basen. Wird die Basis verändert, kann sich die Matrix ändern, obwohl die zugrunde liegende Abbildung dieselbe bleibt. Damit lässt sich zwischen einer strukturellen Transformation und ihrer konkreten rechnerischen Repräsentation unterscheiden.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3.2.45 – Lineare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Seien VVV und WWW Vektorräume über demselben Körper KKK. Eine Abbildung</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T:V→W(3.266)T:V\rightarrow W \tag{3.266}T:V→W(3.266)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T:V\rightarrow 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heißt linear, wenn für alle u,v</w:t>
      </w:r>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und alle λ</w:t>
      </w:r>
      <w:r w:rsidRPr="008D1B14">
        <w:rPr>
          <w:rFonts w:ascii="Cambria Math" w:hAnsi="Cambria Math" w:cs="Cambria Math"/>
          <w:bCs w:val="0"/>
        </w:rPr>
        <w:t>∈</w:t>
      </w:r>
      <w:r w:rsidRPr="008D1B14">
        <w:rPr>
          <w:rFonts w:ascii="Times New Roman" w:hAnsi="Times New Roman" w:cs="Times New Roman"/>
          <w:bCs w:val="0"/>
        </w:rPr>
        <w:t>K\lambda\in Kλ</w:t>
      </w:r>
      <w:r w:rsidRPr="008D1B14">
        <w:rPr>
          <w:rFonts w:ascii="Cambria Math" w:hAnsi="Cambria Math" w:cs="Cambria Math"/>
          <w:bCs w:val="0"/>
        </w:rPr>
        <w:t>∈</w:t>
      </w:r>
      <w:r w:rsidRPr="008D1B14">
        <w:rPr>
          <w:rFonts w:ascii="Times New Roman" w:hAnsi="Times New Roman" w:cs="Times New Roman"/>
          <w:bCs w:val="0"/>
        </w:rPr>
        <w:t>K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T(u+v)=T(u)+T(v)(3.267)T(u+v)=T(u)+T(v) \tag{3.267}T(u+v)=T(u)+T(v)(3.267)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T(u+v)=T(u)+T(v)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T(λv)=λT(v).(3.268)T(\lambda v)=\lambda T(v). \tag{3.268}T(λv)=λT(v).(3.268)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T(\lambda v)=\lambda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Die erste Bedingung beschreibt die Additivität, die zweite die Homogenität der Abbildung. Beide Eigenschaften können zu einer einzigen Bedingung zusammengefasst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alle λ,μ</w:t>
      </w:r>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und u,v</w:t>
      </w:r>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T(λu+μv)=λT(u)+μT(v).(3.269)T(\lambda u+\mu v) = \lambda T(u)+\mu T(v). \tag{3.269}T(λu+μv)=λT(u)+μT(v).(3.269)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T(\lambda u+\mu v)=\lambda T(u)+\mu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bleibt jede Linearkombination unter der Abbildung erhalten. Die Abbildung verändert die Vektoren, nicht jedoch die algebraische Form ihrer Verknüpfung.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Aus der Linearität folgt unmittelbar, dass der Nullvektor auf den Nullvektor abgebildet wird.</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3.2.10 – Erhaltung des Nullvektors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jede lineare Abbildung</w:t>
      </w:r>
    </w:p>
    <w:p w:rsidR="008D1B14" w:rsidRPr="008D1B14" w:rsidRDefault="008D1B14" w:rsidP="008D1B14">
      <w:pPr>
        <w:spacing w:after="0"/>
        <w:rPr>
          <w:rFonts w:ascii="Times New Roman" w:hAnsi="Times New Roman" w:cs="Times New Roman"/>
          <w:bCs w:val="0"/>
          <w:lang w:val="en-US"/>
        </w:rPr>
      </w:pPr>
      <w:r w:rsidRPr="008D1B14">
        <w:rPr>
          <w:rFonts w:ascii="Times New Roman" w:hAnsi="Times New Roman" w:cs="Times New Roman"/>
          <w:bCs w:val="0"/>
          <w:lang w:val="en-US"/>
        </w:rPr>
        <w:t xml:space="preserve">T:V→WT:V\rightarrow WT:V→W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T(0V)=0W.(3.270)T(0_V)=0_W. \tag{3.270}T(0V​)=0W​.(3.270)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T(0_V)=0_W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0V=0Kv0_V=0_Kv0V​=0K​v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jeden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gilt, folgt aus der Homogenität: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T(0V)=T(0Kv)=0KT(v)=0W.(3.271)T(0_V) = T(0_Kv) = 0_KT(v) = 0_W. \tag{3.271}T(0V​)=T(0K​v)=0K​T(v)=0W​.(3.271)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T(0_V)=T(0_Kv)=0_KT(v)=0_W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bildet jede lineare Abbildung den Nullvektor des Ausgangsraumes auf den Nullvektor des Zielraumes ab.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Diese Eigenschaft ist mathematisch eindeutig. Sie bedeutet jedoch zugleich, dass durch die Abbildung auf den Nullvektor sämtliche aus dem resultierenden Vektor allein rekonstruierbaren Richtungsinformationen verloren gehen. Der Nullvektor besitzt innerhalb des gewöhnlichen Vektorraums keine eindeutig bestimmte Richtung. Eine möglicherweise zuvor vorhandene Richtung kann nur erhalten werden, wenn sie in einer zusätzlichen Struktur gespeichert wird. Diese Unterscheidung wird für die spätere axiomatische Behandlung richtungsbehafteter Nullzustände noch von besonderer Bedeutung sein.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lastRenderedPageBreak/>
        <w:t>Definition 3.2.46 – Kern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Kern einer linearen Abbildung T:V→WT:V\rightarrow WT:V→W ist die Menge aller Vektoren, die auf den Nullvektor des Zielraumes abgebildet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T(v)=0W}.(3.272)\ker(T) = \left\{ v\in V\mid T(v)=0_W \right\}. \tag{3.272}ker(T)={v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T(v)=0W​}.(3.272)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\ker(T)=\left\{v\in V\mid T(v)=0_W\right\}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Kern beschreibt damit denjenigen Teil des Ausgangsraumes, der unter der Abbildung vollständig verschwindet.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3.2.47 – Bild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einer linearen Abbildung ist definiert durch</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V}.(3.273)\operatorname{im}(T) = \left\{ T(v)\mid v\in V \right\}. \tag{3.273}im(T)={T(v)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V}.(3.273)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\operatorname{im}(T)=\left\{T(v)\mid v\in V\right\}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enthält alle Zustände des Zielraumes, die durch die Abbildung tatsächlich erreicht werden können.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Sowohl der Kern als auch das Bild sind selbst Vektorräume beziehungsweise Untervektorräume der entsprechenden Ausgangs- und Zielräume.</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3.2.11 – Kern und Bild als Untervektorräume</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eine lineare Abbildung T:V→WT:V\rightarrow WT:V→W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ker⁡(T)≤V(3.274)\ker(T)\leq V \tag{3.274}ker(T)≤V(3.274)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\ker(T)\leq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im⁡(T)≤W.(3.275)\operatorname{im}(T)\leq W. \tag{3.275}im(T)≤W.(3.275)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\operatorname{im}(T)\leq 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Nullvektor liegt wegen Satz 3.2.10 im Kern. Sind u,v</w:t>
      </w:r>
      <w:r w:rsidRPr="008D1B14">
        <w:rPr>
          <w:rFonts w:ascii="Cambria Math" w:hAnsi="Cambria Math" w:cs="Cambria Math"/>
          <w:bCs w:val="0"/>
        </w:rPr>
        <w:t>∈</w:t>
      </w:r>
      <w:r w:rsidRPr="008D1B14">
        <w:rPr>
          <w:rFonts w:ascii="Times New Roman" w:hAnsi="Times New Roman" w:cs="Times New Roman"/>
          <w:bCs w:val="0"/>
        </w:rPr>
        <w:t>ker⁡(T)u,v\in\ker(T)u,v</w:t>
      </w:r>
      <w:r w:rsidRPr="008D1B14">
        <w:rPr>
          <w:rFonts w:ascii="Cambria Math" w:hAnsi="Cambria Math" w:cs="Cambria Math"/>
          <w:bCs w:val="0"/>
        </w:rPr>
        <w:t>∈</w:t>
      </w:r>
      <w:r w:rsidRPr="008D1B14">
        <w:rPr>
          <w:rFonts w:ascii="Times New Roman" w:hAnsi="Times New Roman" w:cs="Times New Roman"/>
          <w:bCs w:val="0"/>
        </w:rPr>
        <w:t>ker(T) und λ,μ</w:t>
      </w:r>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T(λu+μv)=λT(u)+μT(v)=0W.(3.276)T(\lambda u+\mu v) = \lambda T(u)+\mu T(v) = 0_W. \tag{3.276}T(λu+μv)=λT(u)+μT(v)=0W​.(3.276)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 xml:space="preserve">Word-LaTeX: </w:t>
      </w:r>
      <w:r w:rsidRPr="008D1B14">
        <w:rPr>
          <w:rFonts w:ascii="Courier New" w:hAnsi="Courier New" w:cs="Courier New"/>
          <w:bCs w:val="0"/>
          <w:sz w:val="20"/>
          <w:szCs w:val="20"/>
        </w:rPr>
        <w:t>T(\lambda u+\mu v)=\lambda T(u)+\mu 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ist jede Linearkombination von Elementen des Kerns erneut im Kern enthalten.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Seien nun x,y</w:t>
      </w:r>
      <w:r w:rsidRPr="008D1B14">
        <w:rPr>
          <w:rFonts w:ascii="Cambria Math" w:hAnsi="Cambria Math" w:cs="Cambria Math"/>
          <w:bCs w:val="0"/>
        </w:rPr>
        <w:t>∈</w:t>
      </w:r>
      <w:r w:rsidRPr="008D1B14">
        <w:rPr>
          <w:rFonts w:ascii="Times New Roman" w:hAnsi="Times New Roman" w:cs="Times New Roman"/>
          <w:bCs w:val="0"/>
        </w:rPr>
        <w:t>im⁡(T)x,y\in\operatorname{im}(T)x,y</w:t>
      </w:r>
      <w:r w:rsidRPr="008D1B14">
        <w:rPr>
          <w:rFonts w:ascii="Cambria Math" w:hAnsi="Cambria Math" w:cs="Cambria Math"/>
          <w:bCs w:val="0"/>
        </w:rPr>
        <w:t>∈</w:t>
      </w:r>
      <w:r w:rsidRPr="008D1B14">
        <w:rPr>
          <w:rFonts w:ascii="Times New Roman" w:hAnsi="Times New Roman" w:cs="Times New Roman"/>
          <w:bCs w:val="0"/>
        </w:rPr>
        <w:t>im(T). Dann existieren u,v</w:t>
      </w:r>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mit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x=T(u)x=T(u)x=T(u)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y=T(v).y=T(v).y=T(v).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λ,μ</w:t>
      </w:r>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folgt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λx+μy=λT(u)+μT(v)=T(λu+μv).(3.277)\lambda x+\mu y = \lambda T(u)+\mu T(v) = T(\lambda u+\mu v). \tag{3.277}λx+μy=λT(u)+μT(v)=T(λu+μv).(3.277)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\lambda x+\mu y=\lambda T(u)+\mu T(v)=T(\lambda u+\mu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Somit liegt auch diese Linearkombination im Bild. Kern und Bild sind daher Untervektorräume. □</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3.2.48 – Rang und Nullität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eine lineare Abbildung T:V→WT:V\rightarrow WT:V→W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rang⁡(T)=dim⁡(im⁡(T))(3.278)\operatorname{rang}(T) = \dim\bigl(\operatorname{im}(T)\bigr) \tag{3.278}rang(T)=dim(im(T))(3.278)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\operatorname{rang}(T)=\dim\bigl(\operatorname{im}(T)\bigr)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null⁡(T)=dim⁡(ker⁡(T))(3.279)\operatorname{null}(T) = \dim\bigl(\ker(T)\bigr) \tag{3.279}null(T)=dim(ker(T))(3.279)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\operatorname{null}(T)=\dim\bigl(\ker(T)\bigr)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als Rang und Nullität der Abbildung bezeichnet.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Rang beschreibt die Anzahl der unabhängig erreichbaren Richtungen des Zielraumes. Die Nullität gibt dagegen an, wie viele unabhängige Richtungen des Ausgangsraumes durch die Abbildung auf den Nullvektor reduziert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Zwischen beiden Größen besteht für endlichdimensionale Räume ein grundlegender Zusammenhang.</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3.2.12 – Dimensionssatz</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Sei VVV ein endlichdimensionaler Vektorraum und T:V→WT:V\rightarrow WT:V→W linear.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dim⁡(V)=rang⁡(T)+null⁡(T).(3.280)\dim(V) = \operatorname{rang}(T) + \operatorname{null}(T). \tag{3.280}dim(V)=rang(T)+null(T).(3.280)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\dim(V)=\operatorname{rang}(T)+\operatorname{null}(T)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Dimensionssatz zeigt, dass sich die Dimension des Ausgangsraumes in zwei Anteile zerlegen lässt. Ein Anteil bleibt als erreichbare Struktur im Bild erhalten. Der andere Anteil wird im Kern der Abbildung aufgehoben.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Um eine lineare Abbildung rechnerisch darstellen zu können, werden Basen des Ausgangs- und Zielraumes gewählt.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3.2.49 – Darstellungsmatrix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B=(e1,…,en)B=(e_1,\ldots,e_n)B=(e1​,…,en​)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VVV 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C=(f1,…,fm)C=(f_1,\ldots,f_m)C=(f1​,…,fm​)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WWW. Für jeden Basisvektor eje_jej​ existieren eindeutig bestimmte Skalare aija_{ij}aij​,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T(ej)=∑i=1maijfi.(3.281)T(e_j) = \sum_{i=1}^{m}a_{ij}f_i. \tag{3.281}T(ej​)=i=1∑m​aij​fi​.(3.281)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T(e_j)=\sum_{i=1}^{m}a_{ij}f_i</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Koeffizienten werden in der Matrix</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[T]C←B=(a11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amn)(3.282)[T]_{C\leftarrow B} = \begin{pmatrix} a_{11} &amp; \cdots &amp; a_{1n}\\ \vdots &amp; \ddots &amp; \vdots\\ a_{m1} &amp; \cdots &amp; a_{mn} \end{pmatrix} \tag{3.282}[T]C←B​=​a11​</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 xml:space="preserve">amn​​​(3.282)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[T]_{C\leftarrow B}=\begin{pmatrix}a_{11}&amp;\cdots&amp;a_{1n}\\\vdots&amp;\ddots&amp;\vdots\\a_{m1}&amp;\cdots&amp;a_{mn}\end{pmatrix}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zusammengefasst.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jjj-te Spalte dieser Matrix enthält die Koordinaten des Bildes des jjj-ten Basisvektors. Ist ein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bezüglich der Basis BBB durch den Koordinatenvektor [v]B[v]_B[v]B​ dargestellt,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[T(v)]C=[T]C←B[v]B.(3.283)[T(v)]_C = [T]_{C\leftarrow B}[v]_B. \tag{3.283}[T(v)]C​=[T]C←B​[v]B​.(3.283)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lastRenderedPageBreak/>
        <w:t xml:space="preserve">Word-LaTeX: </w:t>
      </w:r>
      <w:r w:rsidRPr="008D1B14">
        <w:rPr>
          <w:rFonts w:ascii="Courier New" w:hAnsi="Courier New" w:cs="Courier New"/>
          <w:bCs w:val="0"/>
          <w:sz w:val="20"/>
          <w:szCs w:val="20"/>
          <w:lang w:val="en-US"/>
        </w:rPr>
        <w:t>[T(v)]_C=[T]_{C\leftarrow B}[v]_B</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Wirkung der abstrakten linearen Abbildung wird dadurch auf eine Matrixmultiplikation zurückgeführt.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3.2.50 –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lineare Abbildung</w:t>
      </w:r>
    </w:p>
    <w:p w:rsidR="008D1B14" w:rsidRPr="008D1B14" w:rsidRDefault="008D1B14" w:rsidP="008D1B14">
      <w:pPr>
        <w:spacing w:after="0"/>
        <w:rPr>
          <w:rFonts w:ascii="Times New Roman" w:hAnsi="Times New Roman" w:cs="Times New Roman"/>
          <w:bCs w:val="0"/>
          <w:lang w:val="en-US"/>
        </w:rPr>
      </w:pPr>
      <w:r w:rsidRPr="008D1B14">
        <w:rPr>
          <w:rFonts w:ascii="Times New Roman" w:hAnsi="Times New Roman" w:cs="Times New Roman"/>
          <w:bCs w:val="0"/>
          <w:lang w:val="en-US"/>
        </w:rPr>
        <w:t xml:space="preserve">T:V→V(3.284)T:V\rightarrow V \tag{3.284}T:V→V(3.284)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T:V\rightarrow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heißt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Bei einem Operator stimmen Ausgangs- und Zielraum überein. Der Operator beschreibt damit eine Transformation innerhalb desselben Zustandsraumes. Dies unterscheidet ihn von einer allgemeinen linearen Abbildung, die zwei unterschiedliche Vektorräume verbinden kann.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Werden zwei lineare Abbildungen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T:V→WT:V\rightarrow WT:V→W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und</w:t>
      </w:r>
    </w:p>
    <w:p w:rsidR="008D1B14" w:rsidRPr="008D1B14" w:rsidRDefault="008D1B14" w:rsidP="008D1B14">
      <w:pPr>
        <w:spacing w:after="0"/>
        <w:rPr>
          <w:rFonts w:ascii="Times New Roman" w:hAnsi="Times New Roman" w:cs="Times New Roman"/>
          <w:bCs w:val="0"/>
          <w:lang w:val="en-US"/>
        </w:rPr>
      </w:pPr>
      <w:r w:rsidRPr="008D1B14">
        <w:rPr>
          <w:rFonts w:ascii="Times New Roman" w:hAnsi="Times New Roman" w:cs="Times New Roman"/>
          <w:bCs w:val="0"/>
          <w:lang w:val="en-US"/>
        </w:rPr>
        <w:t xml:space="preserve">S:W→XS:W\rightarrow XS:W→X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nacheinander ausgeführt, entsteht ihre Komposition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T:V→X.(3.285)S\circ T:V\rightarrow X. \tag{3.285}S</w:t>
      </w:r>
      <w:r w:rsidRPr="008D1B14">
        <w:rPr>
          <w:rFonts w:ascii="Cambria Math" w:hAnsi="Cambria Math" w:cs="Cambria Math"/>
          <w:bCs w:val="0"/>
        </w:rPr>
        <w:t>∘</w:t>
      </w:r>
      <w:r w:rsidRPr="008D1B14">
        <w:rPr>
          <w:rFonts w:ascii="Times New Roman" w:hAnsi="Times New Roman" w:cs="Times New Roman"/>
          <w:bCs w:val="0"/>
        </w:rPr>
        <w:t xml:space="preserve">T:V→X.(3.285)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S\circ T:V\rightarrow 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Bezüglich gewählter Basen entspricht die Komposition der Matrixmultiplikation:</w:t>
      </w:r>
    </w:p>
    <w:p w:rsidR="008D1B14" w:rsidRPr="008D1B14" w:rsidRDefault="008D1B14" w:rsidP="008D1B14">
      <w:pPr>
        <w:spacing w:after="0"/>
        <w:rPr>
          <w:rFonts w:ascii="Times New Roman" w:hAnsi="Times New Roman" w:cs="Times New Roman"/>
          <w:bCs w:val="0"/>
          <w:lang w:val="en-US"/>
        </w:rPr>
      </w:pPr>
      <w:r w:rsidRPr="008D1B14">
        <w:rPr>
          <w:rFonts w:ascii="Times New Roman" w:hAnsi="Times New Roman" w:cs="Times New Roman"/>
          <w:bCs w:val="0"/>
          <w:lang w:val="en-US"/>
        </w:rPr>
        <w:t>[S</w:t>
      </w:r>
      <w:r w:rsidRPr="008D1B14">
        <w:rPr>
          <w:rFonts w:ascii="Cambria Math" w:hAnsi="Cambria Math" w:cs="Cambria Math"/>
          <w:bCs w:val="0"/>
          <w:lang w:val="en-US"/>
        </w:rPr>
        <w:t>∘</w:t>
      </w:r>
      <w:r w:rsidRPr="008D1B14">
        <w:rPr>
          <w:rFonts w:ascii="Times New Roman" w:hAnsi="Times New Roman" w:cs="Times New Roman"/>
          <w:bCs w:val="0"/>
          <w:lang w:val="en-US"/>
        </w:rPr>
        <w:t>T]=[S][T].(3.286)[S\circ T] = [S][T]. \tag{3.286}[S</w:t>
      </w:r>
      <w:r w:rsidRPr="008D1B14">
        <w:rPr>
          <w:rFonts w:ascii="Cambria Math" w:hAnsi="Cambria Math" w:cs="Cambria Math"/>
          <w:bCs w:val="0"/>
          <w:lang w:val="en-US"/>
        </w:rPr>
        <w:t>∘</w:t>
      </w:r>
      <w:r w:rsidRPr="008D1B14">
        <w:rPr>
          <w:rFonts w:ascii="Times New Roman" w:hAnsi="Times New Roman" w:cs="Times New Roman"/>
          <w:bCs w:val="0"/>
          <w:lang w:val="en-US"/>
        </w:rPr>
        <w:t xml:space="preserve">T]=[S][T].(3.286)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[S\circ T]=[S][T]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erklärt sich zugleich, weshalb die Matrixmultiplikation im Allgemeinen nicht kommutativ ist. Die Reihenfolge zweier Transformationen ist strukturell relevant. Wird zunächst TTT und anschließend SSS angewendet, entsteht im Allgemeinen ein anderes Ergebnis als bei der umgekehrten Reihenfolge.</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S.(3.287)S\circ T \neq T\circ S. \tag{3.287}S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S.(3.287)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S\circ T\neq T\circ 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die spätere mathematische Rekonstruktion funktionaler Organisation ist diese Eigenschaft wesentlich. Prozesse können nicht grundsätzlich vertauscht werden, ohne ihre Gesamtwirkung zu verändern. Eine Transformation kann die Voraussetzungen schaffen, unter denen eine </w:t>
      </w:r>
      <w:r w:rsidRPr="008D1B14">
        <w:rPr>
          <w:rFonts w:ascii="Times New Roman" w:hAnsi="Times New Roman" w:cs="Times New Roman"/>
          <w:bCs w:val="0"/>
        </w:rPr>
        <w:lastRenderedPageBreak/>
        <w:t>nachfolgende Transformation überhaupt erst wirksam wird. Die Reihenfolge der Operatoren wird damit selbst zu einem Bestandteil der mathematischen Struktur.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weitere wichtige Unterscheidung betrifft die Invertierbarkeit.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3.2.51 – Invertierbarer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linearer Operator T:V→VT:V\rightarrow VT:V→V heißt invertierbar, wenn ein linearer Operator T−1:V→VT^{-1}:V\rightarrow VT−1:V→V existiert,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T−1=id⁡V.(3.288)T^{-1}\circ T = T\circ T^{-1} = \operatorname{id}_V. \tag{3.288}T−1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T−1=idV​.(3.288)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T^{-1}\circ T=T\circ T^{-1}=\operatorname{id}_V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invertierbarer Operator ermöglicht die eindeutige Rekonstruktion des Ausgangszustandes aus dem transformierten Zustand. Ist ein Operator dagegen nicht invertierbar, werden bei seiner Anwendung Informationen zusammengeführt oder vollständig gelöscht. Ein nichttrivialer Kern ist deshalb ein unmittelbares Kennzeichen dafür, dass eine lineare Transformation nicht injektiv und damit nicht umkehrbar ist.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3.2.13 – Charakterisierung der Invertierbarkeit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einen linearen Operator T:V→VT:V\rightarrow VT:V→V auf einem endlichdimensionalen Vektorraum sind die folgenden Aussagen äquivalent: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 ist invertierbar,(3.289)T\text{ ist invertierbar}, \tag{3.289}T ist invertierbar,(3.289)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T\text{ ist invertierbar}</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ker⁡(T)={0},(3.290)\ker(T)=\{0\}, \tag{3.290}ker(T)={0},(3.290)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\ker(T)=\{0\}</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im⁡(T)=V,(3.291)\operatorname{im}(T)=V, \tag{3.291}im(T)=V,(3.291)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rang⁡(T)=dim⁡(V).(3.292)\operatorname{rang}(T)=\dim(V). \tag{3.292}rang(T)=dim(V).(3.292)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\operatorname{rang}(T)=\dim(V)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Äquivalenz dieser Bedingungen verbindet die algebraische Umkehrbarkeit eines Operators mit seiner Wirkung auf Dimension, Kern und Bild.</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Lineare Abbildungen, Matrizen und Operatoren stellen damit unterschiedliche Beschreibungsebenen derselben mathematischen Struktur dar. Die lineare Abbildung beschreibt die Transformation unabhängig von einer konkreten Basis. Die Matrix stellt diese </w:t>
      </w:r>
      <w:r w:rsidRPr="008D1B14">
        <w:rPr>
          <w:rFonts w:ascii="Times New Roman" w:hAnsi="Times New Roman" w:cs="Times New Roman"/>
          <w:bCs w:val="0"/>
        </w:rPr>
        <w:lastRenderedPageBreak/>
        <w:t>Transformation in einem gewählten Koordinatensystem dar. Der Operator bezeichnet den Sonderfall einer Transformation innerhalb desselben Vektorraumes.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bilden diese Begriffe die Grundlage, um Veränderungen funktionaler Zustände nicht nur als allgemeine Zuordnungen, sondern als strukturierte Transformationen zu beschreiben. Besonders bedeutsam sind dabei der Kern als Bereich ausgelöschter Zustandsanteile, das Bild als Bereich erreichbarer Zustände, der Rang als Maß erhaltener unabhängiger Richtungen und die nichtkommutative Verkettung mehrerer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folgende Abschnitt erweitert diese Betrachtung um Skalarprodukte, Normen und Metriken. Erst durch diese zusätzlichen Strukturen lassen sich nicht nur Transformationen, sondern auch Länge, Abstand, Winkel und Ähnlichkeit zwischen Vektoren mathematisch bestimmen.</w:t>
      </w:r>
    </w:p>
    <w:p w:rsidR="008D1B14" w:rsidRPr="008D1B14" w:rsidRDefault="008D1B14" w:rsidP="008D1B14">
      <w:pPr>
        <w:spacing w:before="100" w:beforeAutospacing="1" w:after="100" w:afterAutospacing="1"/>
        <w:outlineLvl w:val="2"/>
        <w:rPr>
          <w:rFonts w:ascii="Times New Roman" w:hAnsi="Times New Roman" w:cs="Times New Roman"/>
          <w:b/>
          <w:sz w:val="27"/>
          <w:szCs w:val="27"/>
          <w:lang w:val="en-US"/>
        </w:rPr>
      </w:pPr>
      <w:r w:rsidRPr="008D1B14">
        <w:rPr>
          <w:rFonts w:ascii="Times New Roman" w:hAnsi="Times New Roman" w:cs="Times New Roman"/>
          <w:b/>
          <w:sz w:val="27"/>
          <w:szCs w:val="27"/>
          <w:lang w:val="en-US"/>
        </w:rPr>
        <w:t>Neue Literaturquellen</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[88]</w:t>
      </w:r>
      <w:r w:rsidRPr="008D1B14">
        <w:rPr>
          <w:rFonts w:ascii="Times New Roman" w:hAnsi="Times New Roman" w:cs="Times New Roman"/>
          <w:bCs w:val="0"/>
          <w:lang w:val="en-US"/>
        </w:rPr>
        <w:t xml:space="preserve"> Sylvester, James Joseph: „Additions to the Articles in the September Number of This Journal, ‘On a New Class of Theorems,’ and on Pascal’s Theorem“. 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xml:space="preserve">, Series 3, Band 37, 1850, S. 363–370.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[89]</w:t>
      </w:r>
      <w:r w:rsidRPr="008D1B14">
        <w:rPr>
          <w:rFonts w:ascii="Times New Roman" w:hAnsi="Times New Roman" w:cs="Times New Roman"/>
          <w:bCs w:val="0"/>
          <w:lang w:val="en-US"/>
        </w:rPr>
        <w:t xml:space="preserve"> Cayley, Arthur: „A Memoir on the Theory of Matrices“. 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xml:space="preserve">, Band 148, 1858, S. 17–37.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lang w:val="en-US"/>
        </w:rPr>
        <w:t>[90]</w:t>
      </w:r>
      <w:r w:rsidRPr="008D1B14">
        <w:rPr>
          <w:rFonts w:ascii="Times New Roman" w:hAnsi="Times New Roman" w:cs="Times New Roman"/>
          <w:bCs w:val="0"/>
          <w:lang w:val="en-US"/>
        </w:rPr>
        <w:t xml:space="preserve"> Halmos, Paul Richard: </w:t>
      </w:r>
      <w:r w:rsidRPr="008D1B14">
        <w:rPr>
          <w:rFonts w:ascii="Times New Roman" w:hAnsi="Times New Roman" w:cs="Times New Roman"/>
          <w:bCs w:val="0"/>
          <w:i/>
          <w:iCs/>
          <w:lang w:val="en-US"/>
        </w:rPr>
        <w:t>Finite-Dimensional Vector Spaces</w:t>
      </w:r>
      <w:r w:rsidRPr="008D1B14">
        <w:rPr>
          <w:rFonts w:ascii="Times New Roman" w:hAnsi="Times New Roman" w:cs="Times New Roman"/>
          <w:bCs w:val="0"/>
          <w:lang w:val="en-US"/>
        </w:rPr>
        <w:t xml:space="preserve">. </w:t>
      </w:r>
      <w:r w:rsidRPr="008D1B14">
        <w:rPr>
          <w:rFonts w:ascii="Times New Roman" w:hAnsi="Times New Roman" w:cs="Times New Roman"/>
          <w:bCs w:val="0"/>
        </w:rPr>
        <w:t xml:space="preserve">Princeton: Princeton University Press, 1942.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rPr>
        <w:t>Nächste freie Literaturziffer:</w:t>
      </w:r>
      <w:r w:rsidRPr="008D1B14">
        <w:rPr>
          <w:rFonts w:ascii="Times New Roman" w:hAnsi="Times New Roman" w:cs="Times New Roman"/>
          <w:bCs w:val="0"/>
        </w:rPr>
        <w:t xml:space="preserve"> </w:t>
      </w:r>
      <w:r w:rsidRPr="008D1B14">
        <w:rPr>
          <w:rFonts w:ascii="Times New Roman" w:hAnsi="Times New Roman" w:cs="Times New Roman"/>
          <w:b/>
        </w:rPr>
        <w:t>[91]</w:t>
      </w:r>
    </w:p>
    <w:p w:rsidR="00DC2E78" w:rsidRPr="00DC2E78" w:rsidRDefault="00DC2E78" w:rsidP="00DC2E78">
      <w:pPr>
        <w:spacing w:before="100" w:beforeAutospacing="1" w:after="100" w:afterAutospacing="1"/>
        <w:outlineLvl w:val="1"/>
        <w:rPr>
          <w:rFonts w:ascii="Times New Roman" w:hAnsi="Times New Roman" w:cs="Times New Roman"/>
          <w:b/>
          <w:sz w:val="36"/>
          <w:szCs w:val="36"/>
        </w:rPr>
      </w:pPr>
      <w:r w:rsidRPr="00DC2E78">
        <w:rPr>
          <w:rFonts w:ascii="Times New Roman" w:hAnsi="Times New Roman" w:cs="Times New Roman"/>
          <w:b/>
          <w:sz w:val="36"/>
          <w:szCs w:val="36"/>
        </w:rPr>
        <w:t>3.2.8 Skalarprodukte, Normen und Metriken als mathematische Beschreibung von Ähnlichkeit und Abstand</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Im vorhergehenden Abschnitt wurden lineare Abbildungen als strukturtreue Transformationen zwischen Vektorräumen eingeführt. Dadurch lässt sich beschreiben, wie sich Zustände verändern und welche algebraischen Eigenschaften dabei erhalten bleiben. Noch nicht beantwortet ist jedoch die Frage, wie zwei Zustände miteinander verglichen werden können. Weder ein Vektorraum noch eine lineare Abbildung liefern Aussagen darüber, wie ähnlich zwei Zustände sind, welchen Abstand sie besitzen oder unter welchem Winkel sie zueinander stehen.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diese Fragestellungen werden zusätzliche mathematische Strukturen benötigt. Skalarprodukte ermöglichen die Bestimmung von Winkeln und Projektionen. Normen ordnen jedem Vektor eine Größe oder Länge zu. Metriken beschreiben schließlich den Abstand zwischen zwei Zuständen. Erst durch diese Erweiterungen entsteht eine mathematische Grundlage für den Vergleich funktionaler Zustände.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lastRenderedPageBreak/>
        <w:t xml:space="preserve">Historisch entwickelte sich das Skalarprodukt aus der analytischen Geometrie und der Mechanik. Hermann Günther Grassmann bereitete mit seiner Ausdehnungslehre die algebraische Beschreibung gerichteter Größen vor (Hermann Grassmann: </w:t>
      </w:r>
      <w:r w:rsidRPr="00DC2E78">
        <w:rPr>
          <w:rFonts w:ascii="Times New Roman" w:hAnsi="Times New Roman" w:cs="Times New Roman"/>
          <w:bCs w:val="0"/>
          <w:i/>
          <w:iCs/>
        </w:rPr>
        <w:t>Die lineale Ausdehnungslehre</w:t>
      </w:r>
      <w:r w:rsidRPr="00DC2E78">
        <w:rPr>
          <w:rFonts w:ascii="Times New Roman" w:hAnsi="Times New Roman" w:cs="Times New Roman"/>
          <w:bCs w:val="0"/>
        </w:rPr>
        <w:t xml:space="preserve">. Leipzig: Otto Wigand, 1844)[85]. Den heute gebräuchlichen abstrakten Begriff des Skalarprodukts prägte vor allem David Hilbert im Zusammenhang mit der Entwicklung unendlichdimensionaler Räume (David Hilbert: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Leipzig: Teubner, 1912)[91]. Frigyes Riesz zeigte anschließend, welche fundamentale Rolle Skalarprodukte für lineare Funktionale und die Funktionalanalysis besitzen (Frigyes Riesz; Béla Sz.-Nagy: </w:t>
      </w:r>
      <w:r w:rsidRPr="00DC2E78">
        <w:rPr>
          <w:rFonts w:ascii="Times New Roman" w:hAnsi="Times New Roman" w:cs="Times New Roman"/>
          <w:bCs w:val="0"/>
          <w:i/>
          <w:iCs/>
        </w:rPr>
        <w:t>Functional Analysis</w:t>
      </w:r>
      <w:r w:rsidRPr="00DC2E78">
        <w:rPr>
          <w:rFonts w:ascii="Times New Roman" w:hAnsi="Times New Roman" w:cs="Times New Roman"/>
          <w:bCs w:val="0"/>
        </w:rPr>
        <w:t>. New York: Frederick Ungar, 1955)[92].</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spätere mathematische Rekonstruktion funktionaler Organisation besitzen diese Begriffe eine besondere Bedeutung. Während Vektoren Zustände beschreiben und lineare Operatoren deren Transformation darstellen, erlauben Skalarprodukt, Norm und Metrik erstmals Aussagen über Ähnlichkeit, Entfernung und strukturelle Nähe zwischen verschiedenen Zuständen. Damit entsteht die mathematische Grundlage für spätere Kohärenz- und Distanzmaße.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3.2.52 –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Sei VVV ein Vektorraum über R\mathbb{R}R.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 Skalarprodukt ist eine Abbildung</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:V×V→R(3.293)\langle\cdot,\cdot\rangle:V\times V\rightarrow\mathbb{R} \tag{3.293}</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 xml:space="preserve">:V×V→R(3.293)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\langle\cdot,\cdot\rangle:V\times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folgenden Eigenschaften.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Axiom SP1 – Symmetrie</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v,u</w:t>
      </w:r>
      <w:r w:rsidRPr="00DC2E78">
        <w:rPr>
          <w:rFonts w:ascii="Cambria Math" w:hAnsi="Cambria Math" w:cs="Cambria Math"/>
          <w:bCs w:val="0"/>
        </w:rPr>
        <w:t>⟩</w:t>
      </w:r>
      <w:r w:rsidRPr="00DC2E78">
        <w:rPr>
          <w:rFonts w:ascii="Times New Roman" w:hAnsi="Times New Roman" w:cs="Times New Roman"/>
          <w:bCs w:val="0"/>
        </w:rPr>
        <w:t>.(3.294)\langle u,v\rangle = \langle v,u\rangle. \tag{3.294}</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v,u</w:t>
      </w:r>
      <w:r w:rsidRPr="00DC2E78">
        <w:rPr>
          <w:rFonts w:ascii="Cambria Math" w:hAnsi="Cambria Math" w:cs="Cambria Math"/>
          <w:bCs w:val="0"/>
        </w:rPr>
        <w:t>⟩</w:t>
      </w:r>
      <w:r w:rsidRPr="00DC2E78">
        <w:rPr>
          <w:rFonts w:ascii="Times New Roman" w:hAnsi="Times New Roman" w:cs="Times New Roman"/>
          <w:bCs w:val="0"/>
        </w:rPr>
        <w:t xml:space="preserve">.(3.294)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\langle u,v\rangle=\langle v,u\rangle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Axiom SP2 – Linearität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λu+μv,w</w:t>
      </w:r>
      <w:r w:rsidRPr="00DC2E78">
        <w:rPr>
          <w:rFonts w:ascii="Cambria Math" w:hAnsi="Cambria Math" w:cs="Cambria Math"/>
          <w:bCs w:val="0"/>
        </w:rPr>
        <w:t>⟩</w:t>
      </w:r>
      <w:r w:rsidRPr="00DC2E78">
        <w:rPr>
          <w:rFonts w:ascii="Times New Roman" w:hAnsi="Times New Roman" w:cs="Times New Roman"/>
          <w:bCs w:val="0"/>
        </w:rPr>
        <w:t>=λ</w:t>
      </w:r>
      <w:r w:rsidRPr="00DC2E78">
        <w:rPr>
          <w:rFonts w:ascii="Cambria Math" w:hAnsi="Cambria Math" w:cs="Cambria Math"/>
          <w:bCs w:val="0"/>
        </w:rPr>
        <w:t>⟨</w:t>
      </w:r>
      <w:r w:rsidRPr="00DC2E78">
        <w:rPr>
          <w:rFonts w:ascii="Times New Roman" w:hAnsi="Times New Roman" w:cs="Times New Roman"/>
          <w:bCs w:val="0"/>
        </w:rPr>
        <w:t>u,w</w:t>
      </w:r>
      <w:r w:rsidRPr="00DC2E78">
        <w:rPr>
          <w:rFonts w:ascii="Cambria Math" w:hAnsi="Cambria Math" w:cs="Cambria Math"/>
          <w:bCs w:val="0"/>
        </w:rPr>
        <w:t>⟩</w:t>
      </w:r>
      <w:r w:rsidRPr="00DC2E78">
        <w:rPr>
          <w:rFonts w:ascii="Times New Roman" w:hAnsi="Times New Roman" w:cs="Times New Roman"/>
          <w:bCs w:val="0"/>
        </w:rPr>
        <w:t>+μ</w:t>
      </w:r>
      <w:r w:rsidRPr="00DC2E78">
        <w:rPr>
          <w:rFonts w:ascii="Cambria Math" w:hAnsi="Cambria Math" w:cs="Cambria Math"/>
          <w:bCs w:val="0"/>
        </w:rPr>
        <w:t>⟨</w:t>
      </w:r>
      <w:r w:rsidRPr="00DC2E78">
        <w:rPr>
          <w:rFonts w:ascii="Times New Roman" w:hAnsi="Times New Roman" w:cs="Times New Roman"/>
          <w:bCs w:val="0"/>
        </w:rPr>
        <w:t>v,w</w:t>
      </w:r>
      <w:r w:rsidRPr="00DC2E78">
        <w:rPr>
          <w:rFonts w:ascii="Cambria Math" w:hAnsi="Cambria Math" w:cs="Cambria Math"/>
          <w:bCs w:val="0"/>
        </w:rPr>
        <w:t>⟩</w:t>
      </w:r>
      <w:r w:rsidRPr="00DC2E78">
        <w:rPr>
          <w:rFonts w:ascii="Times New Roman" w:hAnsi="Times New Roman" w:cs="Times New Roman"/>
          <w:bCs w:val="0"/>
        </w:rPr>
        <w:t>.(3.295)\langle \lambda u+\mu v, w \rangle = \lambda \langle u,w \rangle + \mu \langle v,w \rangle. \tag{3.295}</w:t>
      </w:r>
      <w:r w:rsidRPr="00DC2E78">
        <w:rPr>
          <w:rFonts w:ascii="Cambria Math" w:hAnsi="Cambria Math" w:cs="Cambria Math"/>
          <w:bCs w:val="0"/>
        </w:rPr>
        <w:t>⟨</w:t>
      </w:r>
      <w:r w:rsidRPr="00DC2E78">
        <w:rPr>
          <w:rFonts w:ascii="Times New Roman" w:hAnsi="Times New Roman" w:cs="Times New Roman"/>
          <w:bCs w:val="0"/>
        </w:rPr>
        <w:t>λu+μv,w</w:t>
      </w:r>
      <w:r w:rsidRPr="00DC2E78">
        <w:rPr>
          <w:rFonts w:ascii="Cambria Math" w:hAnsi="Cambria Math" w:cs="Cambria Math"/>
          <w:bCs w:val="0"/>
        </w:rPr>
        <w:t>⟩</w:t>
      </w:r>
      <w:r w:rsidRPr="00DC2E78">
        <w:rPr>
          <w:rFonts w:ascii="Times New Roman" w:hAnsi="Times New Roman" w:cs="Times New Roman"/>
          <w:bCs w:val="0"/>
        </w:rPr>
        <w:t>=λ</w:t>
      </w:r>
      <w:r w:rsidRPr="00DC2E78">
        <w:rPr>
          <w:rFonts w:ascii="Cambria Math" w:hAnsi="Cambria Math" w:cs="Cambria Math"/>
          <w:bCs w:val="0"/>
        </w:rPr>
        <w:t>⟨</w:t>
      </w:r>
      <w:r w:rsidRPr="00DC2E78">
        <w:rPr>
          <w:rFonts w:ascii="Times New Roman" w:hAnsi="Times New Roman" w:cs="Times New Roman"/>
          <w:bCs w:val="0"/>
        </w:rPr>
        <w:t>u,w</w:t>
      </w:r>
      <w:r w:rsidRPr="00DC2E78">
        <w:rPr>
          <w:rFonts w:ascii="Cambria Math" w:hAnsi="Cambria Math" w:cs="Cambria Math"/>
          <w:bCs w:val="0"/>
        </w:rPr>
        <w:t>⟩</w:t>
      </w:r>
      <w:r w:rsidRPr="00DC2E78">
        <w:rPr>
          <w:rFonts w:ascii="Times New Roman" w:hAnsi="Times New Roman" w:cs="Times New Roman"/>
          <w:bCs w:val="0"/>
        </w:rPr>
        <w:t>+μ</w:t>
      </w:r>
      <w:r w:rsidRPr="00DC2E78">
        <w:rPr>
          <w:rFonts w:ascii="Cambria Math" w:hAnsi="Cambria Math" w:cs="Cambria Math"/>
          <w:bCs w:val="0"/>
        </w:rPr>
        <w:t>⟨</w:t>
      </w:r>
      <w:r w:rsidRPr="00DC2E78">
        <w:rPr>
          <w:rFonts w:ascii="Times New Roman" w:hAnsi="Times New Roman" w:cs="Times New Roman"/>
          <w:bCs w:val="0"/>
        </w:rPr>
        <w:t>v,w</w:t>
      </w:r>
      <w:r w:rsidRPr="00DC2E78">
        <w:rPr>
          <w:rFonts w:ascii="Cambria Math" w:hAnsi="Cambria Math" w:cs="Cambria Math"/>
          <w:bCs w:val="0"/>
        </w:rPr>
        <w:t>⟩</w:t>
      </w:r>
      <w:r w:rsidRPr="00DC2E78">
        <w:rPr>
          <w:rFonts w:ascii="Times New Roman" w:hAnsi="Times New Roman" w:cs="Times New Roman"/>
          <w:bCs w:val="0"/>
        </w:rPr>
        <w:t xml:space="preserve">.(3.295)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\langle\lambda u+\mu v,w\rangle=\lambda\langle u,w\rangle+\mu\langle v,w\rangle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Axiom SP3 – Positive Definitheit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v,v</w:t>
      </w:r>
      <w:r w:rsidRPr="00DC2E78">
        <w:rPr>
          <w:rFonts w:ascii="Cambria Math" w:hAnsi="Cambria Math" w:cs="Cambria Math"/>
          <w:bCs w:val="0"/>
        </w:rPr>
        <w:t>⟩</w:t>
      </w:r>
      <w:r w:rsidRPr="00DC2E78">
        <w:rPr>
          <w:rFonts w:ascii="Times New Roman" w:hAnsi="Times New Roman" w:cs="Times New Roman"/>
          <w:bCs w:val="0"/>
        </w:rPr>
        <w:t>≥0(3.296)\langle v,v \rangle \ge 0 \tag{3.296}</w:t>
      </w:r>
      <w:r w:rsidRPr="00DC2E78">
        <w:rPr>
          <w:rFonts w:ascii="Cambria Math" w:hAnsi="Cambria Math" w:cs="Cambria Math"/>
          <w:bCs w:val="0"/>
        </w:rPr>
        <w:t>⟨</w:t>
      </w:r>
      <w:r w:rsidRPr="00DC2E78">
        <w:rPr>
          <w:rFonts w:ascii="Times New Roman" w:hAnsi="Times New Roman" w:cs="Times New Roman"/>
          <w:bCs w:val="0"/>
        </w:rPr>
        <w:t>v,v</w:t>
      </w:r>
      <w:r w:rsidRPr="00DC2E78">
        <w:rPr>
          <w:rFonts w:ascii="Cambria Math" w:hAnsi="Cambria Math" w:cs="Cambria Math"/>
          <w:bCs w:val="0"/>
        </w:rPr>
        <w:t>⟩</w:t>
      </w:r>
      <w:r w:rsidRPr="00DC2E78">
        <w:rPr>
          <w:rFonts w:ascii="Times New Roman" w:hAnsi="Times New Roman" w:cs="Times New Roman"/>
          <w:bCs w:val="0"/>
        </w:rPr>
        <w:t xml:space="preserve">≥0(3.296)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\langle v,v\rangle\ge0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lastRenderedPageBreak/>
        <w:t>und</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v,v</w:t>
      </w:r>
      <w:r w:rsidRPr="00DC2E78">
        <w:rPr>
          <w:rFonts w:ascii="Cambria Math" w:hAnsi="Cambria Math" w:cs="Cambria Math"/>
          <w:bCs w:val="0"/>
        </w:rPr>
        <w:t>⟩</w:t>
      </w:r>
      <w:r w:rsidRPr="00DC2E78">
        <w:rPr>
          <w:rFonts w:ascii="Times New Roman" w:hAnsi="Times New Roman" w:cs="Times New Roman"/>
          <w:bCs w:val="0"/>
        </w:rPr>
        <w:t>=0</w:t>
      </w:r>
      <w:r w:rsidRPr="00DC2E78">
        <w:rPr>
          <w:rFonts w:ascii="Cambria Math" w:hAnsi="Cambria Math" w:cs="Cambria Math"/>
          <w:bCs w:val="0"/>
        </w:rPr>
        <w:t>⟺</w:t>
      </w:r>
      <w:r w:rsidRPr="00DC2E78">
        <w:rPr>
          <w:rFonts w:ascii="Times New Roman" w:hAnsi="Times New Roman" w:cs="Times New Roman"/>
          <w:bCs w:val="0"/>
        </w:rPr>
        <w:t>v=0.(3.297)\langle v,v \rangle = 0 \Longleftrightarrow v=0. \tag{3.297}</w:t>
      </w:r>
      <w:r w:rsidRPr="00DC2E78">
        <w:rPr>
          <w:rFonts w:ascii="Cambria Math" w:hAnsi="Cambria Math" w:cs="Cambria Math"/>
          <w:bCs w:val="0"/>
        </w:rPr>
        <w:t>⟨</w:t>
      </w:r>
      <w:r w:rsidRPr="00DC2E78">
        <w:rPr>
          <w:rFonts w:ascii="Times New Roman" w:hAnsi="Times New Roman" w:cs="Times New Roman"/>
          <w:bCs w:val="0"/>
        </w:rPr>
        <w:t>v,v</w:t>
      </w:r>
      <w:r w:rsidRPr="00DC2E78">
        <w:rPr>
          <w:rFonts w:ascii="Cambria Math" w:hAnsi="Cambria Math" w:cs="Cambria Math"/>
          <w:bCs w:val="0"/>
        </w:rPr>
        <w:t>⟩</w:t>
      </w:r>
      <w:r w:rsidRPr="00DC2E78">
        <w:rPr>
          <w:rFonts w:ascii="Times New Roman" w:hAnsi="Times New Roman" w:cs="Times New Roman"/>
          <w:bCs w:val="0"/>
        </w:rPr>
        <w:t>=0</w:t>
      </w:r>
      <w:r w:rsidRPr="00DC2E78">
        <w:rPr>
          <w:rFonts w:ascii="Cambria Math" w:hAnsi="Cambria Math" w:cs="Cambria Math"/>
          <w:bCs w:val="0"/>
        </w:rPr>
        <w:t>⟺</w:t>
      </w:r>
      <w:r w:rsidRPr="00DC2E78">
        <w:rPr>
          <w:rFonts w:ascii="Times New Roman" w:hAnsi="Times New Roman" w:cs="Times New Roman"/>
          <w:bCs w:val="0"/>
        </w:rPr>
        <w:t xml:space="preserve">v=0.(3.297)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\langle v,v\rangle=0\Longleftrightarrow v=0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Das Skalarprodukt verallgemeinert damit den geometrischen Begriff des Winkels auf beliebige endlich- und unendlichdimensionale Vektorräume.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3.2.53 – Euklidisches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den Vektorraum</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Rn\mathbb{R}^{n}Rn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ist das Standard-Skalarprodukt definiert durch</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=∑i=1nuivi.(3.298)\langle u,v \rangle = \sum_{i=1}^{n} u_i v_i. \tag{3.298}</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=i=1∑n​ui​vi​.(3.298)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\langle u,v\rangle=\sum_{i=1}^{n}u_iv_i</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Hieraus ergibt sich unmittelbar die Definition der Norm.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3.2.54 – Norm</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von einem Skalarprodukt induzierte Norm lautet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v,v</w:t>
      </w:r>
      <w:r w:rsidRPr="00DC2E78">
        <w:rPr>
          <w:rFonts w:ascii="Cambria Math" w:hAnsi="Cambria Math" w:cs="Cambria Math"/>
          <w:bCs w:val="0"/>
        </w:rPr>
        <w:t>⟩</w:t>
      </w:r>
      <w:r w:rsidRPr="00DC2E78">
        <w:rPr>
          <w:rFonts w:ascii="Times New Roman" w:hAnsi="Times New Roman" w:cs="Times New Roman"/>
          <w:bCs w:val="0"/>
        </w:rPr>
        <w:t>.(3.299)\|v\| = \sqrt{ \langle v,v \rangle }. \tag{3.299}</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v,v</w:t>
      </w:r>
      <w:r w:rsidRPr="00DC2E78">
        <w:rPr>
          <w:rFonts w:ascii="Cambria Math" w:hAnsi="Cambria Math" w:cs="Cambria Math"/>
          <w:bCs w:val="0"/>
        </w:rPr>
        <w:t>⟩</w:t>
      </w:r>
      <w:r w:rsidRPr="00DC2E78">
        <w:rPr>
          <w:rFonts w:ascii="Times New Roman" w:hAnsi="Times New Roman" w:cs="Times New Roman"/>
          <w:bCs w:val="0"/>
        </w:rPr>
        <w:t xml:space="preserve">​.(3.299)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\|v\|=\sqrt{\langle v,v\rangle}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Sie beschreibt die Länge eines Vektors unabhängig von seiner Lage im Raum.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3.2.14 – Cauchy-Schwarz-Ungleichung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.(3.300)| \langle u,v \rangle | \le \|u\| \, \|v\|. \tag{3.300}</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.(3.300)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|\langle u,v\rangle|\le\|u\|\|v\|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Ungleichung begrenzt das Skalarprodukt zweier Vektoren durch das Produkt ihrer Normen und bildet die Grundlage nahezu sämtlicher geometrischer Abschätzungen in Skalarprodukträumen.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Definition 3.2.55 – Winkel zwischen zwei Vektoren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zwei von Null verschiedene Vektoren gilt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cos⁡θ=</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.(3.301)\cos\theta = \frac{ \langle u,v \rangle } { \|u\| \, \|v\| }. \tag{3.301}cosθ=</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​.(3.301)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\cos\theta=\frac{\langle u,v\rangle}{\|u\|\|v\|}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erhält der Winkelbegriff eine rein algebraische Definition.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3.2.56 – Orthogonalität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Zwei Vektoren heißen orthogonal, wenn</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=0.(3.302)\langle u,v \rangle = 0. \tag{3.302}</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=0.(3.302)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\langle u,v\rangle=0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Orthogonale Richtungen besitzen keinen gegenseitigen Projektionsanteil.</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3.2.57 –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Eine Metrik ist eine Abbildung</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d:V×V→R(3.303)d : V \times V \rightarrow \mathbb{R} \tag{3.303}d:V×V→R(3.303)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d:V\times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Eigenschaften</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d(x,y)≥0,(3.304)d(x,y)\ge0, \tag{3.304}d(x,y)≥0,(3.304)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d(x,y)\ge0</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d(x,y)=0</w:t>
      </w:r>
      <w:r w:rsidRPr="00DC2E78">
        <w:rPr>
          <w:rFonts w:ascii="Cambria Math" w:hAnsi="Cambria Math" w:cs="Cambria Math"/>
          <w:bCs w:val="0"/>
        </w:rPr>
        <w:t>⟺</w:t>
      </w:r>
      <w:r w:rsidRPr="00DC2E78">
        <w:rPr>
          <w:rFonts w:ascii="Times New Roman" w:hAnsi="Times New Roman" w:cs="Times New Roman"/>
          <w:bCs w:val="0"/>
        </w:rPr>
        <w:t>x=y,(3.305)d(x,y)=0 \Longleftrightarrow x=y, \tag{3.305}d(x,y)=0</w:t>
      </w:r>
      <w:r w:rsidRPr="00DC2E78">
        <w:rPr>
          <w:rFonts w:ascii="Cambria Math" w:hAnsi="Cambria Math" w:cs="Cambria Math"/>
          <w:bCs w:val="0"/>
        </w:rPr>
        <w:t>⟺</w:t>
      </w:r>
      <w:r w:rsidRPr="00DC2E78">
        <w:rPr>
          <w:rFonts w:ascii="Times New Roman" w:hAnsi="Times New Roman" w:cs="Times New Roman"/>
          <w:bCs w:val="0"/>
        </w:rPr>
        <w:t xml:space="preserve">x=y,(3.305)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d(x,y)=0\Longleftrightarrow x=y</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d(x,y)=d(y,x),(3.306)d(x,y)=d(y,x), \tag{3.306}d(x,y)=d(y,x),(3.306)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d(x,y)=d(y,x)</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und</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d(x,z)≤d(x,y)+d(y,z).(3.307)d(x,z) \le d(x,y) + d(y,z). \tag{3.307}d(x,z)≤d(x,y)+d(y,z).(3.307)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d(x,z)\le d(x,y)+d(y,z)</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letzte Bedingung wird als Dreiecksungleichung bezeichnet.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Definition 3.2.58 – Euklidische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Aus der Norm ergibt sich unmittelbar die euklidische Metrik</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d(u,v)=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.(3.308)d(u,v) = \|u-v\|. \tag{3.308}d(u,v)=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.(3.308)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d(u,v)=\|u-v\|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werden Längen- und Abstandsmessung mathematisch konsistent miteinander verknüpft.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3.2.15 – Norm erfüllt die Dreiecksungleichung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.(3.309)\|u+v\| \le \|u\| + \|v\|. \tag{3.309}</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.(3.309)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\|u+v\|\le\|u\|+\|v\|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Diese Eigenschaft garantiert, dass die aus der Norm erzeugte Abstandsfunktion tatsächlich eine Metrik definiert.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3.2.59 – Projektion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orthogonale Projektion eines Vektors auf einen Vektor u≠0u\neq0u=0 lautet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proj⁡u(v)=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u.(3.310)\operatorname{proj}_{u}(v) = \frac{ \langle u,v \rangle } { \langle u,u \rangle } u. \tag{3.310}proju​(v)=</w:t>
      </w:r>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​u.(3.310)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DC2E78">
        <w:rPr>
          <w:rFonts w:ascii="Courier New" w:hAnsi="Courier New" w:cs="Courier New"/>
          <w:bCs w:val="0"/>
          <w:sz w:val="20"/>
          <w:szCs w:val="20"/>
          <w:lang w:val="en-US"/>
        </w:rPr>
        <w:t>\operatorname{proj}_{u}(v)=\frac{\langle u,v\rangle}{\langle u,u\rangle}u</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Projektionen zerlegen einen Vektor in einen Anteil entlang einer vorgegebenen Richtung und einen dazu orthogonalen Rest.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stehen nun drei unterschiedliche mathematische Beschreibungsebenen zur Verfügung. Das Skalarprodukt bewertet die Ähnlichkeit zweier Richtungen. Die Norm ordnet jedem Zustand eine Größe zu. Die Metrik beschreibt schließlich den Abstand zwischen zwei Zuständen. Gemeinsam bilden diese Strukturen die Grundlage nahezu aller geometrischen und analytischen Verfahren der modernen Mathematik.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weitere mathematische Entwicklung dieser Arbeit besitzen sie eine zentrale Funktion. Erst sie ermöglichen es, funktionale Zustände nicht nur algebraisch zu beschreiben, sondern auch quantitativ miteinander zu vergleichen. Maße wie Ähnlichkeit, Kohärenz, Abstand oder Projektion können dadurch auf eine wohldefinierte mathematische Grundlage gestellt werden, ohne bereits spezifische Annahmen der später entwickelten Theorie vorauszusetzen.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Neue Literaturquellen</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rPr>
        <w:t>[91]</w:t>
      </w:r>
      <w:r w:rsidRPr="00DC2E78">
        <w:rPr>
          <w:rFonts w:ascii="Times New Roman" w:hAnsi="Times New Roman" w:cs="Times New Roman"/>
          <w:bCs w:val="0"/>
        </w:rPr>
        <w:t xml:space="preserve"> Hilbert, David: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w:t>
      </w:r>
      <w:r w:rsidRPr="00DC2E78">
        <w:rPr>
          <w:rFonts w:ascii="Times New Roman" w:hAnsi="Times New Roman" w:cs="Times New Roman"/>
          <w:bCs w:val="0"/>
          <w:lang w:val="en-US"/>
        </w:rPr>
        <w:t>Leipzig: Teubner, 1912.</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lang w:val="en-US"/>
        </w:rPr>
        <w:t>[92]</w:t>
      </w:r>
      <w:r w:rsidRPr="00DC2E78">
        <w:rPr>
          <w:rFonts w:ascii="Times New Roman" w:hAnsi="Times New Roman" w:cs="Times New Roman"/>
          <w:bCs w:val="0"/>
          <w:lang w:val="en-US"/>
        </w:rPr>
        <w:t xml:space="preserve"> Riesz, Frigyes; Sz.-Nagy, Béla: </w:t>
      </w:r>
      <w:r w:rsidRPr="00DC2E78">
        <w:rPr>
          <w:rFonts w:ascii="Times New Roman" w:hAnsi="Times New Roman" w:cs="Times New Roman"/>
          <w:bCs w:val="0"/>
          <w:i/>
          <w:iCs/>
          <w:lang w:val="en-US"/>
        </w:rPr>
        <w:t>Functional Analysis</w:t>
      </w:r>
      <w:r w:rsidRPr="00DC2E78">
        <w:rPr>
          <w:rFonts w:ascii="Times New Roman" w:hAnsi="Times New Roman" w:cs="Times New Roman"/>
          <w:bCs w:val="0"/>
          <w:lang w:val="en-US"/>
        </w:rPr>
        <w:t>. New York: Frederick Ungar Publishing, 1955.</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
        </w:rPr>
        <w:t>Nächste freie Literaturziffer:</w:t>
      </w:r>
      <w:r w:rsidRPr="00DC2E78">
        <w:rPr>
          <w:rFonts w:ascii="Times New Roman" w:hAnsi="Times New Roman" w:cs="Times New Roman"/>
          <w:bCs w:val="0"/>
        </w:rPr>
        <w:t xml:space="preserve"> </w:t>
      </w:r>
      <w:r w:rsidRPr="00DC2E78">
        <w:rPr>
          <w:rFonts w:ascii="Times New Roman" w:hAnsi="Times New Roman" w:cs="Times New Roman"/>
          <w:b/>
        </w:rPr>
        <w:t>[93]</w:t>
      </w:r>
    </w:p>
    <w:p w:rsidR="009E3E3E" w:rsidRPr="00FB58CE" w:rsidRDefault="009E3E3E" w:rsidP="00FB58CE">
      <w:pPr>
        <w:spacing w:before="100" w:beforeAutospacing="1" w:after="100" w:afterAutospacing="1"/>
        <w:rPr>
          <w:rFonts w:ascii="Times New Roman" w:hAnsi="Times New Roman" w:cs="Times New Roman"/>
          <w:bCs w:val="0"/>
        </w:rPr>
      </w:pPr>
      <w:bookmarkStart w:id="0" w:name="_GoBack"/>
      <w:bookmarkEnd w:id="0"/>
    </w:p>
    <w:sectPr w:rsidR="009E3E3E" w:rsidRPr="00FB58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9"/>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6"/>
  </w:num>
  <w:num w:numId="8">
    <w:abstractNumId w:val="5"/>
  </w:num>
  <w:num w:numId="9">
    <w:abstractNumId w:val="7"/>
  </w:num>
  <w:num w:numId="10">
    <w:abstractNumId w:val="4"/>
  </w:num>
  <w:num w:numId="11">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A22F6"/>
    <w:rsid w:val="007A3369"/>
    <w:rsid w:val="007B7DE7"/>
    <w:rsid w:val="007E333F"/>
    <w:rsid w:val="007E47AB"/>
    <w:rsid w:val="008871CF"/>
    <w:rsid w:val="008B0C43"/>
    <w:rsid w:val="008C4935"/>
    <w:rsid w:val="008D1B14"/>
    <w:rsid w:val="009032D7"/>
    <w:rsid w:val="0094347E"/>
    <w:rsid w:val="00997246"/>
    <w:rsid w:val="009A595B"/>
    <w:rsid w:val="009D04D3"/>
    <w:rsid w:val="009E3E3E"/>
    <w:rsid w:val="00A307C9"/>
    <w:rsid w:val="00AA4222"/>
    <w:rsid w:val="00AC1440"/>
    <w:rsid w:val="00AE408D"/>
    <w:rsid w:val="00AF6392"/>
    <w:rsid w:val="00B04313"/>
    <w:rsid w:val="00B53EE0"/>
    <w:rsid w:val="00B555C2"/>
    <w:rsid w:val="00B873C2"/>
    <w:rsid w:val="00BA5790"/>
    <w:rsid w:val="00BA664A"/>
    <w:rsid w:val="00BB30C9"/>
    <w:rsid w:val="00C2343F"/>
    <w:rsid w:val="00C6537C"/>
    <w:rsid w:val="00CD2089"/>
    <w:rsid w:val="00CF1387"/>
    <w:rsid w:val="00CF5192"/>
    <w:rsid w:val="00D313FE"/>
    <w:rsid w:val="00D33BDA"/>
    <w:rsid w:val="00D44FE7"/>
    <w:rsid w:val="00D542C6"/>
    <w:rsid w:val="00D67542"/>
    <w:rsid w:val="00D80CC8"/>
    <w:rsid w:val="00DC2E78"/>
    <w:rsid w:val="00E6450A"/>
    <w:rsid w:val="00EA1CC2"/>
    <w:rsid w:val="00EC35D8"/>
    <w:rsid w:val="00EE1062"/>
    <w:rsid w:val="00EE2879"/>
    <w:rsid w:val="00F40666"/>
    <w:rsid w:val="00F46CF6"/>
    <w:rsid w:val="00F63881"/>
    <w:rsid w:val="00F74A0F"/>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CCB80"/>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col-align-c">
    <w:name w:val="col-align-c"/>
    <w:basedOn w:val="Absatz-Standardschriftart"/>
    <w:rsid w:val="008D1B14"/>
  </w:style>
  <w:style w:type="character" w:customStyle="1" w:styleId="rlap">
    <w:name w:val="rlap"/>
    <w:basedOn w:val="Absatz-Standardschriftart"/>
    <w:rsid w:val="008D1B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56</Pages>
  <Words>16636</Words>
  <Characters>104809</Characters>
  <Application>Microsoft Office Word</Application>
  <DocSecurity>0</DocSecurity>
  <Lines>873</Lines>
  <Paragraphs>242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121203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2026-07-18T05:12:00Z</dcterms:created>
  <dcterms:modified xsi:type="dcterms:W3CDTF">2026-07-18T12:03:00Z</dcterms:modified>
</cp:coreProperties>
</file>