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632AF" w14:textId="77777777" w:rsidR="00AC1265" w:rsidRPr="00AC1265" w:rsidRDefault="00AC1265" w:rsidP="00AC1265">
      <w:r w:rsidRPr="00AC1265">
        <w:rPr>
          <w:b/>
          <w:bCs/>
        </w:rPr>
        <w:t>6.x.7 Cluster- und Typenbildung</w:t>
      </w:r>
    </w:p>
    <w:p w14:paraId="205352B2" w14:textId="77777777" w:rsidR="00AC1265" w:rsidRPr="00AC1265" w:rsidRDefault="00AC1265" w:rsidP="00AC1265">
      <w:r w:rsidRPr="00AC1265">
        <w:t>Die bisherigen Analysen haben gezeigt, dass die semantische Dichte im FRZK-Raum nahezu invariant ist (vgl. 6.x.5) und die eigentliche Differenzierung über die Korrelationsstruktur erfolgt (vgl. 6.x.6). Damit verschiebt sich die Analyseebene von skalaren Größen hin zur geometrischen Organisation des Zustandsraums. Die Cluster- und Typenbildung stellt den methodischen Zugriff dar, mit dem diese Organisation empirisch rekonstruiert werden kann.</w:t>
      </w:r>
    </w:p>
    <w:p w14:paraId="37983887" w14:textId="77777777" w:rsidR="00AC1265" w:rsidRPr="00AC1265" w:rsidRDefault="00AC1265" w:rsidP="00AC1265">
      <w:r w:rsidRPr="00AC1265">
        <w:t>Ausgangspunkt bildet der Zustandsraum</w:t>
      </w:r>
    </w:p>
    <w:p w14:paraId="65BD5FEB" w14:textId="77777777" w:rsidR="00AC1265" w:rsidRPr="00AC1265" w:rsidRDefault="00AC1265" w:rsidP="00AC1265">
      <w:r w:rsidRPr="00AC1265">
        <w:t>S={Si</w:t>
      </w:r>
      <w:r w:rsidRPr="00AC1265">
        <w:rPr>
          <w:rFonts w:ascii="Cambria Math" w:hAnsi="Cambria Math" w:cs="Cambria Math"/>
        </w:rPr>
        <w:t>∈</w:t>
      </w:r>
      <w:r w:rsidRPr="00AC1265">
        <w:t>R</w:t>
      </w:r>
      <w:proofErr w:type="gramStart"/>
      <w:r w:rsidRPr="00AC1265">
        <w:t>7}\</w:t>
      </w:r>
      <w:proofErr w:type="spellStart"/>
      <w:proofErr w:type="gramEnd"/>
      <w:r w:rsidRPr="00AC1265">
        <w:t>mathcal</w:t>
      </w:r>
      <w:proofErr w:type="spellEnd"/>
      <w:r w:rsidRPr="00AC1265">
        <w:t xml:space="preserve">{S} = \{ </w:t>
      </w:r>
      <w:proofErr w:type="spellStart"/>
      <w:r w:rsidRPr="00AC1265">
        <w:t>S_i</w:t>
      </w:r>
      <w:proofErr w:type="spellEnd"/>
      <w:r w:rsidRPr="00AC1265">
        <w:t xml:space="preserve"> \in \</w:t>
      </w:r>
      <w:proofErr w:type="spellStart"/>
      <w:r w:rsidRPr="00AC1265">
        <w:t>mathbb</w:t>
      </w:r>
      <w:proofErr w:type="spellEnd"/>
      <w:r w:rsidRPr="00AC1265">
        <w:t>{R}^7 \}S={Si​</w:t>
      </w:r>
      <w:r w:rsidRPr="00AC1265">
        <w:rPr>
          <w:rFonts w:ascii="Cambria Math" w:hAnsi="Cambria Math" w:cs="Cambria Math"/>
        </w:rPr>
        <w:t>∈</w:t>
      </w:r>
      <w:r w:rsidRPr="00AC1265">
        <w:t xml:space="preserve">R7} </w:t>
      </w:r>
    </w:p>
    <w:p w14:paraId="2D15A226" w14:textId="77777777" w:rsidR="00AC1265" w:rsidRPr="00AC1265" w:rsidRDefault="00AC1265" w:rsidP="00AC1265">
      <w:r w:rsidRPr="00AC1265">
        <w:t>mit der Clusterfunktion</w:t>
      </w:r>
    </w:p>
    <w:p w14:paraId="31FA553C" w14:textId="77777777" w:rsidR="00AC1265" w:rsidRPr="00AC1265" w:rsidRDefault="00AC1265" w:rsidP="00AC1265">
      <w:r w:rsidRPr="00AC1265">
        <w:t>C:S→{</w:t>
      </w:r>
      <w:proofErr w:type="gramStart"/>
      <w:r w:rsidRPr="00AC1265">
        <w:t>1,…</w:t>
      </w:r>
      <w:proofErr w:type="gramEnd"/>
      <w:r w:rsidRPr="00AC1265">
        <w:t>,K}C: \</w:t>
      </w:r>
      <w:proofErr w:type="spellStart"/>
      <w:r w:rsidRPr="00AC1265">
        <w:t>mathcal</w:t>
      </w:r>
      <w:proofErr w:type="spellEnd"/>
      <w:r w:rsidRPr="00AC1265">
        <w:t>{S} \</w:t>
      </w:r>
      <w:proofErr w:type="spellStart"/>
      <w:r w:rsidRPr="00AC1265">
        <w:t>rightarrow</w:t>
      </w:r>
      <w:proofErr w:type="spellEnd"/>
      <w:r w:rsidRPr="00AC1265">
        <w:t xml:space="preserve"> \{1,\</w:t>
      </w:r>
      <w:proofErr w:type="spellStart"/>
      <w:r w:rsidRPr="00AC1265">
        <w:t>dots,K</w:t>
      </w:r>
      <w:proofErr w:type="spellEnd"/>
      <w:r w:rsidRPr="00AC1265">
        <w:t xml:space="preserve">\}C:S→{1,…,K} </w:t>
      </w:r>
    </w:p>
    <w:p w14:paraId="6BA4B8EF" w14:textId="77777777" w:rsidR="00AC1265" w:rsidRPr="00AC1265" w:rsidRDefault="00AC1265" w:rsidP="00AC1265">
      <w:r w:rsidRPr="00AC1265">
        <w:t>und der Minimierung</w:t>
      </w:r>
    </w:p>
    <w:p w14:paraId="2957965F" w14:textId="77777777" w:rsidR="00AC1265" w:rsidRPr="00AC1265" w:rsidRDefault="00AC1265" w:rsidP="00AC1265">
      <w:r w:rsidRPr="00AC1265">
        <w:t>min</w:t>
      </w:r>
      <w:r w:rsidRPr="00AC1265">
        <w:rPr>
          <w:rFonts w:ascii="Cambria Math" w:hAnsi="Cambria Math" w:cs="Cambria Math"/>
        </w:rPr>
        <w:t>⁡</w:t>
      </w:r>
      <w:r w:rsidRPr="00AC1265">
        <w:rPr>
          <w:rFonts w:cs="Calibri"/>
        </w:rPr>
        <w:t>∑</w:t>
      </w:r>
      <w:r w:rsidRPr="00AC1265">
        <w:t>k=1K</w:t>
      </w:r>
      <w:r w:rsidRPr="00AC1265">
        <w:rPr>
          <w:rFonts w:cs="Calibri"/>
        </w:rPr>
        <w:t>∑</w:t>
      </w:r>
      <w:r w:rsidRPr="00AC1265">
        <w:t>Si</w:t>
      </w:r>
      <w:r w:rsidRPr="00AC1265">
        <w:rPr>
          <w:rFonts w:ascii="Cambria Math" w:hAnsi="Cambria Math" w:cs="Cambria Math"/>
        </w:rPr>
        <w:t>∈</w:t>
      </w:r>
      <w:r w:rsidRPr="00AC1265">
        <w:t>Ck</w:t>
      </w:r>
      <w:r w:rsidRPr="00AC1265">
        <w:rPr>
          <w:rFonts w:ascii="Cambria Math" w:hAnsi="Cambria Math" w:cs="Cambria Math"/>
        </w:rPr>
        <w:t>∥</w:t>
      </w:r>
      <w:r w:rsidRPr="00AC1265">
        <w:t>Si</w:t>
      </w:r>
      <w:r w:rsidRPr="00AC1265">
        <w:rPr>
          <w:rFonts w:cs="Calibri"/>
        </w:rPr>
        <w:t>−μ</w:t>
      </w:r>
      <w:r w:rsidRPr="00AC1265">
        <w:t>k</w:t>
      </w:r>
      <w:r w:rsidRPr="00AC1265">
        <w:rPr>
          <w:rFonts w:ascii="Cambria Math" w:hAnsi="Cambria Math" w:cs="Cambria Math"/>
        </w:rPr>
        <w:t>∥</w:t>
      </w:r>
      <w:r w:rsidRPr="00AC1265">
        <w:t>2\min \</w:t>
      </w:r>
      <w:proofErr w:type="spellStart"/>
      <w:r w:rsidRPr="00AC1265">
        <w:t>sum</w:t>
      </w:r>
      <w:proofErr w:type="spellEnd"/>
      <w:r w:rsidRPr="00AC1265">
        <w:t>_{k=</w:t>
      </w:r>
      <w:proofErr w:type="gramStart"/>
      <w:r w:rsidRPr="00AC1265">
        <w:t>1}^</w:t>
      </w:r>
      <w:proofErr w:type="gramEnd"/>
      <w:r w:rsidRPr="00AC1265">
        <w:t>{K} \</w:t>
      </w:r>
      <w:proofErr w:type="spellStart"/>
      <w:r w:rsidRPr="00AC1265">
        <w:t>sum</w:t>
      </w:r>
      <w:proofErr w:type="spellEnd"/>
      <w:r w:rsidRPr="00AC1265">
        <w:t>_{</w:t>
      </w:r>
      <w:proofErr w:type="spellStart"/>
      <w:r w:rsidRPr="00AC1265">
        <w:t>S_i</w:t>
      </w:r>
      <w:proofErr w:type="spellEnd"/>
      <w:r w:rsidRPr="00AC1265">
        <w:t xml:space="preserve"> \in </w:t>
      </w:r>
      <w:proofErr w:type="spellStart"/>
      <w:r w:rsidRPr="00AC1265">
        <w:t>C_k</w:t>
      </w:r>
      <w:proofErr w:type="spellEnd"/>
      <w:r w:rsidRPr="00AC1265">
        <w:t>} \|</w:t>
      </w:r>
      <w:proofErr w:type="spellStart"/>
      <w:r w:rsidRPr="00AC1265">
        <w:t>S_i</w:t>
      </w:r>
      <w:proofErr w:type="spellEnd"/>
      <w:r w:rsidRPr="00AC1265">
        <w:t xml:space="preserve"> - \</w:t>
      </w:r>
      <w:proofErr w:type="spellStart"/>
      <w:r w:rsidRPr="00AC1265">
        <w:t>mu_k</w:t>
      </w:r>
      <w:proofErr w:type="spellEnd"/>
      <w:r w:rsidRPr="00AC1265">
        <w:t>\|^2mink=1∑K​Si​</w:t>
      </w:r>
      <w:r w:rsidRPr="00AC1265">
        <w:rPr>
          <w:rFonts w:ascii="Cambria Math" w:hAnsi="Cambria Math" w:cs="Cambria Math"/>
        </w:rPr>
        <w:t>∈</w:t>
      </w:r>
      <w:proofErr w:type="spellStart"/>
      <w:r w:rsidRPr="00AC1265">
        <w:t>Ck</w:t>
      </w:r>
      <w:proofErr w:type="spellEnd"/>
      <w:r w:rsidRPr="00AC1265">
        <w:t>​∑​</w:t>
      </w:r>
      <w:r w:rsidRPr="00AC1265">
        <w:rPr>
          <w:rFonts w:ascii="Cambria Math" w:hAnsi="Cambria Math" w:cs="Cambria Math"/>
        </w:rPr>
        <w:t>∥</w:t>
      </w:r>
      <w:r w:rsidRPr="00AC1265">
        <w:t>Si​−</w:t>
      </w:r>
      <w:proofErr w:type="spellStart"/>
      <w:r w:rsidRPr="00AC1265">
        <w:t>μk</w:t>
      </w:r>
      <w:proofErr w:type="spellEnd"/>
      <w:r w:rsidRPr="00AC1265">
        <w:t>​</w:t>
      </w:r>
      <w:r w:rsidRPr="00AC1265">
        <w:rPr>
          <w:rFonts w:ascii="Cambria Math" w:hAnsi="Cambria Math" w:cs="Cambria Math"/>
        </w:rPr>
        <w:t>∥</w:t>
      </w:r>
      <w:r w:rsidRPr="00AC1265">
        <w:t xml:space="preserve">2 </w:t>
      </w:r>
    </w:p>
    <w:p w14:paraId="20308392" w14:textId="77777777" w:rsidR="00AC1265" w:rsidRPr="00AC1265" w:rsidRDefault="00AC1265" w:rsidP="00AC1265">
      <w:r w:rsidRPr="00AC1265">
        <w:t xml:space="preserve">Die Clusterzentren </w:t>
      </w:r>
      <w:proofErr w:type="spellStart"/>
      <w:r w:rsidRPr="00AC1265">
        <w:t>μk</w:t>
      </w:r>
      <w:proofErr w:type="spellEnd"/>
      <w:r w:rsidRPr="00AC1265">
        <w:t>\</w:t>
      </w:r>
      <w:proofErr w:type="spellStart"/>
      <w:r w:rsidRPr="00AC1265">
        <w:t>mu_kμk</w:t>
      </w:r>
      <w:proofErr w:type="spellEnd"/>
      <w:r w:rsidRPr="00AC1265">
        <w:t>​ sind dabei als Attraktoren im semantischen Raum zu interpretieren.</w:t>
      </w:r>
    </w:p>
    <w:p w14:paraId="00342F57" w14:textId="77777777" w:rsidR="00AC1265" w:rsidRPr="00AC1265" w:rsidRDefault="00AC1265" w:rsidP="00AC1265">
      <w:r w:rsidRPr="00AC1265">
        <w:pict w14:anchorId="140B431F">
          <v:rect id="_x0000_i1061" style="width:0;height:1.5pt" o:hralign="center" o:hrstd="t" o:hr="t" fillcolor="#a0a0a0" stroked="f"/>
        </w:pict>
      </w:r>
    </w:p>
    <w:p w14:paraId="6D08D207" w14:textId="77777777" w:rsidR="00AC1265" w:rsidRPr="00AC1265" w:rsidRDefault="00AC1265" w:rsidP="00AC1265">
      <w:pPr>
        <w:rPr>
          <w:b/>
          <w:bCs/>
        </w:rPr>
      </w:pPr>
      <w:r w:rsidRPr="00AC1265">
        <w:rPr>
          <w:b/>
          <w:bCs/>
        </w:rPr>
        <w:t>Empirische Clusterstruktur</w:t>
      </w:r>
    </w:p>
    <w:p w14:paraId="066E43F2" w14:textId="77777777" w:rsidR="00AC1265" w:rsidRPr="00AC1265" w:rsidRDefault="00AC1265" w:rsidP="00AC1265">
      <w:r w:rsidRPr="00AC1265">
        <w:t>Die datenbasierte Analyse mit K=3K=3K=3 ergibt eine stabile Typenstruktur mit zwei positiven Funktionsräumen und einem negativen Gegenraum: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719"/>
        <w:gridCol w:w="719"/>
        <w:gridCol w:w="605"/>
      </w:tblGrid>
      <w:tr w:rsidR="00AC1265" w:rsidRPr="00AC1265" w14:paraId="4A667529" w14:textId="77777777" w:rsidTr="00AC1265">
        <w:trPr>
          <w:tblHeader/>
          <w:tblCellSpacing w:w="15" w:type="dxa"/>
        </w:trPr>
        <w:tc>
          <w:tcPr>
            <w:tcW w:w="0" w:type="auto"/>
            <w:vAlign w:val="center"/>
            <w:hideMark/>
          </w:tcPr>
          <w:p w14:paraId="4F313DE8" w14:textId="77777777" w:rsidR="00AC1265" w:rsidRPr="00AC1265" w:rsidRDefault="00AC1265" w:rsidP="00AC1265">
            <w:pPr>
              <w:rPr>
                <w:b/>
                <w:bCs/>
              </w:rPr>
            </w:pPr>
            <w:r w:rsidRPr="00AC1265">
              <w:rPr>
                <w:b/>
                <w:bCs/>
              </w:rPr>
              <w:t>Gruppe</w:t>
            </w:r>
          </w:p>
        </w:tc>
        <w:tc>
          <w:tcPr>
            <w:tcW w:w="0" w:type="auto"/>
            <w:vAlign w:val="center"/>
            <w:hideMark/>
          </w:tcPr>
          <w:p w14:paraId="2F20C074" w14:textId="77777777" w:rsidR="00AC1265" w:rsidRPr="00AC1265" w:rsidRDefault="00AC1265" w:rsidP="00AC1265">
            <w:pPr>
              <w:rPr>
                <w:b/>
                <w:bCs/>
              </w:rPr>
            </w:pPr>
            <w:r w:rsidRPr="00AC1265">
              <w:rPr>
                <w:b/>
                <w:bCs/>
              </w:rPr>
              <w:t>C1</w:t>
            </w:r>
          </w:p>
        </w:tc>
        <w:tc>
          <w:tcPr>
            <w:tcW w:w="0" w:type="auto"/>
            <w:vAlign w:val="center"/>
            <w:hideMark/>
          </w:tcPr>
          <w:p w14:paraId="1683ED72" w14:textId="77777777" w:rsidR="00AC1265" w:rsidRPr="00AC1265" w:rsidRDefault="00AC1265" w:rsidP="00AC1265">
            <w:pPr>
              <w:rPr>
                <w:b/>
                <w:bCs/>
              </w:rPr>
            </w:pPr>
            <w:r w:rsidRPr="00AC1265">
              <w:rPr>
                <w:b/>
                <w:bCs/>
              </w:rPr>
              <w:t>C2</w:t>
            </w:r>
          </w:p>
        </w:tc>
        <w:tc>
          <w:tcPr>
            <w:tcW w:w="0" w:type="auto"/>
            <w:vAlign w:val="center"/>
            <w:hideMark/>
          </w:tcPr>
          <w:p w14:paraId="5E38F6F1" w14:textId="77777777" w:rsidR="00AC1265" w:rsidRPr="00AC1265" w:rsidRDefault="00AC1265" w:rsidP="00AC1265">
            <w:pPr>
              <w:rPr>
                <w:b/>
                <w:bCs/>
              </w:rPr>
            </w:pPr>
            <w:r w:rsidRPr="00AC1265">
              <w:rPr>
                <w:b/>
                <w:bCs/>
              </w:rPr>
              <w:t>C3</w:t>
            </w:r>
          </w:p>
        </w:tc>
      </w:tr>
      <w:tr w:rsidR="00AC1265" w:rsidRPr="00AC1265" w14:paraId="3C2542EA" w14:textId="77777777" w:rsidTr="00AC1265">
        <w:trPr>
          <w:tblCellSpacing w:w="15" w:type="dxa"/>
        </w:trPr>
        <w:tc>
          <w:tcPr>
            <w:tcW w:w="0" w:type="auto"/>
            <w:vAlign w:val="center"/>
            <w:hideMark/>
          </w:tcPr>
          <w:p w14:paraId="57A9782A" w14:textId="77777777" w:rsidR="00AC1265" w:rsidRPr="00AC1265" w:rsidRDefault="00AC1265" w:rsidP="00AC1265">
            <w:r w:rsidRPr="00AC1265">
              <w:t>LK_1</w:t>
            </w:r>
          </w:p>
        </w:tc>
        <w:tc>
          <w:tcPr>
            <w:tcW w:w="0" w:type="auto"/>
            <w:vAlign w:val="center"/>
            <w:hideMark/>
          </w:tcPr>
          <w:p w14:paraId="1B73CE08" w14:textId="77777777" w:rsidR="00AC1265" w:rsidRPr="00AC1265" w:rsidRDefault="00AC1265" w:rsidP="00AC1265">
            <w:r w:rsidRPr="00AC1265">
              <w:t>64.9 %</w:t>
            </w:r>
          </w:p>
        </w:tc>
        <w:tc>
          <w:tcPr>
            <w:tcW w:w="0" w:type="auto"/>
            <w:vAlign w:val="center"/>
            <w:hideMark/>
          </w:tcPr>
          <w:p w14:paraId="44B3DC87" w14:textId="77777777" w:rsidR="00AC1265" w:rsidRPr="00AC1265" w:rsidRDefault="00AC1265" w:rsidP="00AC1265">
            <w:r w:rsidRPr="00AC1265">
              <w:rPr>
                <w:b/>
                <w:bCs/>
              </w:rPr>
              <w:t>30.5 %</w:t>
            </w:r>
          </w:p>
        </w:tc>
        <w:tc>
          <w:tcPr>
            <w:tcW w:w="0" w:type="auto"/>
            <w:vAlign w:val="center"/>
            <w:hideMark/>
          </w:tcPr>
          <w:p w14:paraId="431FF5CB" w14:textId="77777777" w:rsidR="00AC1265" w:rsidRPr="00AC1265" w:rsidRDefault="00AC1265" w:rsidP="00AC1265">
            <w:r w:rsidRPr="00AC1265">
              <w:t>4.6 %</w:t>
            </w:r>
          </w:p>
        </w:tc>
      </w:tr>
      <w:tr w:rsidR="00AC1265" w:rsidRPr="00AC1265" w14:paraId="2015A775" w14:textId="77777777" w:rsidTr="00AC1265">
        <w:trPr>
          <w:tblCellSpacing w:w="15" w:type="dxa"/>
        </w:trPr>
        <w:tc>
          <w:tcPr>
            <w:tcW w:w="0" w:type="auto"/>
            <w:vAlign w:val="center"/>
            <w:hideMark/>
          </w:tcPr>
          <w:p w14:paraId="7C84E07F" w14:textId="77777777" w:rsidR="00AC1265" w:rsidRPr="00AC1265" w:rsidRDefault="00AC1265" w:rsidP="00AC1265">
            <w:proofErr w:type="spellStart"/>
            <w:r w:rsidRPr="00AC1265">
              <w:t>LK_other</w:t>
            </w:r>
            <w:proofErr w:type="spellEnd"/>
          </w:p>
        </w:tc>
        <w:tc>
          <w:tcPr>
            <w:tcW w:w="0" w:type="auto"/>
            <w:vAlign w:val="center"/>
            <w:hideMark/>
          </w:tcPr>
          <w:p w14:paraId="10A57202" w14:textId="77777777" w:rsidR="00AC1265" w:rsidRPr="00AC1265" w:rsidRDefault="00AC1265" w:rsidP="00AC1265">
            <w:r w:rsidRPr="00AC1265">
              <w:rPr>
                <w:b/>
                <w:bCs/>
              </w:rPr>
              <w:t>73.0 %</w:t>
            </w:r>
          </w:p>
        </w:tc>
        <w:tc>
          <w:tcPr>
            <w:tcW w:w="0" w:type="auto"/>
            <w:vAlign w:val="center"/>
            <w:hideMark/>
          </w:tcPr>
          <w:p w14:paraId="36137298" w14:textId="77777777" w:rsidR="00AC1265" w:rsidRPr="00AC1265" w:rsidRDefault="00AC1265" w:rsidP="00AC1265">
            <w:r w:rsidRPr="00AC1265">
              <w:t>23.6 %</w:t>
            </w:r>
          </w:p>
        </w:tc>
        <w:tc>
          <w:tcPr>
            <w:tcW w:w="0" w:type="auto"/>
            <w:vAlign w:val="center"/>
            <w:hideMark/>
          </w:tcPr>
          <w:p w14:paraId="23201014" w14:textId="77777777" w:rsidR="00AC1265" w:rsidRPr="00AC1265" w:rsidRDefault="00AC1265" w:rsidP="00AC1265">
            <w:r w:rsidRPr="00AC1265">
              <w:t>3.3 %</w:t>
            </w:r>
          </w:p>
        </w:tc>
      </w:tr>
    </w:tbl>
    <w:p w14:paraId="79C60553" w14:textId="77777777" w:rsidR="00AC1265" w:rsidRPr="00AC1265" w:rsidRDefault="00AC1265" w:rsidP="00AC1265">
      <w:r w:rsidRPr="00AC1265">
        <w:t>Die Cluster lassen sich eindeutig funktional interpretieren:</w:t>
      </w:r>
    </w:p>
    <w:p w14:paraId="3CC7287B" w14:textId="77777777" w:rsidR="00AC1265" w:rsidRPr="00AC1265" w:rsidRDefault="00AC1265" w:rsidP="00AC1265">
      <w:pPr>
        <w:numPr>
          <w:ilvl w:val="0"/>
          <w:numId w:val="4"/>
        </w:numPr>
      </w:pPr>
      <w:r w:rsidRPr="00AC1265">
        <w:rPr>
          <w:b/>
          <w:bCs/>
        </w:rPr>
        <w:t>C1 – kognitiv-performativ-regulativer Kernraum</w:t>
      </w:r>
      <w:r w:rsidRPr="00AC1265">
        <w:t xml:space="preserve"> </w:t>
      </w:r>
    </w:p>
    <w:p w14:paraId="3F68BCBE" w14:textId="77777777" w:rsidR="00AC1265" w:rsidRPr="00AC1265" w:rsidRDefault="00AC1265" w:rsidP="00AC1265">
      <w:pPr>
        <w:numPr>
          <w:ilvl w:val="0"/>
          <w:numId w:val="4"/>
        </w:numPr>
      </w:pPr>
      <w:r w:rsidRPr="00AC1265">
        <w:rPr>
          <w:b/>
          <w:bCs/>
        </w:rPr>
        <w:t>C2 – sozial-affektiv-motivationaler Integrationsraum</w:t>
      </w:r>
      <w:r w:rsidRPr="00AC1265">
        <w:t xml:space="preserve"> </w:t>
      </w:r>
    </w:p>
    <w:p w14:paraId="301D987F" w14:textId="77777777" w:rsidR="00AC1265" w:rsidRPr="00AC1265" w:rsidRDefault="00AC1265" w:rsidP="00AC1265">
      <w:pPr>
        <w:numPr>
          <w:ilvl w:val="0"/>
          <w:numId w:val="4"/>
        </w:numPr>
      </w:pPr>
      <w:r w:rsidRPr="00AC1265">
        <w:rPr>
          <w:b/>
          <w:bCs/>
        </w:rPr>
        <w:t>C3 – negativer Irritationsraum</w:t>
      </w:r>
      <w:r w:rsidRPr="00AC1265">
        <w:t xml:space="preserve"> </w:t>
      </w:r>
    </w:p>
    <w:p w14:paraId="7A7000F2" w14:textId="77777777" w:rsidR="00AC1265" w:rsidRPr="00AC1265" w:rsidRDefault="00AC1265" w:rsidP="00AC1265">
      <w:r w:rsidRPr="00AC1265">
        <w:t>Damit zeigt sich, dass der FRZK-Zustandsraum nicht eindimensional strukturiert ist, sondern mindestens zwei positive Modi sowie einen systematischen Gegenraum umfasst.</w:t>
      </w:r>
    </w:p>
    <w:p w14:paraId="35E148B0" w14:textId="77777777" w:rsidR="00AC1265" w:rsidRPr="00AC1265" w:rsidRDefault="00AC1265" w:rsidP="00AC1265">
      <w:r w:rsidRPr="00AC1265">
        <w:pict w14:anchorId="0F1AB7FC">
          <v:rect id="_x0000_i1062" style="width:0;height:1.5pt" o:hralign="center" o:hrstd="t" o:hr="t" fillcolor="#a0a0a0" stroked="f"/>
        </w:pict>
      </w:r>
    </w:p>
    <w:p w14:paraId="1EAE5CAF" w14:textId="77777777" w:rsidR="00AC1265" w:rsidRPr="00AC1265" w:rsidRDefault="00AC1265" w:rsidP="00AC1265">
      <w:pPr>
        <w:rPr>
          <w:b/>
          <w:bCs/>
        </w:rPr>
      </w:pPr>
      <w:r w:rsidRPr="00AC1265">
        <w:rPr>
          <w:b/>
          <w:bCs/>
        </w:rPr>
        <w:t>Topologische Rekonstruktion (PCA-Projektion)</w:t>
      </w:r>
    </w:p>
    <w:p w14:paraId="222669C3" w14:textId="77777777" w:rsidR="00AC1265" w:rsidRPr="00AC1265" w:rsidRDefault="00AC1265" w:rsidP="00AC1265">
      <w:r w:rsidRPr="00AC1265">
        <w:t>Zur Visualisierung der Clusterstruktur wird eine Hauptkomponentenanalyse (PCA) verwendet, die den siebendimensionalen Raum auf zwei Hauptachsen projiziert:</w:t>
      </w:r>
    </w:p>
    <w:p w14:paraId="36B41C8E" w14:textId="77777777" w:rsidR="00AC1265" w:rsidRPr="00AC1265" w:rsidRDefault="00AC1265" w:rsidP="00AC1265">
      <w:proofErr w:type="gramStart"/>
      <w:r w:rsidRPr="00AC1265">
        <w:t>Π:R</w:t>
      </w:r>
      <w:proofErr w:type="gramEnd"/>
      <w:r w:rsidRPr="00AC1265">
        <w:t>7→R2\Pi: \</w:t>
      </w:r>
      <w:proofErr w:type="spellStart"/>
      <w:r w:rsidRPr="00AC1265">
        <w:t>mathbb</w:t>
      </w:r>
      <w:proofErr w:type="spellEnd"/>
      <w:r w:rsidRPr="00AC1265">
        <w:t>{R}^7 \</w:t>
      </w:r>
      <w:proofErr w:type="spellStart"/>
      <w:r w:rsidRPr="00AC1265">
        <w:t>rightarrow</w:t>
      </w:r>
      <w:proofErr w:type="spellEnd"/>
      <w:r w:rsidRPr="00AC1265">
        <w:t xml:space="preserve"> \</w:t>
      </w:r>
      <w:proofErr w:type="spellStart"/>
      <w:r w:rsidRPr="00AC1265">
        <w:t>mathbb</w:t>
      </w:r>
      <w:proofErr w:type="spellEnd"/>
      <w:r w:rsidRPr="00AC1265">
        <w:t xml:space="preserve">{R}^2Π:R7→R2 </w:t>
      </w:r>
    </w:p>
    <w:p w14:paraId="36B84EB3" w14:textId="77777777" w:rsidR="00AC1265" w:rsidRDefault="00AC1265" w:rsidP="00AC1265">
      <w:r w:rsidRPr="00AC1265">
        <w:t>Die Projektion dient ausschließlich der geometrischen Darstellung und verändert nicht die zugrunde liegende Struktur.</w:t>
      </w:r>
    </w:p>
    <w:p w14:paraId="14C0C0CC" w14:textId="40EDA91E" w:rsidR="009978EB" w:rsidRPr="00AC1265" w:rsidRDefault="009978EB" w:rsidP="00AC1265">
      <w:r>
        <w:rPr>
          <w:noProof/>
        </w:rPr>
        <w:lastRenderedPageBreak/>
        <w:drawing>
          <wp:inline distT="0" distB="0" distL="0" distR="0" wp14:anchorId="787DCAB2" wp14:editId="4D6B35BA">
            <wp:extent cx="5760720" cy="4361815"/>
            <wp:effectExtent l="0" t="0" r="0" b="63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a:extLst>
                        <a:ext uri="{28A0092B-C50C-407E-A947-70E740481C1C}">
                          <a14:useLocalDpi xmlns:a14="http://schemas.microsoft.com/office/drawing/2010/main" val="0"/>
                        </a:ext>
                      </a:extLst>
                    </a:blip>
                    <a:stretch>
                      <a:fillRect/>
                    </a:stretch>
                  </pic:blipFill>
                  <pic:spPr>
                    <a:xfrm>
                      <a:off x="0" y="0"/>
                      <a:ext cx="5760720" cy="4361815"/>
                    </a:xfrm>
                    <a:prstGeom prst="rect">
                      <a:avLst/>
                    </a:prstGeom>
                  </pic:spPr>
                </pic:pic>
              </a:graphicData>
            </a:graphic>
          </wp:inline>
        </w:drawing>
      </w:r>
    </w:p>
    <w:p w14:paraId="57AFFE12" w14:textId="77777777" w:rsidR="00AC1265" w:rsidRPr="00AC1265" w:rsidRDefault="00AC1265" w:rsidP="00AC1265">
      <w:r w:rsidRPr="00AC1265">
        <w:rPr>
          <w:b/>
          <w:bCs/>
        </w:rPr>
        <w:t>Abbildung 6.x.7-1: PCA-basierte Clusterstruktur des FRZK-Zustandsraums</w:t>
      </w:r>
    </w:p>
    <w:p w14:paraId="15B2D89A" w14:textId="77777777" w:rsidR="00AC1265" w:rsidRPr="00AC1265" w:rsidRDefault="00AC1265" w:rsidP="00AC1265">
      <w:r w:rsidRPr="00AC1265">
        <w:t xml:space="preserve">Die Abbildung zeigt die Projektion aller Zustände auf die ersten beiden Hauptkomponenten. Jeder Punkt entspricht einem semantischen Zustand, die Farbgebung kodiert die Clusterzugehörigkeit, und die markierten Zentren repräsentieren die Attraktoren </w:t>
      </w:r>
      <w:proofErr w:type="spellStart"/>
      <w:r w:rsidRPr="00AC1265">
        <w:t>μk</w:t>
      </w:r>
      <w:proofErr w:type="spellEnd"/>
      <w:r w:rsidRPr="00AC1265">
        <w:t>\</w:t>
      </w:r>
      <w:proofErr w:type="spellStart"/>
      <w:r w:rsidRPr="00AC1265">
        <w:t>mu_kμk</w:t>
      </w:r>
      <w:proofErr w:type="spellEnd"/>
      <w:r w:rsidRPr="00AC1265">
        <w:t>​.</w:t>
      </w:r>
    </w:p>
    <w:p w14:paraId="092C3A2E" w14:textId="77777777" w:rsidR="00AC1265" w:rsidRPr="00AC1265" w:rsidRDefault="00AC1265" w:rsidP="00AC1265">
      <w:r w:rsidRPr="00AC1265">
        <w:t>Die Visualisierung offenbart eine klar segmentierte Struktur:</w:t>
      </w:r>
    </w:p>
    <w:p w14:paraId="00C0ACF7" w14:textId="77777777" w:rsidR="00AC1265" w:rsidRPr="00AC1265" w:rsidRDefault="00AC1265" w:rsidP="00AC1265">
      <w:pPr>
        <w:numPr>
          <w:ilvl w:val="0"/>
          <w:numId w:val="5"/>
        </w:numPr>
      </w:pPr>
      <w:r w:rsidRPr="00AC1265">
        <w:t xml:space="preserve">Ein dichter Hauptbereich (C1), der den kognitiv-performativen Kernraum abbildet </w:t>
      </w:r>
    </w:p>
    <w:p w14:paraId="7AB82052" w14:textId="77777777" w:rsidR="00AC1265" w:rsidRPr="00AC1265" w:rsidRDefault="00AC1265" w:rsidP="00AC1265">
      <w:pPr>
        <w:numPr>
          <w:ilvl w:val="0"/>
          <w:numId w:val="5"/>
        </w:numPr>
      </w:pPr>
      <w:r w:rsidRPr="00AC1265">
        <w:t xml:space="preserve">Ein davon unterscheidbarer Bereich (C2), der sozial-affektiv-motivationale Zustände repräsentiert </w:t>
      </w:r>
    </w:p>
    <w:p w14:paraId="04BCEA85" w14:textId="77777777" w:rsidR="00AC1265" w:rsidRPr="00AC1265" w:rsidRDefault="00AC1265" w:rsidP="00AC1265">
      <w:pPr>
        <w:numPr>
          <w:ilvl w:val="0"/>
          <w:numId w:val="5"/>
        </w:numPr>
      </w:pPr>
      <w:r w:rsidRPr="00AC1265">
        <w:t xml:space="preserve">Ein deutlich separierter Bereich (C3), </w:t>
      </w:r>
      <w:proofErr w:type="gramStart"/>
      <w:r w:rsidRPr="00AC1265">
        <w:t>der negative Zustände</w:t>
      </w:r>
      <w:proofErr w:type="gramEnd"/>
      <w:r w:rsidRPr="00AC1265">
        <w:t xml:space="preserve"> umfasst </w:t>
      </w:r>
    </w:p>
    <w:p w14:paraId="5E7DB194" w14:textId="77777777" w:rsidR="00AC1265" w:rsidRPr="00AC1265" w:rsidRDefault="00AC1265" w:rsidP="00AC1265">
      <w:r w:rsidRPr="00AC1265">
        <w:t>Insbesondere die räumliche Trennung von C3 bestätigt, dass negative Zustände nicht als graduelle Variation des Systems auftreten, sondern einen eigenständigen semantischen Raum bilden.</w:t>
      </w:r>
    </w:p>
    <w:p w14:paraId="17125CA0" w14:textId="77777777" w:rsidR="00AC1265" w:rsidRPr="00AC1265" w:rsidRDefault="00AC1265" w:rsidP="00AC1265">
      <w:r w:rsidRPr="00AC1265">
        <w:pict w14:anchorId="0F10E91C">
          <v:rect id="_x0000_i1063" style="width:0;height:1.5pt" o:hralign="center" o:hrstd="t" o:hr="t" fillcolor="#a0a0a0" stroked="f"/>
        </w:pict>
      </w:r>
    </w:p>
    <w:p w14:paraId="36782225" w14:textId="77777777" w:rsidR="00AC1265" w:rsidRPr="00AC1265" w:rsidRDefault="00AC1265" w:rsidP="00AC1265">
      <w:pPr>
        <w:rPr>
          <w:b/>
          <w:bCs/>
        </w:rPr>
      </w:pPr>
      <w:r w:rsidRPr="00AC1265">
        <w:rPr>
          <w:b/>
          <w:bCs/>
        </w:rPr>
        <w:t>Systemtheoretische Interpretation</w:t>
      </w:r>
    </w:p>
    <w:p w14:paraId="39C2ABE0" w14:textId="77777777" w:rsidR="00AC1265" w:rsidRPr="00AC1265" w:rsidRDefault="00AC1265" w:rsidP="00AC1265">
      <w:r w:rsidRPr="00AC1265">
        <w:t xml:space="preserve">Die Clusterstruktur zeigt, dass der FRZK-Raum aus mehreren </w:t>
      </w:r>
      <w:proofErr w:type="spellStart"/>
      <w:r w:rsidRPr="00AC1265">
        <w:t>Attraktorräumen</w:t>
      </w:r>
      <w:proofErr w:type="spellEnd"/>
      <w:r w:rsidRPr="00AC1265">
        <w:t xml:space="preserve"> besteht. Die Dynamik des Systems ist daher nicht als kontinuierliche Bewegung in einem homogenen Raum zu verstehen, sondern als Übergang zwischen stabilen Zustandsbereichen.</w:t>
      </w:r>
    </w:p>
    <w:p w14:paraId="7C488052" w14:textId="77777777" w:rsidR="00AC1265" w:rsidRPr="00AC1265" w:rsidRDefault="00AC1265" w:rsidP="00AC1265">
      <w:r w:rsidRPr="00AC1265">
        <w:t>Formal ergibt sich eine mehrschichtige Struktur:</w:t>
      </w:r>
    </w:p>
    <w:p w14:paraId="046FC2BA" w14:textId="77777777" w:rsidR="00AC1265" w:rsidRPr="00AC1265" w:rsidRDefault="00AC1265" w:rsidP="00AC1265">
      <w:pPr>
        <w:numPr>
          <w:ilvl w:val="0"/>
          <w:numId w:val="6"/>
        </w:numPr>
      </w:pPr>
      <w:r w:rsidRPr="00AC1265">
        <w:t xml:space="preserve">Mikroebene: Zustandsvektoren </w:t>
      </w:r>
      <w:proofErr w:type="spellStart"/>
      <w:r w:rsidRPr="00AC1265">
        <w:t>SiS_iSi</w:t>
      </w:r>
      <w:proofErr w:type="spellEnd"/>
      <w:r w:rsidRPr="00AC1265">
        <w:t xml:space="preserve">​ </w:t>
      </w:r>
    </w:p>
    <w:p w14:paraId="4E8E13A4" w14:textId="77777777" w:rsidR="00AC1265" w:rsidRPr="00AC1265" w:rsidRDefault="00AC1265" w:rsidP="00AC1265">
      <w:pPr>
        <w:numPr>
          <w:ilvl w:val="0"/>
          <w:numId w:val="6"/>
        </w:numPr>
      </w:pPr>
      <w:r w:rsidRPr="00AC1265">
        <w:lastRenderedPageBreak/>
        <w:t xml:space="preserve">Mesoebene: Cluster </w:t>
      </w:r>
      <w:proofErr w:type="spellStart"/>
      <w:r w:rsidRPr="00AC1265">
        <w:t>CkC_kCk</w:t>
      </w:r>
      <w:proofErr w:type="spellEnd"/>
      <w:r w:rsidRPr="00AC1265">
        <w:t xml:space="preserve">​ als Verdichtungsräume </w:t>
      </w:r>
    </w:p>
    <w:p w14:paraId="3B944BA7" w14:textId="77777777" w:rsidR="00AC1265" w:rsidRPr="00AC1265" w:rsidRDefault="00AC1265" w:rsidP="00AC1265">
      <w:pPr>
        <w:numPr>
          <w:ilvl w:val="0"/>
          <w:numId w:val="6"/>
        </w:numPr>
      </w:pPr>
      <w:r w:rsidRPr="00AC1265">
        <w:t xml:space="preserve">Makroebene: Übergänge zwischen Attraktoren </w:t>
      </w:r>
    </w:p>
    <w:p w14:paraId="43270DAD" w14:textId="77777777" w:rsidR="00AC1265" w:rsidRPr="00AC1265" w:rsidRDefault="00AC1265" w:rsidP="00AC1265">
      <w:r w:rsidRPr="00AC1265">
        <w:t>Diese Struktur bestätigt die Annahme, dass Bedeutung im FRZK nicht additiv entsteht, sondern als emergente Eigenschaft gekoppelter Dimensionen.</w:t>
      </w:r>
    </w:p>
    <w:p w14:paraId="4C446EAD" w14:textId="77777777" w:rsidR="00AC1265" w:rsidRPr="00AC1265" w:rsidRDefault="00AC1265" w:rsidP="00AC1265">
      <w:r w:rsidRPr="00AC1265">
        <w:pict w14:anchorId="16CB913F">
          <v:rect id="_x0000_i1064" style="width:0;height:1.5pt" o:hralign="center" o:hrstd="t" o:hr="t" fillcolor="#a0a0a0" stroked="f"/>
        </w:pict>
      </w:r>
    </w:p>
    <w:p w14:paraId="7856D1F7" w14:textId="77777777" w:rsidR="00AC1265" w:rsidRPr="00AC1265" w:rsidRDefault="00AC1265" w:rsidP="00AC1265">
      <w:pPr>
        <w:rPr>
          <w:b/>
          <w:bCs/>
        </w:rPr>
      </w:pPr>
      <w:r w:rsidRPr="00AC1265">
        <w:rPr>
          <w:b/>
          <w:bCs/>
        </w:rPr>
        <w:t>Gruppenspezifische Verschiebung</w:t>
      </w:r>
    </w:p>
    <w:p w14:paraId="35C1D8E2" w14:textId="77777777" w:rsidR="00AC1265" w:rsidRPr="00AC1265" w:rsidRDefault="00AC1265" w:rsidP="00AC1265">
      <w:r w:rsidRPr="00AC1265">
        <w:t>Der Vergleich der Lehrkraftgruppen zeigt keine Veränderung der Struktur selbst, sondern ihrer Nutzung:</w:t>
      </w:r>
    </w:p>
    <w:p w14:paraId="68AA1C28" w14:textId="77777777" w:rsidR="00AC1265" w:rsidRPr="00AC1265" w:rsidRDefault="00AC1265" w:rsidP="00AC1265">
      <w:r w:rsidRPr="00AC1265">
        <w:t>P(C2</w:t>
      </w:r>
      <w:r w:rsidRPr="00AC1265">
        <w:rPr>
          <w:rFonts w:ascii="Cambria Math" w:hAnsi="Cambria Math" w:cs="Cambria Math"/>
        </w:rPr>
        <w:t>∣</w:t>
      </w:r>
      <w:r w:rsidRPr="00AC1265">
        <w:t>LK1)&gt;P(C2</w:t>
      </w:r>
      <w:r w:rsidRPr="00AC1265">
        <w:rPr>
          <w:rFonts w:ascii="Cambria Math" w:hAnsi="Cambria Math" w:cs="Cambria Math"/>
        </w:rPr>
        <w:t>∣</w:t>
      </w:r>
      <w:proofErr w:type="gramStart"/>
      <w:r w:rsidRPr="00AC1265">
        <w:t>LKother)P</w:t>
      </w:r>
      <w:proofErr w:type="gramEnd"/>
      <w:r w:rsidRPr="00AC1265">
        <w:t>(C_2 \</w:t>
      </w:r>
      <w:proofErr w:type="spellStart"/>
      <w:r w:rsidRPr="00AC1265">
        <w:t>mid</w:t>
      </w:r>
      <w:proofErr w:type="spellEnd"/>
      <w:r w:rsidRPr="00AC1265">
        <w:t xml:space="preserve"> LK_1) &gt; P(C_2 \</w:t>
      </w:r>
      <w:proofErr w:type="spellStart"/>
      <w:r w:rsidRPr="00AC1265">
        <w:t>mid</w:t>
      </w:r>
      <w:proofErr w:type="spellEnd"/>
      <w:r w:rsidRPr="00AC1265">
        <w:t xml:space="preserve"> LK_{</w:t>
      </w:r>
      <w:proofErr w:type="spellStart"/>
      <w:r w:rsidRPr="00AC1265">
        <w:t>other</w:t>
      </w:r>
      <w:proofErr w:type="spellEnd"/>
      <w:r w:rsidRPr="00AC1265">
        <w:t>})P(C2​</w:t>
      </w:r>
      <w:r w:rsidRPr="00AC1265">
        <w:rPr>
          <w:rFonts w:ascii="Cambria Math" w:hAnsi="Cambria Math" w:cs="Cambria Math"/>
        </w:rPr>
        <w:t>∣</w:t>
      </w:r>
      <w:r w:rsidRPr="00AC1265">
        <w:t>LK1​)&gt;P(C2​</w:t>
      </w:r>
      <w:r w:rsidRPr="00AC1265">
        <w:rPr>
          <w:rFonts w:ascii="Cambria Math" w:hAnsi="Cambria Math" w:cs="Cambria Math"/>
        </w:rPr>
        <w:t>∣</w:t>
      </w:r>
      <w:proofErr w:type="spellStart"/>
      <w:r w:rsidRPr="00AC1265">
        <w:t>LKother</w:t>
      </w:r>
      <w:proofErr w:type="spellEnd"/>
      <w:r w:rsidRPr="00AC1265">
        <w:t xml:space="preserve">​) </w:t>
      </w:r>
    </w:p>
    <w:p w14:paraId="6107245D" w14:textId="77777777" w:rsidR="00AC1265" w:rsidRPr="00AC1265" w:rsidRDefault="00AC1265" w:rsidP="00AC1265">
      <w:r w:rsidRPr="00AC1265">
        <w:t>Lehrkraft 1 verschiebt das System signifikant in den Integrationsraum C2, während die Vergleichsgruppe stärker im kognitiven Kernraum C1 verbleibt. Gleichzeitig bleibt der Anteil negativer Zustände gering und stabil.</w:t>
      </w:r>
    </w:p>
    <w:p w14:paraId="6A0AEAF6" w14:textId="77777777" w:rsidR="00AC1265" w:rsidRPr="00AC1265" w:rsidRDefault="00AC1265" w:rsidP="00AC1265">
      <w:r w:rsidRPr="00AC1265">
        <w:pict w14:anchorId="1A8FC899">
          <v:rect id="_x0000_i1065" style="width:0;height:1.5pt" o:hralign="center" o:hrstd="t" o:hr="t" fillcolor="#a0a0a0" stroked="f"/>
        </w:pict>
      </w:r>
    </w:p>
    <w:p w14:paraId="3FE4BDC7" w14:textId="77777777" w:rsidR="00AC1265" w:rsidRPr="00AC1265" w:rsidRDefault="00AC1265" w:rsidP="00AC1265">
      <w:pPr>
        <w:rPr>
          <w:b/>
          <w:bCs/>
        </w:rPr>
      </w:pPr>
      <w:r w:rsidRPr="00AC1265">
        <w:rPr>
          <w:b/>
          <w:bCs/>
        </w:rPr>
        <w:t>Integration qualitativer Befunde</w:t>
      </w:r>
    </w:p>
    <w:p w14:paraId="45515009" w14:textId="77777777" w:rsidR="00AC1265" w:rsidRPr="00AC1265" w:rsidRDefault="00AC1265" w:rsidP="00AC1265">
      <w:r w:rsidRPr="00AC1265">
        <w:t>Die erhöhte Präsenz des Integrationsclusters C2 bei Lehrkraft 1 korrespondiert direkt mit den Schüleraussagen:</w:t>
      </w:r>
    </w:p>
    <w:p w14:paraId="5B7853D1" w14:textId="77777777" w:rsidR="00AC1265" w:rsidRPr="00AC1265" w:rsidRDefault="00AC1265" w:rsidP="00AC1265">
      <w:pPr>
        <w:numPr>
          <w:ilvl w:val="0"/>
          <w:numId w:val="7"/>
        </w:numPr>
      </w:pPr>
      <w:r w:rsidRPr="00AC1265">
        <w:t xml:space="preserve">affektiv-motivationale Einstimmung („Blitzlicht“) </w:t>
      </w:r>
    </w:p>
    <w:p w14:paraId="32345E01" w14:textId="77777777" w:rsidR="00AC1265" w:rsidRPr="00AC1265" w:rsidRDefault="00AC1265" w:rsidP="00AC1265">
      <w:pPr>
        <w:numPr>
          <w:ilvl w:val="0"/>
          <w:numId w:val="7"/>
        </w:numPr>
      </w:pPr>
      <w:r w:rsidRPr="00AC1265">
        <w:t xml:space="preserve">Reflexion und Selbstwahrnehmung </w:t>
      </w:r>
    </w:p>
    <w:p w14:paraId="1E07277A" w14:textId="77777777" w:rsidR="00AC1265" w:rsidRPr="00AC1265" w:rsidRDefault="00AC1265" w:rsidP="00AC1265">
      <w:pPr>
        <w:numPr>
          <w:ilvl w:val="0"/>
          <w:numId w:val="7"/>
        </w:numPr>
      </w:pPr>
      <w:r w:rsidRPr="00AC1265">
        <w:t xml:space="preserve">individuelle Förderung </w:t>
      </w:r>
    </w:p>
    <w:p w14:paraId="1382485E" w14:textId="77777777" w:rsidR="00AC1265" w:rsidRPr="00AC1265" w:rsidRDefault="00AC1265" w:rsidP="00AC1265">
      <w:r w:rsidRPr="00AC1265">
        <w:t>Diese Elemente beschreiben exakt die Dimensionen, die den Cluster C2 definieren.</w:t>
      </w:r>
    </w:p>
    <w:p w14:paraId="081EF7D9" w14:textId="77777777" w:rsidR="00AC1265" w:rsidRPr="00AC1265" w:rsidRDefault="00AC1265" w:rsidP="00AC1265">
      <w:r w:rsidRPr="00AC1265">
        <w:pict w14:anchorId="190F5D97">
          <v:rect id="_x0000_i1066" style="width:0;height:1.5pt" o:hralign="center" o:hrstd="t" o:hr="t" fillcolor="#a0a0a0" stroked="f"/>
        </w:pict>
      </w:r>
    </w:p>
    <w:p w14:paraId="2716EE11" w14:textId="77777777" w:rsidR="00AC1265" w:rsidRPr="00AC1265" w:rsidRDefault="00AC1265" w:rsidP="00AC1265">
      <w:pPr>
        <w:rPr>
          <w:b/>
          <w:bCs/>
        </w:rPr>
      </w:pPr>
      <w:r w:rsidRPr="00AC1265">
        <w:rPr>
          <w:b/>
          <w:bCs/>
        </w:rPr>
        <w:t>Schlussfolgerung</w:t>
      </w:r>
    </w:p>
    <w:p w14:paraId="35B7B86D" w14:textId="77777777" w:rsidR="00AC1265" w:rsidRPr="00AC1265" w:rsidRDefault="00AC1265" w:rsidP="00AC1265">
      <w:r w:rsidRPr="00AC1265">
        <w:t xml:space="preserve">Die Cluster- und Typenbildung zeigt, dass sich die Systeme nicht durch unterschiedliche Intensitäten oder Inhalte unterscheiden, sondern durch die </w:t>
      </w:r>
      <w:r w:rsidRPr="00AC1265">
        <w:rPr>
          <w:b/>
          <w:bCs/>
        </w:rPr>
        <w:t>Verteilung der Zustände über funktionale Räume</w:t>
      </w:r>
      <w:r w:rsidRPr="00AC1265">
        <w:t>.</w:t>
      </w:r>
    </w:p>
    <w:p w14:paraId="642AF48E" w14:textId="77777777" w:rsidR="00AC1265" w:rsidRPr="00AC1265" w:rsidRDefault="00AC1265" w:rsidP="00AC1265">
      <w:r w:rsidRPr="00AC1265">
        <w:t>Der zentrale Befund lautet:</w:t>
      </w:r>
    </w:p>
    <w:p w14:paraId="5EF4C5F3" w14:textId="77777777" w:rsidR="00AC1265" w:rsidRPr="00AC1265" w:rsidRDefault="00AC1265" w:rsidP="00AC1265">
      <w:r w:rsidRPr="00AC1265">
        <w:t>Lehrkraft 1 erzeugt kein stärkeres, sondern ein strukturell erweitertes System, in dem kognitive Prozesse systematisch mit sozialen und affektiven Dimensionen integriert werden.</w:t>
      </w:r>
    </w:p>
    <w:p w14:paraId="6F5AD75D" w14:textId="77777777" w:rsidR="00AC1265" w:rsidRPr="00AC1265" w:rsidRDefault="00AC1265" w:rsidP="00AC1265">
      <w:r w:rsidRPr="00AC1265">
        <w:t>Damit wird die im FRZK theoretisch postulierte Mehrdimensionalität erstmals vollständig datenbasiert sichtbar und als topologische Eigenschaft des Zustandsraums empirisch bestätigt.</w:t>
      </w:r>
    </w:p>
    <w:p w14:paraId="42810F64"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9601048"/>
    <w:multiLevelType w:val="multilevel"/>
    <w:tmpl w:val="9AB6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C5662"/>
    <w:multiLevelType w:val="multilevel"/>
    <w:tmpl w:val="775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E6DBC"/>
    <w:multiLevelType w:val="multilevel"/>
    <w:tmpl w:val="383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271F71"/>
    <w:multiLevelType w:val="multilevel"/>
    <w:tmpl w:val="B5AA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4235736">
    <w:abstractNumId w:val="0"/>
  </w:num>
  <w:num w:numId="2" w16cid:durableId="1716926101">
    <w:abstractNumId w:val="1"/>
  </w:num>
  <w:num w:numId="3" w16cid:durableId="668751711">
    <w:abstractNumId w:val="4"/>
  </w:num>
  <w:num w:numId="4" w16cid:durableId="1735422616">
    <w:abstractNumId w:val="5"/>
  </w:num>
  <w:num w:numId="5" w16cid:durableId="996417889">
    <w:abstractNumId w:val="6"/>
  </w:num>
  <w:num w:numId="6" w16cid:durableId="1928418220">
    <w:abstractNumId w:val="3"/>
  </w:num>
  <w:num w:numId="7" w16cid:durableId="33955011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65"/>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9978EB"/>
    <w:rsid w:val="00A307C9"/>
    <w:rsid w:val="00AA4222"/>
    <w:rsid w:val="00AC1265"/>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B9E37"/>
  <w15:chartTrackingRefBased/>
  <w15:docId w15:val="{DD75CB5A-5A1B-4B45-95AF-3358DA4C6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630361279">
      <w:bodyDiv w:val="1"/>
      <w:marLeft w:val="0"/>
      <w:marRight w:val="0"/>
      <w:marTop w:val="0"/>
      <w:marBottom w:val="0"/>
      <w:divBdr>
        <w:top w:val="none" w:sz="0" w:space="0" w:color="auto"/>
        <w:left w:val="none" w:sz="0" w:space="0" w:color="auto"/>
        <w:bottom w:val="none" w:sz="0" w:space="0" w:color="auto"/>
        <w:right w:val="none" w:sz="0" w:space="0" w:color="auto"/>
      </w:divBdr>
      <w:divsChild>
        <w:div w:id="51781927">
          <w:marLeft w:val="0"/>
          <w:marRight w:val="0"/>
          <w:marTop w:val="0"/>
          <w:marBottom w:val="0"/>
          <w:divBdr>
            <w:top w:val="none" w:sz="0" w:space="0" w:color="auto"/>
            <w:left w:val="none" w:sz="0" w:space="0" w:color="auto"/>
            <w:bottom w:val="none" w:sz="0" w:space="0" w:color="auto"/>
            <w:right w:val="none" w:sz="0" w:space="0" w:color="auto"/>
          </w:divBdr>
          <w:divsChild>
            <w:div w:id="789200643">
              <w:marLeft w:val="0"/>
              <w:marRight w:val="0"/>
              <w:marTop w:val="0"/>
              <w:marBottom w:val="0"/>
              <w:divBdr>
                <w:top w:val="none" w:sz="0" w:space="0" w:color="auto"/>
                <w:left w:val="none" w:sz="0" w:space="0" w:color="auto"/>
                <w:bottom w:val="none" w:sz="0" w:space="0" w:color="auto"/>
                <w:right w:val="none" w:sz="0" w:space="0" w:color="auto"/>
              </w:divBdr>
            </w:div>
          </w:divsChild>
        </w:div>
        <w:div w:id="14460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434400">
      <w:bodyDiv w:val="1"/>
      <w:marLeft w:val="0"/>
      <w:marRight w:val="0"/>
      <w:marTop w:val="0"/>
      <w:marBottom w:val="0"/>
      <w:divBdr>
        <w:top w:val="none" w:sz="0" w:space="0" w:color="auto"/>
        <w:left w:val="none" w:sz="0" w:space="0" w:color="auto"/>
        <w:bottom w:val="none" w:sz="0" w:space="0" w:color="auto"/>
        <w:right w:val="none" w:sz="0" w:space="0" w:color="auto"/>
      </w:divBdr>
      <w:divsChild>
        <w:div w:id="46340289">
          <w:marLeft w:val="0"/>
          <w:marRight w:val="0"/>
          <w:marTop w:val="0"/>
          <w:marBottom w:val="0"/>
          <w:divBdr>
            <w:top w:val="none" w:sz="0" w:space="0" w:color="auto"/>
            <w:left w:val="none" w:sz="0" w:space="0" w:color="auto"/>
            <w:bottom w:val="none" w:sz="0" w:space="0" w:color="auto"/>
            <w:right w:val="none" w:sz="0" w:space="0" w:color="auto"/>
          </w:divBdr>
          <w:divsChild>
            <w:div w:id="124399693">
              <w:marLeft w:val="0"/>
              <w:marRight w:val="0"/>
              <w:marTop w:val="0"/>
              <w:marBottom w:val="0"/>
              <w:divBdr>
                <w:top w:val="none" w:sz="0" w:space="0" w:color="auto"/>
                <w:left w:val="none" w:sz="0" w:space="0" w:color="auto"/>
                <w:bottom w:val="none" w:sz="0" w:space="0" w:color="auto"/>
                <w:right w:val="none" w:sz="0" w:space="0" w:color="auto"/>
              </w:divBdr>
            </w:div>
          </w:divsChild>
        </w:div>
        <w:div w:id="1990286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644</Words>
  <Characters>4058</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2026-05-02T09:02:00Z</dcterms:created>
  <dcterms:modified xsi:type="dcterms:W3CDTF">2026-05-02T09:04:00Z</dcterms:modified>
</cp:coreProperties>
</file>