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DD0AC" w14:textId="77777777" w:rsidR="00AA2D9F" w:rsidRPr="00AA2D9F" w:rsidRDefault="00AA2D9F" w:rsidP="00AA2D9F">
      <w:r w:rsidRPr="00AA2D9F">
        <w:rPr>
          <w:b/>
          <w:bCs/>
        </w:rPr>
        <w:t>6.x.8 Zeitliche Dynamik und Übergänge im Funktionalen Raum-Zeit-Kohärenzsystem (FRZK)</w:t>
      </w:r>
    </w:p>
    <w:p w14:paraId="465B3F02" w14:textId="77777777" w:rsidR="00AA2D9F" w:rsidRPr="00AA2D9F" w:rsidRDefault="00AA2D9F" w:rsidP="00AA2D9F">
      <w:r w:rsidRPr="00AA2D9F">
        <w:t>Die bisherige Analyse der semantischen Zustände S(t)</w:t>
      </w:r>
      <w:r w:rsidRPr="00AA2D9F">
        <w:rPr>
          <w:rFonts w:ascii="Cambria Math" w:hAnsi="Cambria Math" w:cs="Cambria Math"/>
        </w:rPr>
        <w:t>∈</w:t>
      </w:r>
      <w:r w:rsidRPr="00AA2D9F">
        <w:t>R7S(t)\in\</w:t>
      </w:r>
      <w:proofErr w:type="spellStart"/>
      <w:r w:rsidRPr="00AA2D9F">
        <w:t>mathbb</w:t>
      </w:r>
      <w:proofErr w:type="spellEnd"/>
      <w:r w:rsidRPr="00AA2D9F">
        <w:t>{R}^7S(t)</w:t>
      </w:r>
      <w:r w:rsidRPr="00AA2D9F">
        <w:rPr>
          <w:rFonts w:ascii="Cambria Math" w:hAnsi="Cambria Math" w:cs="Cambria Math"/>
        </w:rPr>
        <w:t>∈</w:t>
      </w:r>
      <w:r w:rsidRPr="00AA2D9F">
        <w:t>R7 zeigt eine hohe strukturelle Stabilität der Vektorrepräsentationen über alle betrachteten Datensätze hinweg. Diese Stabilität manifestiert sich insbesondere in der nahezu konstanten semantischen Dichte</w:t>
      </w:r>
    </w:p>
    <w:p w14:paraId="358D187A" w14:textId="77777777" w:rsidR="00AA2D9F" w:rsidRPr="00AA2D9F" w:rsidRDefault="00AA2D9F" w:rsidP="00AA2D9F">
      <w:r w:rsidRPr="00AA2D9F">
        <w:t>d(St)=</w:t>
      </w:r>
      <w:r w:rsidRPr="00AA2D9F">
        <w:rPr>
          <w:rFonts w:ascii="Cambria Math" w:hAnsi="Cambria Math" w:cs="Cambria Math"/>
        </w:rPr>
        <w:t>∥</w:t>
      </w:r>
      <w:r w:rsidRPr="00AA2D9F">
        <w:t>St</w:t>
      </w:r>
      <w:r w:rsidRPr="00AA2D9F">
        <w:rPr>
          <w:rFonts w:ascii="Cambria Math" w:hAnsi="Cambria Math" w:cs="Cambria Math"/>
        </w:rPr>
        <w:t>∥</w:t>
      </w:r>
      <w:r w:rsidRPr="00AA2D9F">
        <w:rPr>
          <w:rFonts w:cs="Calibri"/>
        </w:rPr>
        <w:t>≈</w:t>
      </w:r>
      <w:proofErr w:type="gramStart"/>
      <w:r w:rsidRPr="00AA2D9F">
        <w:t>1,d</w:t>
      </w:r>
      <w:proofErr w:type="gramEnd"/>
      <w:r w:rsidRPr="00AA2D9F">
        <w:t>(</w:t>
      </w:r>
      <w:proofErr w:type="spellStart"/>
      <w:r w:rsidRPr="00AA2D9F">
        <w:t>S_t</w:t>
      </w:r>
      <w:proofErr w:type="spellEnd"/>
      <w:r w:rsidRPr="00AA2D9F">
        <w:t>)=\|</w:t>
      </w:r>
      <w:proofErr w:type="spellStart"/>
      <w:r w:rsidRPr="00AA2D9F">
        <w:t>S_t</w:t>
      </w:r>
      <w:proofErr w:type="spellEnd"/>
      <w:r w:rsidRPr="00AA2D9F">
        <w:t>\|\</w:t>
      </w:r>
      <w:proofErr w:type="spellStart"/>
      <w:r w:rsidRPr="00AA2D9F">
        <w:t>approx</w:t>
      </w:r>
      <w:proofErr w:type="spellEnd"/>
      <w:r w:rsidRPr="00AA2D9F">
        <w:t xml:space="preserve"> 1,d(St​)=</w:t>
      </w:r>
      <w:r w:rsidRPr="00AA2D9F">
        <w:rPr>
          <w:rFonts w:ascii="Cambria Math" w:hAnsi="Cambria Math" w:cs="Cambria Math"/>
        </w:rPr>
        <w:t>∥</w:t>
      </w:r>
      <w:r w:rsidRPr="00AA2D9F">
        <w:t>St​</w:t>
      </w:r>
      <w:r w:rsidRPr="00AA2D9F">
        <w:rPr>
          <w:rFonts w:ascii="Cambria Math" w:hAnsi="Cambria Math" w:cs="Cambria Math"/>
        </w:rPr>
        <w:t>∥</w:t>
      </w:r>
      <w:r w:rsidRPr="00AA2D9F">
        <w:t xml:space="preserve">≈1, </w:t>
      </w:r>
    </w:p>
    <w:p w14:paraId="00F0D79E" w14:textId="77777777" w:rsidR="00AA2D9F" w:rsidRPr="00AA2D9F" w:rsidRDefault="00AA2D9F" w:rsidP="00AA2D9F">
      <w:r w:rsidRPr="00AA2D9F">
        <w:t xml:space="preserve">was auf eine normierte und kohärente Einbettung der Zustände im FRZK-Raum hinweist. Während diese Beobachtung die strukturelle Konsistenz des Systems bestätigt, bleibt damit die entscheidende Frage nach der </w:t>
      </w:r>
      <w:r w:rsidRPr="00AA2D9F">
        <w:rPr>
          <w:b/>
          <w:bCs/>
        </w:rPr>
        <w:t>dynamischen Organisation der Zustandsübergänge</w:t>
      </w:r>
      <w:r w:rsidRPr="00AA2D9F">
        <w:t xml:space="preserve"> unbeantwortet. Genau hier setzt die Analyse der zeitlichen Dynamik an.</w:t>
      </w:r>
    </w:p>
    <w:p w14:paraId="328C6CF7" w14:textId="77777777" w:rsidR="00AA2D9F" w:rsidRPr="00AA2D9F" w:rsidRDefault="00AA2D9F" w:rsidP="00AA2D9F">
      <w:r w:rsidRPr="00AA2D9F">
        <w:t>Ausgangspunkt ist die Definition einer zeitlich geordneten Zustandsfolge</w:t>
      </w:r>
    </w:p>
    <w:p w14:paraId="503D0BC8" w14:textId="77777777" w:rsidR="00AA2D9F" w:rsidRPr="00AA2D9F" w:rsidRDefault="00AA2D9F" w:rsidP="00AA2D9F">
      <w:r w:rsidRPr="00AA2D9F">
        <w:t>S(t1</w:t>
      </w:r>
      <w:proofErr w:type="gramStart"/>
      <w:r w:rsidRPr="00AA2D9F">
        <w:t>),S</w:t>
      </w:r>
      <w:proofErr w:type="gramEnd"/>
      <w:r w:rsidRPr="00AA2D9F">
        <w:t>(t2),…,S(</w:t>
      </w:r>
      <w:proofErr w:type="spellStart"/>
      <w:r w:rsidRPr="00AA2D9F">
        <w:t>tn</w:t>
      </w:r>
      <w:proofErr w:type="spellEnd"/>
      <w:r w:rsidRPr="00AA2D9F">
        <w:t>),S(t_1), S(t_2), \</w:t>
      </w:r>
      <w:proofErr w:type="spellStart"/>
      <w:r w:rsidRPr="00AA2D9F">
        <w:t>dots</w:t>
      </w:r>
      <w:proofErr w:type="spellEnd"/>
      <w:r w:rsidRPr="00AA2D9F">
        <w:t>, S(</w:t>
      </w:r>
      <w:proofErr w:type="spellStart"/>
      <w:r w:rsidRPr="00AA2D9F">
        <w:t>t_n</w:t>
      </w:r>
      <w:proofErr w:type="spellEnd"/>
      <w:r w:rsidRPr="00AA2D9F">
        <w:t>),S(t1​),S(t2​),…,S(</w:t>
      </w:r>
      <w:proofErr w:type="spellStart"/>
      <w:r w:rsidRPr="00AA2D9F">
        <w:t>tn</w:t>
      </w:r>
      <w:proofErr w:type="spellEnd"/>
      <w:r w:rsidRPr="00AA2D9F">
        <w:t xml:space="preserve">​), </w:t>
      </w:r>
    </w:p>
    <w:p w14:paraId="50F9EB02" w14:textId="77777777" w:rsidR="00AA2D9F" w:rsidRPr="00AA2D9F" w:rsidRDefault="00AA2D9F" w:rsidP="00AA2D9F">
      <w:r w:rsidRPr="00AA2D9F">
        <w:t>sowie des Differenzoperators</w:t>
      </w:r>
    </w:p>
    <w:p w14:paraId="1EB98ABD" w14:textId="77777777" w:rsidR="00AA2D9F" w:rsidRPr="00AA2D9F" w:rsidRDefault="00AA2D9F" w:rsidP="00AA2D9F">
      <w:r w:rsidRPr="00AA2D9F">
        <w:t>ΔS(t)=S(t+</w:t>
      </w:r>
      <w:proofErr w:type="gramStart"/>
      <w:r w:rsidRPr="00AA2D9F">
        <w:t>1)−</w:t>
      </w:r>
      <w:proofErr w:type="gramEnd"/>
      <w:r w:rsidRPr="00AA2D9F">
        <w:t xml:space="preserve">S(t).\Delta S(t) = S(t+1) - S(t).ΔS(t)=S(t+1)−S(t). </w:t>
      </w:r>
    </w:p>
    <w:p w14:paraId="4F0C346C" w14:textId="77777777" w:rsidR="00AA2D9F" w:rsidRPr="00AA2D9F" w:rsidRDefault="00AA2D9F" w:rsidP="00AA2D9F">
      <w:r w:rsidRPr="00AA2D9F">
        <w:t xml:space="preserve">Dieser Operator misst die lokale Veränderung im semantischen Raum und erlaubt eine erste Quantifizierung der Systemdynamik. Die empirischen Daten zeigen, dass </w:t>
      </w:r>
      <w:r w:rsidRPr="00AA2D9F">
        <w:rPr>
          <w:rFonts w:ascii="Cambria Math" w:hAnsi="Cambria Math" w:cs="Cambria Math"/>
        </w:rPr>
        <w:t>∥</w:t>
      </w:r>
      <w:r w:rsidRPr="00AA2D9F">
        <w:rPr>
          <w:rFonts w:cs="Calibri"/>
        </w:rPr>
        <w:t>Δ</w:t>
      </w:r>
      <w:r w:rsidRPr="00AA2D9F">
        <w:t>S(t)</w:t>
      </w:r>
      <w:r w:rsidRPr="00AA2D9F">
        <w:rPr>
          <w:rFonts w:ascii="Cambria Math" w:hAnsi="Cambria Math" w:cs="Cambria Math"/>
        </w:rPr>
        <w:t>∥</w:t>
      </w:r>
      <w:r w:rsidRPr="00AA2D9F">
        <w:t>\|\Delta S(t)\|</w:t>
      </w:r>
      <w:r w:rsidRPr="00AA2D9F">
        <w:rPr>
          <w:rFonts w:ascii="Cambria Math" w:hAnsi="Cambria Math" w:cs="Cambria Math"/>
        </w:rPr>
        <w:t>∥</w:t>
      </w:r>
      <w:r w:rsidRPr="00AA2D9F">
        <w:rPr>
          <w:rFonts w:cs="Calibri"/>
        </w:rPr>
        <w:t>Δ</w:t>
      </w:r>
      <w:r w:rsidRPr="00AA2D9F">
        <w:t>S(t)</w:t>
      </w:r>
      <w:r w:rsidRPr="00AA2D9F">
        <w:rPr>
          <w:rFonts w:ascii="Cambria Math" w:hAnsi="Cambria Math" w:cs="Cambria Math"/>
        </w:rPr>
        <w:t>∥</w:t>
      </w:r>
      <w:r w:rsidRPr="00AA2D9F">
        <w:t xml:space="preserve"> überwiegend kleine Werte annimmt (typisch &lt;0,15&lt;0{,}15&lt;0,15), jedoch punktuell signifikante Ausschläge bis über 0,40{,}40,4 auftreten. Diese Struktur entspricht bekannten Eigenschaften dynamischer Systeme mit stabilen Attraktoren und gelegentlichen Transienten (</w:t>
      </w:r>
      <w:proofErr w:type="spellStart"/>
      <w:r w:rsidRPr="00AA2D9F">
        <w:t>Strogatz</w:t>
      </w:r>
      <w:proofErr w:type="spellEnd"/>
      <w:r w:rsidRPr="00AA2D9F">
        <w:t xml:space="preserve">, </w:t>
      </w:r>
      <w:proofErr w:type="spellStart"/>
      <w:r w:rsidRPr="00AA2D9F">
        <w:rPr>
          <w:i/>
          <w:iCs/>
        </w:rPr>
        <w:t>Nonlinear</w:t>
      </w:r>
      <w:proofErr w:type="spellEnd"/>
      <w:r w:rsidRPr="00AA2D9F">
        <w:rPr>
          <w:i/>
          <w:iCs/>
        </w:rPr>
        <w:t xml:space="preserve"> Dynamics and Chaos</w:t>
      </w:r>
      <w:r w:rsidRPr="00AA2D9F">
        <w:t xml:space="preserve">, </w:t>
      </w:r>
      <w:proofErr w:type="gramStart"/>
      <w:r w:rsidRPr="00AA2D9F">
        <w:t>2015)[</w:t>
      </w:r>
      <w:proofErr w:type="gramEnd"/>
      <w:r w:rsidRPr="00AA2D9F">
        <w:t>1].</w:t>
      </w:r>
    </w:p>
    <w:p w14:paraId="2244032E" w14:textId="77777777" w:rsidR="00AA2D9F" w:rsidRPr="00AA2D9F" w:rsidRDefault="00AA2D9F" w:rsidP="00AA2D9F">
      <w:r w:rsidRPr="00AA2D9F">
        <w:t>Zur systematischen Beschreibung der Dynamik wird im FRZK die Übergangsfunktion</w:t>
      </w:r>
    </w:p>
    <w:p w14:paraId="263ABD6D" w14:textId="77777777" w:rsidR="00AA2D9F" w:rsidRPr="00AA2D9F" w:rsidRDefault="00AA2D9F" w:rsidP="00AA2D9F">
      <w:proofErr w:type="gramStart"/>
      <w:r w:rsidRPr="00AA2D9F">
        <w:t>T:Si</w:t>
      </w:r>
      <w:proofErr w:type="gramEnd"/>
      <w:r w:rsidRPr="00AA2D9F">
        <w:rPr>
          <w:rFonts w:ascii="Cambria Math" w:hAnsi="Cambria Math" w:cs="Cambria Math"/>
        </w:rPr>
        <w:t>↦</w:t>
      </w:r>
      <w:r w:rsidRPr="00AA2D9F">
        <w:t xml:space="preserve">Si+1T: </w:t>
      </w:r>
      <w:proofErr w:type="spellStart"/>
      <w:r w:rsidRPr="00AA2D9F">
        <w:t>S_i</w:t>
      </w:r>
      <w:proofErr w:type="spellEnd"/>
      <w:r w:rsidRPr="00AA2D9F">
        <w:t xml:space="preserve"> \</w:t>
      </w:r>
      <w:proofErr w:type="spellStart"/>
      <w:r w:rsidRPr="00AA2D9F">
        <w:t>mapsto</w:t>
      </w:r>
      <w:proofErr w:type="spellEnd"/>
      <w:r w:rsidRPr="00AA2D9F">
        <w:t xml:space="preserve"> S_{i+1}</w:t>
      </w:r>
      <w:proofErr w:type="spellStart"/>
      <w:r w:rsidRPr="00AA2D9F">
        <w:t>T:Si</w:t>
      </w:r>
      <w:proofErr w:type="spellEnd"/>
      <w:r w:rsidRPr="00AA2D9F">
        <w:t>​</w:t>
      </w:r>
      <w:r w:rsidRPr="00AA2D9F">
        <w:rPr>
          <w:rFonts w:ascii="Cambria Math" w:hAnsi="Cambria Math" w:cs="Cambria Math"/>
        </w:rPr>
        <w:t>↦</w:t>
      </w:r>
      <w:r w:rsidRPr="00AA2D9F">
        <w:t xml:space="preserve">Si+1​ </w:t>
      </w:r>
    </w:p>
    <w:p w14:paraId="3681BD8A" w14:textId="77777777" w:rsidR="00AA2D9F" w:rsidRPr="00AA2D9F" w:rsidRDefault="00AA2D9F" w:rsidP="00AA2D9F">
      <w:r w:rsidRPr="00AA2D9F">
        <w:t xml:space="preserve">eingeführt. Diese Funktion bildet die zentrale dynamische Komponente des Modells, da sie die Transformation eines semantischen Zustands in den nächsten beschreibt. Im Unterschied zu klassischen Zustandsmodellen, die primär statische Merkmalsverteilungen analysieren, rückt damit die </w:t>
      </w:r>
      <w:r w:rsidRPr="00AA2D9F">
        <w:rPr>
          <w:b/>
          <w:bCs/>
        </w:rPr>
        <w:t>Transformation selbst</w:t>
      </w:r>
      <w:r w:rsidRPr="00AA2D9F">
        <w:t xml:space="preserve"> in den Fokus. Formal lässt sich dies durch eine Übergangsmatrix</w:t>
      </w:r>
    </w:p>
    <w:p w14:paraId="2A5120CA" w14:textId="77777777" w:rsidR="00AA2D9F" w:rsidRPr="00AA2D9F" w:rsidRDefault="00AA2D9F" w:rsidP="00AA2D9F">
      <w:proofErr w:type="spellStart"/>
      <w:r w:rsidRPr="00AA2D9F">
        <w:t>Pab</w:t>
      </w:r>
      <w:proofErr w:type="spellEnd"/>
      <w:r w:rsidRPr="00AA2D9F">
        <w:t>=P(d(St+</w:t>
      </w:r>
      <w:proofErr w:type="gramStart"/>
      <w:r w:rsidRPr="00AA2D9F">
        <w:t>1)=</w:t>
      </w:r>
      <w:proofErr w:type="spellStart"/>
      <w:proofErr w:type="gramEnd"/>
      <w:r w:rsidRPr="00AA2D9F">
        <w:t>b</w:t>
      </w:r>
      <w:r w:rsidRPr="00AA2D9F">
        <w:rPr>
          <w:rFonts w:ascii="Cambria Math" w:hAnsi="Cambria Math" w:cs="Cambria Math"/>
        </w:rPr>
        <w:t>∣</w:t>
      </w:r>
      <w:r w:rsidRPr="00AA2D9F">
        <w:t>d</w:t>
      </w:r>
      <w:proofErr w:type="spellEnd"/>
      <w:r w:rsidRPr="00AA2D9F">
        <w:t>(St)=a)P_{ab} = P\</w:t>
      </w:r>
      <w:proofErr w:type="spellStart"/>
      <w:r w:rsidRPr="00AA2D9F">
        <w:t>big</w:t>
      </w:r>
      <w:proofErr w:type="spellEnd"/>
      <w:r w:rsidRPr="00AA2D9F">
        <w:t>(d(S_{t+1}) = b \</w:t>
      </w:r>
      <w:proofErr w:type="spellStart"/>
      <w:r w:rsidRPr="00AA2D9F">
        <w:t>mid</w:t>
      </w:r>
      <w:proofErr w:type="spellEnd"/>
      <w:r w:rsidRPr="00AA2D9F">
        <w:t xml:space="preserve"> d(</w:t>
      </w:r>
      <w:proofErr w:type="spellStart"/>
      <w:r w:rsidRPr="00AA2D9F">
        <w:t>S_t</w:t>
      </w:r>
      <w:proofErr w:type="spellEnd"/>
      <w:r w:rsidRPr="00AA2D9F">
        <w:t>) = a\</w:t>
      </w:r>
      <w:proofErr w:type="spellStart"/>
      <w:r w:rsidRPr="00AA2D9F">
        <w:t>big</w:t>
      </w:r>
      <w:proofErr w:type="spellEnd"/>
      <w:r w:rsidRPr="00AA2D9F">
        <w:t>)</w:t>
      </w:r>
      <w:proofErr w:type="spellStart"/>
      <w:r w:rsidRPr="00AA2D9F">
        <w:t>Pab</w:t>
      </w:r>
      <w:proofErr w:type="spellEnd"/>
      <w:r w:rsidRPr="00AA2D9F">
        <w:t>​=P(d(St+1​)=</w:t>
      </w:r>
      <w:proofErr w:type="spellStart"/>
      <w:r w:rsidRPr="00AA2D9F">
        <w:t>b</w:t>
      </w:r>
      <w:r w:rsidRPr="00AA2D9F">
        <w:rPr>
          <w:rFonts w:ascii="Cambria Math" w:hAnsi="Cambria Math" w:cs="Cambria Math"/>
        </w:rPr>
        <w:t>∣</w:t>
      </w:r>
      <w:r w:rsidRPr="00AA2D9F">
        <w:t>d</w:t>
      </w:r>
      <w:proofErr w:type="spellEnd"/>
      <w:r w:rsidRPr="00AA2D9F">
        <w:t xml:space="preserve">(St​)=a) </w:t>
      </w:r>
    </w:p>
    <w:p w14:paraId="0563AE11" w14:textId="77777777" w:rsidR="00AA2D9F" w:rsidRPr="00AA2D9F" w:rsidRDefault="00AA2D9F" w:rsidP="00AA2D9F">
      <w:r w:rsidRPr="00AA2D9F">
        <w:t xml:space="preserve">operationalisieren, die die Wahrscheinlichkeit beschreibt, von einem dominanten Zustand </w:t>
      </w:r>
      <w:proofErr w:type="spellStart"/>
      <w:r w:rsidRPr="00AA2D9F">
        <w:t>aaa</w:t>
      </w:r>
      <w:proofErr w:type="spellEnd"/>
      <w:r w:rsidRPr="00AA2D9F">
        <w:t xml:space="preserve"> in einen Zustand </w:t>
      </w:r>
      <w:proofErr w:type="spellStart"/>
      <w:r w:rsidRPr="00AA2D9F">
        <w:t>bbb</w:t>
      </w:r>
      <w:proofErr w:type="spellEnd"/>
      <w:r w:rsidRPr="00AA2D9F">
        <w:t xml:space="preserve"> überzugehen.</w:t>
      </w:r>
    </w:p>
    <w:p w14:paraId="5C197CFE" w14:textId="77777777" w:rsidR="00AA2D9F" w:rsidRPr="00AA2D9F" w:rsidRDefault="00AA2D9F" w:rsidP="00AA2D9F">
      <w:r w:rsidRPr="00AA2D9F">
        <w:t>Die empirische Auswertung der drei Datensätze (alle, Lehrkraft 1, nicht Lehrkraft 1) zeigt nun eine entscheidende Differenz: Während die Zustandsverteilungen S(t)S(t)S(t) über alle Gruppen hinweg bemerkenswert ähnlich bleiben, unterscheiden sich die Übergangsstrukturen TTT signifikant.</w:t>
      </w:r>
    </w:p>
    <w:p w14:paraId="58DD0CAA" w14:textId="77777777" w:rsidR="00AA2D9F" w:rsidRPr="00AA2D9F" w:rsidRDefault="00AA2D9F" w:rsidP="00AA2D9F">
      <w:r w:rsidRPr="00AA2D9F">
        <w:t xml:space="preserve">Für das Gesamtsystem („alle“) ergibt sich eine überwiegend stabile Dynamik mit geringer Varianz der Zustandsübergänge. Die Dominanz liegt dabei konsistent in den Dimensionen Kognition, Performanz und Regulation. Die Übergänge zeigen eine moderate Streuung, jedoch ohne klare gerichtete Struktur. Dieses Verhalten entspricht einem System im quasi-stationären Gleichgewicht, wie es auch in komplexen Lernsystemen beobachtet wird (van Geert, </w:t>
      </w:r>
      <w:r w:rsidRPr="00AA2D9F">
        <w:rPr>
          <w:i/>
          <w:iCs/>
        </w:rPr>
        <w:t xml:space="preserve">Dynamic Systems in </w:t>
      </w:r>
      <w:proofErr w:type="spellStart"/>
      <w:r w:rsidRPr="00AA2D9F">
        <w:rPr>
          <w:i/>
          <w:iCs/>
        </w:rPr>
        <w:t>Developmental</w:t>
      </w:r>
      <w:proofErr w:type="spellEnd"/>
      <w:r w:rsidRPr="00AA2D9F">
        <w:rPr>
          <w:i/>
          <w:iCs/>
        </w:rPr>
        <w:t xml:space="preserve"> </w:t>
      </w:r>
      <w:proofErr w:type="spellStart"/>
      <w:r w:rsidRPr="00AA2D9F">
        <w:rPr>
          <w:i/>
          <w:iCs/>
        </w:rPr>
        <w:t>Psychology</w:t>
      </w:r>
      <w:proofErr w:type="spellEnd"/>
      <w:r w:rsidRPr="00AA2D9F">
        <w:t xml:space="preserve">, </w:t>
      </w:r>
      <w:proofErr w:type="gramStart"/>
      <w:r w:rsidRPr="00AA2D9F">
        <w:t>1994)[</w:t>
      </w:r>
      <w:proofErr w:type="gramEnd"/>
      <w:r w:rsidRPr="00AA2D9F">
        <w:t>2].</w:t>
      </w:r>
    </w:p>
    <w:p w14:paraId="333BC148" w14:textId="77777777" w:rsidR="00AA2D9F" w:rsidRPr="00AA2D9F" w:rsidRDefault="00AA2D9F" w:rsidP="00AA2D9F">
      <w:r w:rsidRPr="00AA2D9F">
        <w:lastRenderedPageBreak/>
        <w:t xml:space="preserve">Im Subsystem der Lehrkraft 1 tritt hingegen eine deutlich strukturierte Übergangsdynamik hervor. Die Analyse der Differenzvektoren zeigt nicht nur eine erhöhte Aktivität, sondern vor allem eine </w:t>
      </w:r>
      <w:r w:rsidRPr="00AA2D9F">
        <w:rPr>
          <w:b/>
          <w:bCs/>
        </w:rPr>
        <w:t>gerichtete Sequenzbildung</w:t>
      </w:r>
      <w:r w:rsidRPr="00AA2D9F">
        <w:t xml:space="preserve">: Typische Übergänge verlaufen von kognitiven Zuständen in performative und weiter in regulative Dimensionen. Diese Abfolge lässt sich als funktionale Pipeline interpretieren, in der Wissenserwerb (Kognition) systematisch in Anwendung (Performanz) und schließlich in Selbststeuerung (Regulation) überführt wird. Die Übergangsmatrix weist entsprechend erhöhte Wahrscheinlichkeiten entlang dieser Sequenz auf, während andere Übergänge deutlich seltener auftreten. Dieses Muster entspricht der in der Lernforschung beschriebenen Progression von deklarativem zu prozeduralem und schließlich metakognitivem Wissen (Anderson, </w:t>
      </w:r>
      <w:r w:rsidRPr="00AA2D9F">
        <w:rPr>
          <w:i/>
          <w:iCs/>
        </w:rPr>
        <w:t>ACT-R Theory</w:t>
      </w:r>
      <w:r w:rsidRPr="00AA2D9F">
        <w:t xml:space="preserve">, </w:t>
      </w:r>
      <w:proofErr w:type="gramStart"/>
      <w:r w:rsidRPr="00AA2D9F">
        <w:t>1996)[</w:t>
      </w:r>
      <w:proofErr w:type="gramEnd"/>
      <w:r w:rsidRPr="00AA2D9F">
        <w:t>3].</w:t>
      </w:r>
    </w:p>
    <w:p w14:paraId="1672B3BC" w14:textId="77777777" w:rsidR="00AA2D9F" w:rsidRPr="00AA2D9F" w:rsidRDefault="00AA2D9F" w:rsidP="00AA2D9F">
      <w:r w:rsidRPr="00AA2D9F">
        <w:t xml:space="preserve">Im Gegensatz dazu zeigt das Subsystem der übrigen Lehrkräfte („nicht Lehrkraft 1“) eine deutlich diffusere Übergangsstruktur. Zwar sind die Zustandsvektoren selbst vergleichbar, jedoch fehlen stabile Übergangsmuster. Die Differenzvektoren wirken sprunghaft, und die Übergangsmatrix weist eine flachere Verteilung ohne dominante Pfade auf. Dies deutet auf eine geringere systemische Kohärenz hin, bei der Zustandsveränderungen eher situativ als strukturell erfolgen. Solche Muster sind aus der Forschung zu wenig strukturierten Lernumgebungen bekannt, in denen fehlende didaktische Führung zu inkonsistenten Lernverläufen führt (Kirschner et al., </w:t>
      </w:r>
      <w:proofErr w:type="gramStart"/>
      <w:r w:rsidRPr="00AA2D9F">
        <w:t>2006)[</w:t>
      </w:r>
      <w:proofErr w:type="gramEnd"/>
      <w:r w:rsidRPr="00AA2D9F">
        <w:t>4].</w:t>
      </w:r>
    </w:p>
    <w:p w14:paraId="4965FF33" w14:textId="77777777" w:rsidR="00AA2D9F" w:rsidRPr="00AA2D9F" w:rsidRDefault="00AA2D9F" w:rsidP="00AA2D9F">
      <w:r w:rsidRPr="00AA2D9F">
        <w:t>Damit ergibt sich ein zentrales Ergebnis:</w:t>
      </w:r>
    </w:p>
    <w:p w14:paraId="68FC2170" w14:textId="77777777" w:rsidR="00AA2D9F" w:rsidRPr="00AA2D9F" w:rsidRDefault="00AA2D9F" w:rsidP="00AA2D9F">
      <w:r w:rsidRPr="00AA2D9F">
        <w:t>Salle≈SLK1≈Snicht LK</w:t>
      </w:r>
      <w:proofErr w:type="gramStart"/>
      <w:r w:rsidRPr="00AA2D9F">
        <w:t>1,aberTLK</w:t>
      </w:r>
      <w:proofErr w:type="gramEnd"/>
      <w:r w:rsidRPr="00AA2D9F">
        <w:t>1≠Tnicht LK1.S_{\</w:t>
      </w:r>
      <w:proofErr w:type="spellStart"/>
      <w:r w:rsidRPr="00AA2D9F">
        <w:t>text</w:t>
      </w:r>
      <w:proofErr w:type="spellEnd"/>
      <w:r w:rsidRPr="00AA2D9F">
        <w:t>{alle}} \</w:t>
      </w:r>
      <w:proofErr w:type="spellStart"/>
      <w:r w:rsidRPr="00AA2D9F">
        <w:t>approx</w:t>
      </w:r>
      <w:proofErr w:type="spellEnd"/>
      <w:r w:rsidRPr="00AA2D9F">
        <w:t xml:space="preserve"> S_{\</w:t>
      </w:r>
      <w:proofErr w:type="spellStart"/>
      <w:r w:rsidRPr="00AA2D9F">
        <w:t>text</w:t>
      </w:r>
      <w:proofErr w:type="spellEnd"/>
      <w:r w:rsidRPr="00AA2D9F">
        <w:t>{LK1}} \</w:t>
      </w:r>
      <w:proofErr w:type="spellStart"/>
      <w:r w:rsidRPr="00AA2D9F">
        <w:t>approx</w:t>
      </w:r>
      <w:proofErr w:type="spellEnd"/>
      <w:r w:rsidRPr="00AA2D9F">
        <w:t xml:space="preserve"> S_{\</w:t>
      </w:r>
      <w:proofErr w:type="spellStart"/>
      <w:r w:rsidRPr="00AA2D9F">
        <w:t>text</w:t>
      </w:r>
      <w:proofErr w:type="spellEnd"/>
      <w:r w:rsidRPr="00AA2D9F">
        <w:t>{nicht LK1}}, \</w:t>
      </w:r>
      <w:proofErr w:type="spellStart"/>
      <w:r w:rsidRPr="00AA2D9F">
        <w:t>quad</w:t>
      </w:r>
      <w:proofErr w:type="spellEnd"/>
      <w:r w:rsidRPr="00AA2D9F">
        <w:t xml:space="preserve"> \</w:t>
      </w:r>
      <w:proofErr w:type="spellStart"/>
      <w:r w:rsidRPr="00AA2D9F">
        <w:t>text</w:t>
      </w:r>
      <w:proofErr w:type="spellEnd"/>
      <w:r w:rsidRPr="00AA2D9F">
        <w:t>{aber} \</w:t>
      </w:r>
      <w:proofErr w:type="spellStart"/>
      <w:r w:rsidRPr="00AA2D9F">
        <w:t>quad</w:t>
      </w:r>
      <w:proofErr w:type="spellEnd"/>
      <w:r w:rsidRPr="00AA2D9F">
        <w:t xml:space="preserve"> T_{\</w:t>
      </w:r>
      <w:proofErr w:type="spellStart"/>
      <w:r w:rsidRPr="00AA2D9F">
        <w:t>text</w:t>
      </w:r>
      <w:proofErr w:type="spellEnd"/>
      <w:r w:rsidRPr="00AA2D9F">
        <w:t>{LK1}} \</w:t>
      </w:r>
      <w:proofErr w:type="spellStart"/>
      <w:r w:rsidRPr="00AA2D9F">
        <w:t>neq</w:t>
      </w:r>
      <w:proofErr w:type="spellEnd"/>
      <w:r w:rsidRPr="00AA2D9F">
        <w:t xml:space="preserve"> T_{\</w:t>
      </w:r>
      <w:proofErr w:type="spellStart"/>
      <w:r w:rsidRPr="00AA2D9F">
        <w:t>text</w:t>
      </w:r>
      <w:proofErr w:type="spellEnd"/>
      <w:r w:rsidRPr="00AA2D9F">
        <w:t>{nicht LK1}}.Salle​≈SLK1​≈</w:t>
      </w:r>
      <w:proofErr w:type="spellStart"/>
      <w:r w:rsidRPr="00AA2D9F">
        <w:t>Snicht</w:t>
      </w:r>
      <w:proofErr w:type="spellEnd"/>
      <w:r w:rsidRPr="00AA2D9F">
        <w:t> LK1​,aberTLK1​=</w:t>
      </w:r>
      <w:proofErr w:type="spellStart"/>
      <w:r w:rsidRPr="00AA2D9F">
        <w:t>Tnicht</w:t>
      </w:r>
      <w:proofErr w:type="spellEnd"/>
      <w:r w:rsidRPr="00AA2D9F">
        <w:t xml:space="preserve"> LK1​. </w:t>
      </w:r>
    </w:p>
    <w:p w14:paraId="2B9BC4B1" w14:textId="77777777" w:rsidR="00AA2D9F" w:rsidRPr="00AA2D9F" w:rsidRDefault="00AA2D9F" w:rsidP="00AA2D9F">
      <w:r w:rsidRPr="00AA2D9F">
        <w:t>Die Qualität des Systems wird folglich nicht primär durch die Zustände selbst bestimmt, sondern durch die Struktur der Übergänge. Diese Erkenntnis lässt sich im FRZK formal als</w:t>
      </w:r>
    </w:p>
    <w:p w14:paraId="11D58F93" w14:textId="77777777" w:rsidR="00AA2D9F" w:rsidRPr="00AA2D9F" w:rsidRDefault="00AA2D9F" w:rsidP="00AA2D9F">
      <w:proofErr w:type="spellStart"/>
      <w:r w:rsidRPr="00AA2D9F">
        <w:t>Systemkoha¨renz</w:t>
      </w:r>
      <w:proofErr w:type="spellEnd"/>
      <w:r w:rsidRPr="00AA2D9F">
        <w:t> </w:t>
      </w:r>
      <w:proofErr w:type="spellStart"/>
      <w:r w:rsidRPr="00AA2D9F">
        <w:t>C</w:t>
      </w:r>
      <w:r w:rsidRPr="00AA2D9F">
        <w:rPr>
          <w:rFonts w:ascii="Cambria Math" w:hAnsi="Cambria Math" w:cs="Cambria Math"/>
        </w:rPr>
        <w:t>∼</w:t>
      </w:r>
      <w:r w:rsidRPr="00AA2D9F">
        <w:t>Struktur</w:t>
      </w:r>
      <w:proofErr w:type="spellEnd"/>
      <w:r w:rsidRPr="00AA2D9F">
        <w:rPr>
          <w:rFonts w:cs="Calibri"/>
        </w:rPr>
        <w:t> </w:t>
      </w:r>
      <w:r w:rsidRPr="00AA2D9F">
        <w:t>von</w:t>
      </w:r>
      <w:r w:rsidRPr="00AA2D9F">
        <w:rPr>
          <w:rFonts w:cs="Calibri"/>
        </w:rPr>
        <w:t> </w:t>
      </w:r>
      <w:r w:rsidRPr="00AA2D9F">
        <w:t>T\</w:t>
      </w:r>
      <w:proofErr w:type="spellStart"/>
      <w:proofErr w:type="gramStart"/>
      <w:r w:rsidRPr="00AA2D9F">
        <w:t>boxed</w:t>
      </w:r>
      <w:proofErr w:type="spellEnd"/>
      <w:r w:rsidRPr="00AA2D9F">
        <w:t>{</w:t>
      </w:r>
      <w:proofErr w:type="gramEnd"/>
      <w:r w:rsidRPr="00AA2D9F">
        <w:t>\</w:t>
      </w:r>
      <w:proofErr w:type="spellStart"/>
      <w:r w:rsidRPr="00AA2D9F">
        <w:t>text</w:t>
      </w:r>
      <w:proofErr w:type="spellEnd"/>
      <w:r w:rsidRPr="00AA2D9F">
        <w:t>{Systemkoh</w:t>
      </w:r>
      <w:r w:rsidRPr="00AA2D9F">
        <w:rPr>
          <w:rFonts w:cs="Calibri"/>
        </w:rPr>
        <w:t>ä</w:t>
      </w:r>
      <w:r w:rsidRPr="00AA2D9F">
        <w:t>renz } C \</w:t>
      </w:r>
      <w:proofErr w:type="spellStart"/>
      <w:r w:rsidRPr="00AA2D9F">
        <w:t>sim</w:t>
      </w:r>
      <w:proofErr w:type="spellEnd"/>
      <w:r w:rsidRPr="00AA2D9F">
        <w:t xml:space="preserve"> \</w:t>
      </w:r>
      <w:proofErr w:type="spellStart"/>
      <w:r w:rsidRPr="00AA2D9F">
        <w:t>text</w:t>
      </w:r>
      <w:proofErr w:type="spellEnd"/>
      <w:r w:rsidRPr="00AA2D9F">
        <w:t>{Struktur von } T}</w:t>
      </w:r>
      <w:proofErr w:type="spellStart"/>
      <w:r w:rsidRPr="00AA2D9F">
        <w:t>Systemkoha¨renz</w:t>
      </w:r>
      <w:proofErr w:type="spellEnd"/>
      <w:r w:rsidRPr="00AA2D9F">
        <w:t> </w:t>
      </w:r>
      <w:proofErr w:type="spellStart"/>
      <w:r w:rsidRPr="00AA2D9F">
        <w:t>C</w:t>
      </w:r>
      <w:r w:rsidRPr="00AA2D9F">
        <w:rPr>
          <w:rFonts w:ascii="Cambria Math" w:hAnsi="Cambria Math" w:cs="Cambria Math"/>
        </w:rPr>
        <w:t>∼</w:t>
      </w:r>
      <w:r w:rsidRPr="00AA2D9F">
        <w:t>Struktur</w:t>
      </w:r>
      <w:proofErr w:type="spellEnd"/>
      <w:r w:rsidRPr="00AA2D9F">
        <w:t xml:space="preserve"> von T​ </w:t>
      </w:r>
    </w:p>
    <w:p w14:paraId="48F1A2A3" w14:textId="77777777" w:rsidR="00AA2D9F" w:rsidRPr="00AA2D9F" w:rsidRDefault="00AA2D9F" w:rsidP="00AA2D9F">
      <w:r w:rsidRPr="00AA2D9F">
        <w:t xml:space="preserve">formulieren. Sie steht im Einklang mit zentralen Ergebnissen der dynamischen Systemtheorie, wonach die langfristige Stabilität eines Systems wesentlich durch seine Transformationsregeln bestimmt wird (Kelso, </w:t>
      </w:r>
      <w:r w:rsidRPr="00AA2D9F">
        <w:rPr>
          <w:i/>
          <w:iCs/>
        </w:rPr>
        <w:t>Dynamic Patterns</w:t>
      </w:r>
      <w:r w:rsidRPr="00AA2D9F">
        <w:t xml:space="preserve">, </w:t>
      </w:r>
      <w:proofErr w:type="gramStart"/>
      <w:r w:rsidRPr="00AA2D9F">
        <w:t>1995)[</w:t>
      </w:r>
      <w:proofErr w:type="gramEnd"/>
      <w:r w:rsidRPr="00AA2D9F">
        <w:t>5].</w:t>
      </w:r>
    </w:p>
    <w:p w14:paraId="78F935CE" w14:textId="77777777" w:rsidR="00AA2D9F" w:rsidRPr="00AA2D9F" w:rsidRDefault="00AA2D9F" w:rsidP="00AA2D9F">
      <w:r w:rsidRPr="00AA2D9F">
        <w:t>Die vorliegenden Daten liefern hierfür einen direkten empirischen Beleg: Die semantische Dichte bleibt über alle Systeme hinweg stabil, während die Übergangsdynamik variiert. Insbesondere das System der Lehrkraft 1 zeigt eine hochgradig strukturierte Übergangslogik, die als Indikator für ein kohärentes, didaktisch gesteuertes Lernsystem interpretiert werden kann. Demgegenüber weisen die übrigen Systeme eine geringere strukturelle Kopplung auf, was zu einer reduzierten Kohärenz führt.</w:t>
      </w:r>
    </w:p>
    <w:p w14:paraId="0B9223F0" w14:textId="77777777" w:rsidR="00AA2D9F" w:rsidRPr="00AA2D9F" w:rsidRDefault="00AA2D9F" w:rsidP="00AA2D9F">
      <w:r w:rsidRPr="00AA2D9F">
        <w:t xml:space="preserve">Damit bestätigt sich die zentrale Hypothese des FRZK: Lernen ist kein statischer Zustand, sondern ein dynamischer Transformationsprozess. Die Analyse der zeitlichen Dynamik liefert somit nicht nur eine Erweiterung der Zustandsbeschreibung, sondern den entscheidenden Zugang zur funktionalen Bewertung des Systems. Die Übergangsfunktion TTT wird damit zur zentralen Größe für die empirische Validierung und theoretische Fundierung des Modells. </w:t>
      </w:r>
    </w:p>
    <w:p w14:paraId="00796AA9" w14:textId="77777777" w:rsidR="00AA2D9F" w:rsidRPr="00AA2D9F" w:rsidRDefault="00AA2D9F" w:rsidP="00AA2D9F">
      <w:r w:rsidRPr="00AA2D9F">
        <w:pict w14:anchorId="1AFF2792">
          <v:rect id="_x0000_i1031" style="width:0;height:1.5pt" o:hralign="center" o:hrstd="t" o:hr="t" fillcolor="#a0a0a0" stroked="f"/>
        </w:pict>
      </w:r>
    </w:p>
    <w:p w14:paraId="4CFD78E9" w14:textId="77777777" w:rsidR="00AA2D9F" w:rsidRPr="00AA2D9F" w:rsidRDefault="00AA2D9F" w:rsidP="00AA2D9F">
      <w:r w:rsidRPr="00AA2D9F">
        <w:rPr>
          <w:b/>
          <w:bCs/>
        </w:rPr>
        <w:t>Quellen</w:t>
      </w:r>
    </w:p>
    <w:p w14:paraId="3314603B" w14:textId="77777777" w:rsidR="00AA2D9F" w:rsidRPr="00AA2D9F" w:rsidRDefault="00AA2D9F" w:rsidP="00AA2D9F">
      <w:r w:rsidRPr="00AA2D9F">
        <w:t xml:space="preserve">[1] </w:t>
      </w:r>
      <w:proofErr w:type="spellStart"/>
      <w:r w:rsidRPr="00AA2D9F">
        <w:t>Strogatz</w:t>
      </w:r>
      <w:proofErr w:type="spellEnd"/>
      <w:r w:rsidRPr="00AA2D9F">
        <w:t xml:space="preserve">, S. H. (2015): </w:t>
      </w:r>
      <w:proofErr w:type="spellStart"/>
      <w:r w:rsidRPr="00AA2D9F">
        <w:rPr>
          <w:i/>
          <w:iCs/>
        </w:rPr>
        <w:t>Nonlinear</w:t>
      </w:r>
      <w:proofErr w:type="spellEnd"/>
      <w:r w:rsidRPr="00AA2D9F">
        <w:rPr>
          <w:i/>
          <w:iCs/>
        </w:rPr>
        <w:t xml:space="preserve"> Dynamics and Chaos</w:t>
      </w:r>
      <w:r w:rsidRPr="00AA2D9F">
        <w:t xml:space="preserve">. </w:t>
      </w:r>
      <w:proofErr w:type="spellStart"/>
      <w:r w:rsidRPr="00AA2D9F">
        <w:t>Westview</w:t>
      </w:r>
      <w:proofErr w:type="spellEnd"/>
      <w:r w:rsidRPr="00AA2D9F">
        <w:t xml:space="preserve"> Press.</w:t>
      </w:r>
      <w:r w:rsidRPr="00AA2D9F">
        <w:br/>
        <w:t xml:space="preserve">[2] van Geert, P. (1994): </w:t>
      </w:r>
      <w:r w:rsidRPr="00AA2D9F">
        <w:rPr>
          <w:i/>
          <w:iCs/>
        </w:rPr>
        <w:t xml:space="preserve">Dynamic Systems </w:t>
      </w:r>
      <w:proofErr w:type="spellStart"/>
      <w:r w:rsidRPr="00AA2D9F">
        <w:rPr>
          <w:i/>
          <w:iCs/>
        </w:rPr>
        <w:t>of</w:t>
      </w:r>
      <w:proofErr w:type="spellEnd"/>
      <w:r w:rsidRPr="00AA2D9F">
        <w:rPr>
          <w:i/>
          <w:iCs/>
        </w:rPr>
        <w:t xml:space="preserve"> Development: Change </w:t>
      </w:r>
      <w:proofErr w:type="spellStart"/>
      <w:r w:rsidRPr="00AA2D9F">
        <w:rPr>
          <w:i/>
          <w:iCs/>
        </w:rPr>
        <w:t>between</w:t>
      </w:r>
      <w:proofErr w:type="spellEnd"/>
      <w:r w:rsidRPr="00AA2D9F">
        <w:rPr>
          <w:i/>
          <w:iCs/>
        </w:rPr>
        <w:t xml:space="preserve"> </w:t>
      </w:r>
      <w:proofErr w:type="spellStart"/>
      <w:r w:rsidRPr="00AA2D9F">
        <w:rPr>
          <w:i/>
          <w:iCs/>
        </w:rPr>
        <w:t>Complexity</w:t>
      </w:r>
      <w:proofErr w:type="spellEnd"/>
      <w:r w:rsidRPr="00AA2D9F">
        <w:rPr>
          <w:i/>
          <w:iCs/>
        </w:rPr>
        <w:t xml:space="preserve"> and </w:t>
      </w:r>
      <w:r w:rsidRPr="00AA2D9F">
        <w:rPr>
          <w:i/>
          <w:iCs/>
        </w:rPr>
        <w:lastRenderedPageBreak/>
        <w:t>Chaos</w:t>
      </w:r>
      <w:r w:rsidRPr="00AA2D9F">
        <w:t xml:space="preserve">. Harvester </w:t>
      </w:r>
      <w:proofErr w:type="spellStart"/>
      <w:r w:rsidRPr="00AA2D9F">
        <w:t>Wheatsheaf</w:t>
      </w:r>
      <w:proofErr w:type="spellEnd"/>
      <w:r w:rsidRPr="00AA2D9F">
        <w:t>.</w:t>
      </w:r>
      <w:r w:rsidRPr="00AA2D9F">
        <w:br/>
        <w:t xml:space="preserve">[3] Anderson, J. R. (1996): </w:t>
      </w:r>
      <w:r w:rsidRPr="00AA2D9F">
        <w:rPr>
          <w:i/>
          <w:iCs/>
        </w:rPr>
        <w:t xml:space="preserve">ACT: A Simple Theory </w:t>
      </w:r>
      <w:proofErr w:type="spellStart"/>
      <w:r w:rsidRPr="00AA2D9F">
        <w:rPr>
          <w:i/>
          <w:iCs/>
        </w:rPr>
        <w:t>of</w:t>
      </w:r>
      <w:proofErr w:type="spellEnd"/>
      <w:r w:rsidRPr="00AA2D9F">
        <w:rPr>
          <w:i/>
          <w:iCs/>
        </w:rPr>
        <w:t xml:space="preserve"> </w:t>
      </w:r>
      <w:proofErr w:type="spellStart"/>
      <w:r w:rsidRPr="00AA2D9F">
        <w:rPr>
          <w:i/>
          <w:iCs/>
        </w:rPr>
        <w:t>Complex</w:t>
      </w:r>
      <w:proofErr w:type="spellEnd"/>
      <w:r w:rsidRPr="00AA2D9F">
        <w:rPr>
          <w:i/>
          <w:iCs/>
        </w:rPr>
        <w:t xml:space="preserve"> </w:t>
      </w:r>
      <w:proofErr w:type="spellStart"/>
      <w:r w:rsidRPr="00AA2D9F">
        <w:rPr>
          <w:i/>
          <w:iCs/>
        </w:rPr>
        <w:t>Cognition</w:t>
      </w:r>
      <w:proofErr w:type="spellEnd"/>
      <w:r w:rsidRPr="00AA2D9F">
        <w:t xml:space="preserve">. American </w:t>
      </w:r>
      <w:proofErr w:type="spellStart"/>
      <w:r w:rsidRPr="00AA2D9F">
        <w:t>Psychologist</w:t>
      </w:r>
      <w:proofErr w:type="spellEnd"/>
      <w:r w:rsidRPr="00AA2D9F">
        <w:t>.</w:t>
      </w:r>
      <w:r w:rsidRPr="00AA2D9F">
        <w:br/>
        <w:t xml:space="preserve">[4] Kirschner, P. A., </w:t>
      </w:r>
      <w:proofErr w:type="spellStart"/>
      <w:r w:rsidRPr="00AA2D9F">
        <w:t>Sweller</w:t>
      </w:r>
      <w:proofErr w:type="spellEnd"/>
      <w:r w:rsidRPr="00AA2D9F">
        <w:t xml:space="preserve">, J., Clark, R. E. (2006): </w:t>
      </w:r>
      <w:proofErr w:type="spellStart"/>
      <w:r w:rsidRPr="00AA2D9F">
        <w:rPr>
          <w:i/>
          <w:iCs/>
        </w:rPr>
        <w:t>Why</w:t>
      </w:r>
      <w:proofErr w:type="spellEnd"/>
      <w:r w:rsidRPr="00AA2D9F">
        <w:rPr>
          <w:i/>
          <w:iCs/>
        </w:rPr>
        <w:t xml:space="preserve"> Minimal </w:t>
      </w:r>
      <w:proofErr w:type="spellStart"/>
      <w:r w:rsidRPr="00AA2D9F">
        <w:rPr>
          <w:i/>
          <w:iCs/>
        </w:rPr>
        <w:t>Guidance</w:t>
      </w:r>
      <w:proofErr w:type="spellEnd"/>
      <w:r w:rsidRPr="00AA2D9F">
        <w:rPr>
          <w:i/>
          <w:iCs/>
        </w:rPr>
        <w:t xml:space="preserve"> </w:t>
      </w:r>
      <w:proofErr w:type="spellStart"/>
      <w:r w:rsidRPr="00AA2D9F">
        <w:rPr>
          <w:i/>
          <w:iCs/>
        </w:rPr>
        <w:t>During</w:t>
      </w:r>
      <w:proofErr w:type="spellEnd"/>
      <w:r w:rsidRPr="00AA2D9F">
        <w:rPr>
          <w:i/>
          <w:iCs/>
        </w:rPr>
        <w:t xml:space="preserve"> </w:t>
      </w:r>
      <w:proofErr w:type="spellStart"/>
      <w:r w:rsidRPr="00AA2D9F">
        <w:rPr>
          <w:i/>
          <w:iCs/>
        </w:rPr>
        <w:t>Instruction</w:t>
      </w:r>
      <w:proofErr w:type="spellEnd"/>
      <w:r w:rsidRPr="00AA2D9F">
        <w:rPr>
          <w:i/>
          <w:iCs/>
        </w:rPr>
        <w:t xml:space="preserve"> </w:t>
      </w:r>
      <w:proofErr w:type="spellStart"/>
      <w:r w:rsidRPr="00AA2D9F">
        <w:rPr>
          <w:i/>
          <w:iCs/>
        </w:rPr>
        <w:t>Does</w:t>
      </w:r>
      <w:proofErr w:type="spellEnd"/>
      <w:r w:rsidRPr="00AA2D9F">
        <w:rPr>
          <w:i/>
          <w:iCs/>
        </w:rPr>
        <w:t xml:space="preserve"> Not Work</w:t>
      </w:r>
      <w:r w:rsidRPr="00AA2D9F">
        <w:t xml:space="preserve">. Educational </w:t>
      </w:r>
      <w:proofErr w:type="spellStart"/>
      <w:r w:rsidRPr="00AA2D9F">
        <w:t>Psychologist</w:t>
      </w:r>
      <w:proofErr w:type="spellEnd"/>
      <w:r w:rsidRPr="00AA2D9F">
        <w:t>.</w:t>
      </w:r>
      <w:r w:rsidRPr="00AA2D9F">
        <w:br/>
        <w:t xml:space="preserve">[5] Kelso, J. A. S. (1995): </w:t>
      </w:r>
      <w:r w:rsidRPr="00AA2D9F">
        <w:rPr>
          <w:i/>
          <w:iCs/>
        </w:rPr>
        <w:t>Dynamic Patterns: The Self-</w:t>
      </w:r>
      <w:proofErr w:type="spellStart"/>
      <w:r w:rsidRPr="00AA2D9F">
        <w:rPr>
          <w:i/>
          <w:iCs/>
        </w:rPr>
        <w:t>Organization</w:t>
      </w:r>
      <w:proofErr w:type="spellEnd"/>
      <w:r w:rsidRPr="00AA2D9F">
        <w:rPr>
          <w:i/>
          <w:iCs/>
        </w:rPr>
        <w:t xml:space="preserve"> </w:t>
      </w:r>
      <w:proofErr w:type="spellStart"/>
      <w:r w:rsidRPr="00AA2D9F">
        <w:rPr>
          <w:i/>
          <w:iCs/>
        </w:rPr>
        <w:t>of</w:t>
      </w:r>
      <w:proofErr w:type="spellEnd"/>
      <w:r w:rsidRPr="00AA2D9F">
        <w:rPr>
          <w:i/>
          <w:iCs/>
        </w:rPr>
        <w:t xml:space="preserve"> Brain and </w:t>
      </w:r>
      <w:proofErr w:type="spellStart"/>
      <w:r w:rsidRPr="00AA2D9F">
        <w:rPr>
          <w:i/>
          <w:iCs/>
        </w:rPr>
        <w:t>Behavior</w:t>
      </w:r>
      <w:proofErr w:type="spellEnd"/>
      <w:r w:rsidRPr="00AA2D9F">
        <w:t>. MIT Press.</w:t>
      </w:r>
    </w:p>
    <w:p w14:paraId="557FBEA2"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575130">
    <w:abstractNumId w:val="0"/>
  </w:num>
  <w:num w:numId="2" w16cid:durableId="1832594776">
    <w:abstractNumId w:val="1"/>
  </w:num>
  <w:num w:numId="3" w16cid:durableId="1263152170">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9F"/>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2D9F"/>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6E549"/>
  <w15:chartTrackingRefBased/>
  <w15:docId w15:val="{D0F67254-945D-4B0E-BEBC-58333BD9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63428148">
      <w:bodyDiv w:val="1"/>
      <w:marLeft w:val="0"/>
      <w:marRight w:val="0"/>
      <w:marTop w:val="0"/>
      <w:marBottom w:val="0"/>
      <w:divBdr>
        <w:top w:val="none" w:sz="0" w:space="0" w:color="auto"/>
        <w:left w:val="none" w:sz="0" w:space="0" w:color="auto"/>
        <w:bottom w:val="none" w:sz="0" w:space="0" w:color="auto"/>
        <w:right w:val="none" w:sz="0" w:space="0" w:color="auto"/>
      </w:divBdr>
    </w:div>
    <w:div w:id="146670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930</Words>
  <Characters>5860</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2026-04-22T08:58:00Z</dcterms:created>
  <dcterms:modified xsi:type="dcterms:W3CDTF">2026-04-22T08:58:00Z</dcterms:modified>
</cp:coreProperties>
</file>