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5C6A9" w14:textId="77777777" w:rsidR="00C03A9B" w:rsidRPr="00C03A9B" w:rsidRDefault="00C03A9B" w:rsidP="006060F8">
      <w:pPr>
        <w:pStyle w:val="berschrift3"/>
      </w:pPr>
      <w:r w:rsidRPr="00C03A9B">
        <w:t>6.x.1 Entkopplung von Wissen und Anwendung als strukturelles Kernproblem schulischer Lernprozesse</w:t>
      </w:r>
    </w:p>
    <w:p w14:paraId="27F31E9B" w14:textId="77777777" w:rsidR="00C03A9B" w:rsidRPr="00C03A9B" w:rsidRDefault="00C03A9B" w:rsidP="00C03A9B">
      <w:r w:rsidRPr="00C03A9B">
        <w:t xml:space="preserve">Bildungspolitische Programme der letzten zwei Jahrzehnte formulieren übereinstimmend den Anspruch, Lernen nicht mehr als reine Wissensakkumulation, sondern als Entwicklung anwendbarer Kompetenzen zu gestalten. Insbesondere im Rahmen der Kompetenzorientierung wird implizit angenommen, dass erworbenes Wissen in Handlungssituationen überführt werden kann. Die Organisation </w:t>
      </w:r>
      <w:proofErr w:type="spellStart"/>
      <w:r w:rsidRPr="00C03A9B">
        <w:t>for</w:t>
      </w:r>
      <w:proofErr w:type="spellEnd"/>
      <w:r w:rsidRPr="00C03A9B">
        <w:t xml:space="preserve"> </w:t>
      </w:r>
      <w:proofErr w:type="spellStart"/>
      <w:r w:rsidRPr="00C03A9B">
        <w:t>Economic</w:t>
      </w:r>
      <w:proofErr w:type="spellEnd"/>
      <w:r w:rsidRPr="00C03A9B">
        <w:t xml:space="preserve"> Co-operation and Development (OECD) beschreibt dies im </w:t>
      </w:r>
      <w:r w:rsidRPr="00C03A9B">
        <w:rPr>
          <w:i/>
          <w:iCs/>
        </w:rPr>
        <w:t>Learning Compass 2030</w:t>
      </w:r>
      <w:r w:rsidRPr="00C03A9B">
        <w:t xml:space="preserve"> als Fähigkeit, Wissen flexibel in neuen Kontexten zu nutzen [1], während John Hattie in </w:t>
      </w:r>
      <w:r w:rsidRPr="00C03A9B">
        <w:rPr>
          <w:i/>
          <w:iCs/>
        </w:rPr>
        <w:t>Visible Learning</w:t>
      </w:r>
      <w:r w:rsidRPr="00C03A9B">
        <w:t xml:space="preserve"> die Wirksamkeit von Unterricht maßgeblich an der Sichtbarkeit von Lernfortschritten und deren Anwendung bemisst [2]. Beide Perspektiven setzen damit eine funktionale Kopplung zwischen Wissen und Anwendung voraus.</w:t>
      </w:r>
    </w:p>
    <w:p w14:paraId="34E9F8A6" w14:textId="77777777" w:rsidR="00C03A9B" w:rsidRPr="00C03A9B" w:rsidRDefault="00C03A9B" w:rsidP="00C03A9B">
      <w:r w:rsidRPr="00C03A9B">
        <w:t>Im Rahmen des Funktionalen Raum-Zeit-Kohärenzsystems (FRZK) lässt sich diese Annahme als strukturelle Beziehung innerhalb des Zustandsvektors formulieren. Ein Lernzustand sei definiert als</w:t>
      </w:r>
    </w:p>
    <w:p w14:paraId="0EF4D811" w14:textId="66AB6ADA" w:rsidR="00C03A9B" w:rsidRPr="00C03A9B" w:rsidRDefault="002F1D8C" w:rsidP="00C03A9B">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me</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r>
            <w:rPr>
              <w:rFonts w:ascii="Cambria Math" w:hAnsi="Cambria Math" w:cs="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cs="Cambria Math"/>
                  <w:i/>
                </w:rPr>
              </m:ctrlPr>
            </m:e>
            <m:sup>
              <m:r>
                <w:rPr>
                  <w:rFonts w:ascii="Cambria Math" w:hAnsi="Cambria Math"/>
                </w:rPr>
                <m:t>7</m:t>
              </m:r>
            </m:sup>
          </m:sSup>
          <m:r>
            <w:rPr>
              <w:rFonts w:ascii="Cambria Math" w:hAnsi="Cambria Math"/>
            </w:rPr>
            <m:t xml:space="preserve"> </m:t>
          </m:r>
        </m:oMath>
      </m:oMathPara>
    </w:p>
    <w:p w14:paraId="6211BCE5" w14:textId="0AFC20CD" w:rsidR="00C03A9B" w:rsidRPr="00C03A9B" w:rsidRDefault="00C03A9B" w:rsidP="00C03A9B">
      <w:r w:rsidRPr="00C03A9B">
        <w:t xml:space="preserve">mit den Dimensionen Kognition </w:t>
      </w:r>
      <w:proofErr w:type="spellStart"/>
      <w:r w:rsidRPr="00C03A9B">
        <w:t>x</w:t>
      </w:r>
      <w:r w:rsidRPr="00C03A9B">
        <w:rPr>
          <w:vertAlign w:val="subscript"/>
        </w:rPr>
        <w:t>k</w:t>
      </w:r>
      <w:proofErr w:type="spellEnd"/>
      <w:r w:rsidR="002F1D8C" w:rsidRPr="00C03A9B">
        <w:t xml:space="preserve"> </w:t>
      </w:r>
      <w:r w:rsidRPr="00C03A9B">
        <w:t xml:space="preserve">​, Soziales </w:t>
      </w:r>
      <w:proofErr w:type="spellStart"/>
      <w:r w:rsidRPr="00C03A9B">
        <w:t>x</w:t>
      </w:r>
      <w:r w:rsidRPr="00C03A9B">
        <w:rPr>
          <w:vertAlign w:val="subscript"/>
        </w:rPr>
        <w:t>s</w:t>
      </w:r>
      <w:proofErr w:type="spellEnd"/>
      <w:r w:rsidR="002F1D8C" w:rsidRPr="00C03A9B">
        <w:t xml:space="preserve"> </w:t>
      </w:r>
      <w:r w:rsidRPr="00C03A9B">
        <w:t xml:space="preserve">​, Affekt </w:t>
      </w:r>
      <w:proofErr w:type="spellStart"/>
      <w:r w:rsidRPr="00C03A9B">
        <w:t>x</w:t>
      </w:r>
      <w:r w:rsidRPr="00C03A9B">
        <w:rPr>
          <w:vertAlign w:val="subscript"/>
        </w:rPr>
        <w:t>a</w:t>
      </w:r>
      <w:proofErr w:type="spellEnd"/>
      <w:r w:rsidR="002F1D8C" w:rsidRPr="00C03A9B">
        <w:t xml:space="preserve"> </w:t>
      </w:r>
      <w:r w:rsidRPr="00C03A9B">
        <w:t xml:space="preserve">​, Motivation </w:t>
      </w:r>
      <w:proofErr w:type="spellStart"/>
      <w:r w:rsidRPr="00C03A9B">
        <w:t>x</w:t>
      </w:r>
      <w:r w:rsidRPr="00C03A9B">
        <w:rPr>
          <w:vertAlign w:val="subscript"/>
        </w:rPr>
        <w:t>m</w:t>
      </w:r>
      <w:proofErr w:type="spellEnd"/>
      <w:r w:rsidR="002F1D8C" w:rsidRPr="00C03A9B">
        <w:t xml:space="preserve"> </w:t>
      </w:r>
      <w:r w:rsidRPr="00C03A9B">
        <w:t xml:space="preserve">​, Methodik </w:t>
      </w:r>
      <w:proofErr w:type="spellStart"/>
      <w:r w:rsidRPr="00C03A9B">
        <w:t>x</w:t>
      </w:r>
      <w:r w:rsidRPr="00C03A9B">
        <w:rPr>
          <w:vertAlign w:val="subscript"/>
        </w:rPr>
        <w:t>me</w:t>
      </w:r>
      <w:proofErr w:type="spellEnd"/>
      <w:r w:rsidR="002F1D8C" w:rsidRPr="00C03A9B">
        <w:t xml:space="preserve"> </w:t>
      </w:r>
      <w:r w:rsidRPr="00C03A9B">
        <w:t xml:space="preserve">​, Performanz </w:t>
      </w:r>
      <w:proofErr w:type="spellStart"/>
      <w:r w:rsidRPr="00C03A9B">
        <w:t>x</w:t>
      </w:r>
      <w:r w:rsidRPr="00C03A9B">
        <w:rPr>
          <w:vertAlign w:val="subscript"/>
        </w:rPr>
        <w:t>p</w:t>
      </w:r>
      <w:proofErr w:type="spellEnd"/>
      <w:r w:rsidR="002F1D8C" w:rsidRPr="00C03A9B">
        <w:t xml:space="preserve"> </w:t>
      </w:r>
      <w:r w:rsidRPr="00C03A9B">
        <w:t xml:space="preserve">​ und Regulation </w:t>
      </w:r>
      <w:proofErr w:type="spellStart"/>
      <w:r w:rsidRPr="00C03A9B">
        <w:t>x</w:t>
      </w:r>
      <w:r w:rsidRPr="00C03A9B">
        <w:rPr>
          <w:vertAlign w:val="subscript"/>
        </w:rPr>
        <w:t>r</w:t>
      </w:r>
      <w:proofErr w:type="spellEnd"/>
      <w:r w:rsidR="002F1D8C" w:rsidRPr="00C03A9B">
        <w:t xml:space="preserve"> </w:t>
      </w:r>
      <w:r w:rsidRPr="00C03A9B">
        <w:t>​. Der bildungspolitische Anspruch impliziert damit eine Abbildung der Form</w:t>
      </w:r>
    </w:p>
    <w:p w14:paraId="5D888A49" w14:textId="679A1278" w:rsidR="00C03A9B" w:rsidRPr="00C03A9B" w:rsidRDefault="002F1D8C" w:rsidP="00C03A9B">
      <m:oMathPara>
        <m:oMath>
          <m:r>
            <w:rPr>
              <w:rFonts w:ascii="Cambria Math" w:hAnsi="Cambria Math"/>
            </w:rPr>
            <m:t>Φ:</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oMath>
      </m:oMathPara>
    </w:p>
    <w:p w14:paraId="5A2DFE57" w14:textId="77777777" w:rsidR="00C03A9B" w:rsidRPr="00C03A9B" w:rsidRDefault="00C03A9B" w:rsidP="00C03A9B">
      <w:r w:rsidRPr="00C03A9B">
        <w:t>also die Überführung kognitiver Zustände in performative Handlungsfähigkeit.</w:t>
      </w:r>
    </w:p>
    <w:p w14:paraId="3183380F" w14:textId="77777777" w:rsidR="00C03A9B" w:rsidRPr="00C03A9B" w:rsidRDefault="00C03A9B" w:rsidP="00C03A9B">
      <w:r w:rsidRPr="00C03A9B">
        <w:t>Die empirische Analyse der Datenbasis zeigt jedoch konsistent, dass diese Abbildung nicht stabil realisiert wird. In zahlreichen Fällen treten Konstellationen auf, in denen kognitive Kompetenz vorhanden ist, ohne dass eine entsprechende performative Umsetzung erfolgt. Typische Muster sind dabei:</w:t>
      </w:r>
    </w:p>
    <w:p w14:paraId="120A52DF" w14:textId="77777777" w:rsidR="00C03A9B" w:rsidRPr="00C03A9B" w:rsidRDefault="00C03A9B" w:rsidP="00C03A9B">
      <w:pPr>
        <w:numPr>
          <w:ilvl w:val="0"/>
          <w:numId w:val="4"/>
        </w:numPr>
      </w:pPr>
      <w:r w:rsidRPr="00C03A9B">
        <w:t xml:space="preserve">vorhandenes Verständnis bei gleichzeitigem Scheitern an Aufgabenstellungen </w:t>
      </w:r>
    </w:p>
    <w:p w14:paraId="3119EA10" w14:textId="77777777" w:rsidR="00C03A9B" w:rsidRPr="00C03A9B" w:rsidRDefault="00C03A9B" w:rsidP="00C03A9B">
      <w:pPr>
        <w:numPr>
          <w:ilvl w:val="0"/>
          <w:numId w:val="4"/>
        </w:numPr>
      </w:pPr>
      <w:r w:rsidRPr="00C03A9B">
        <w:t xml:space="preserve">eingeschränkte Anwendungsfähigkeit unter Druckbedingungen </w:t>
      </w:r>
    </w:p>
    <w:p w14:paraId="4A35325E" w14:textId="77777777" w:rsidR="00C03A9B" w:rsidRPr="00C03A9B" w:rsidRDefault="00C03A9B" w:rsidP="00C03A9B">
      <w:pPr>
        <w:numPr>
          <w:ilvl w:val="0"/>
          <w:numId w:val="4"/>
        </w:numPr>
      </w:pPr>
      <w:r w:rsidRPr="00C03A9B">
        <w:t xml:space="preserve">Schwierigkeiten bei der Interpretation von Operatoren </w:t>
      </w:r>
    </w:p>
    <w:p w14:paraId="75DA0FB8" w14:textId="77777777" w:rsidR="00C03A9B" w:rsidRPr="00C03A9B" w:rsidRDefault="00C03A9B" w:rsidP="00C03A9B">
      <w:pPr>
        <w:numPr>
          <w:ilvl w:val="0"/>
          <w:numId w:val="4"/>
        </w:numPr>
      </w:pPr>
      <w:r w:rsidRPr="00C03A9B">
        <w:t xml:space="preserve">mangelnde Übertragbarkeit auf neue Kontexte </w:t>
      </w:r>
    </w:p>
    <w:p w14:paraId="499A024D" w14:textId="77777777" w:rsidR="00C03A9B" w:rsidRPr="00C03A9B" w:rsidRDefault="00C03A9B" w:rsidP="00C03A9B">
      <w:r w:rsidRPr="00C03A9B">
        <w:t xml:space="preserve">Diese Strukturen sind nicht singulär, sondern wiederkehrend im gesamten Datensatz </w:t>
      </w:r>
      <w:proofErr w:type="gramStart"/>
      <w:r w:rsidRPr="00C03A9B">
        <w:t>dokumentiert .</w:t>
      </w:r>
      <w:proofErr w:type="gramEnd"/>
      <w:r w:rsidRPr="00C03A9B">
        <w:t xml:space="preserve"> Damit ergibt sich formal:</w:t>
      </w:r>
    </w:p>
    <w:p w14:paraId="34571293" w14:textId="159A876D" w:rsidR="00C03A9B" w:rsidRPr="00C03A9B" w:rsidRDefault="002F1D8C" w:rsidP="00C03A9B">
      <m:oMathPara>
        <m:oMath>
          <m:r>
            <w:rPr>
              <w:rFonts w:ascii="Cambria Math" w:hAnsi="Cambria Math" w:cs="Cambria Math"/>
            </w:rPr>
            <m:t>∃</m:t>
          </m:r>
          <m:sSub>
            <m:sSubPr>
              <m:ctrlPr>
                <w:rPr>
                  <w:rFonts w:ascii="Cambria Math" w:hAnsi="Cambria Math"/>
                  <w:i/>
                </w:rPr>
              </m:ctrlPr>
            </m:sSubPr>
            <m:e>
              <m:r>
                <w:rPr>
                  <w:rFonts w:ascii="Cambria Math" w:hAnsi="Cambria Math"/>
                </w:rPr>
                <m:t>S</m:t>
              </m:r>
              <m:ctrlPr>
                <w:rPr>
                  <w:rFonts w:ascii="Cambria Math" w:hAnsi="Cambria Math" w:cs="Cambria Math"/>
                  <w:i/>
                </w:rPr>
              </m:ctrlPr>
            </m:e>
            <m:sub>
              <m:r>
                <w:rPr>
                  <w:rFonts w:ascii="Cambria Math" w:hAnsi="Cambria Math"/>
                </w:rPr>
                <m:t>i</m:t>
              </m:r>
            </m:sub>
          </m:sSub>
          <m:r>
            <w:rPr>
              <w:rFonts w:ascii="Cambria Math" w:hAnsi="Cambria Math"/>
            </w:rPr>
            <m:t>:xk(</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r>
            <w:rPr>
              <w:rFonts w:ascii="Cambria Math" w:hAnsi="Cambria Math" w:cs="Cambria Math"/>
            </w:rPr>
            <m:t>≫</m:t>
          </m:r>
          <m:r>
            <w:rPr>
              <w:rFonts w:ascii="Cambria Math" w:hAnsi="Cambria Math"/>
            </w:rPr>
            <m:t>0</m:t>
          </m:r>
          <m:r>
            <w:rPr>
              <w:rFonts w:ascii="Cambria Math" w:hAnsi="Cambria Math" w:cs="Calibri"/>
            </w:rPr>
            <m:t>  </m:t>
          </m:r>
          <m:r>
            <w:rPr>
              <w:rFonts w:ascii="Cambria Math" w:hAnsi="Cambria Math" w:cs="Cambria Math"/>
            </w:rPr>
            <m:t>∧</m:t>
          </m:r>
          <m:r>
            <w:rPr>
              <w:rFonts w:ascii="Cambria Math" w:hAnsi="Cambria Math" w:cs="Calibri"/>
            </w:rPr>
            <m:t>  </m:t>
          </m:r>
          <m:sSub>
            <m:sSubPr>
              <m:ctrlPr>
                <w:rPr>
                  <w:rFonts w:ascii="Cambria Math" w:hAnsi="Cambria Math"/>
                  <w:i/>
                </w:rPr>
              </m:ctrlPr>
            </m:sSubPr>
            <m:e>
              <m:r>
                <w:rPr>
                  <w:rFonts w:ascii="Cambria Math" w:hAnsi="Cambria Math"/>
                </w:rPr>
                <m:t>x</m:t>
              </m:r>
              <m:ctrlPr>
                <w:rPr>
                  <w:rFonts w:ascii="Cambria Math" w:hAnsi="Cambria Math" w:cs="Calibri"/>
                  <w:i/>
                </w:rPr>
              </m:ctrlP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r>
            <w:rPr>
              <w:rFonts w:ascii="Cambria Math" w:hAnsi="Cambria Math" w:cs="Calibri"/>
            </w:rPr>
            <m:t>≈</m:t>
          </m:r>
          <m:r>
            <w:rPr>
              <w:rFonts w:ascii="Cambria Math" w:hAnsi="Cambria Math"/>
            </w:rPr>
            <m:t>0</m:t>
          </m:r>
        </m:oMath>
      </m:oMathPara>
    </w:p>
    <w:p w14:paraId="0B7059A3" w14:textId="2F226F26" w:rsidR="00C03A9B" w:rsidRPr="00C03A9B" w:rsidRDefault="00C03A9B" w:rsidP="00C03A9B">
      <w:r w:rsidRPr="00C03A9B">
        <w:t xml:space="preserve">Die Abbildung Φ ist somit empirisch weder </w:t>
      </w:r>
      <w:proofErr w:type="spellStart"/>
      <w:r w:rsidRPr="00C03A9B">
        <w:t>injektiv</w:t>
      </w:r>
      <w:proofErr w:type="spellEnd"/>
      <w:r w:rsidRPr="00C03A9B">
        <w:t xml:space="preserve"> noch surjektiv, sondern strukturell gestört. Wissen stellt keine hinreichende Bedingung für Anwendung dar. Diese Entkopplung wird auch in der kognitionspsychologischen Transferforschung bestätigt, die zeigt, dass Wissen häufig kontextgebunden bleibt und nicht spontan auf neue Situationen übertragen wird [3].</w:t>
      </w:r>
    </w:p>
    <w:p w14:paraId="702B7996" w14:textId="77777777" w:rsidR="00C03A9B" w:rsidRPr="00C03A9B" w:rsidRDefault="00C03A9B" w:rsidP="00C03A9B">
      <w:r w:rsidRPr="00C03A9B">
        <w:t>Die modelllogische Verdichtung dieses Befundes führt zu einer zentralen notwendigen Bedingung für performative Stabilität:</w:t>
      </w:r>
    </w:p>
    <w:p w14:paraId="4EE4523F" w14:textId="4D2EA1BC" w:rsidR="00C03A9B" w:rsidRPr="00C03A9B" w:rsidRDefault="002F1D8C" w:rsidP="00C03A9B">
      <m:oMathPara>
        <m:oMath>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)&gt;0  </m:t>
          </m:r>
          <m:r>
            <w:rPr>
              <w:rFonts w:ascii="Cambria Math" w:hAnsi="Cambria Math" w:cs="Cambria Math"/>
            </w:rPr>
            <m:t>⇒</m:t>
          </m:r>
          <m:r>
            <w:rPr>
              <w:rFonts w:ascii="Cambria Math" w:hAnsi="Cambria Math" w:cs="Calibri"/>
            </w:rPr>
            <m:t>  </m:t>
          </m:r>
          <m:r>
            <w:rPr>
              <w:rFonts w:ascii="Cambria Math" w:hAnsi="Cambria Math"/>
            </w:rPr>
            <m:t>min</m:t>
          </m:r>
          <m: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me</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)&gt;0 </m:t>
          </m:r>
        </m:oMath>
      </m:oMathPara>
    </w:p>
    <w:p w14:paraId="28342450" w14:textId="77777777" w:rsidR="00C03A9B" w:rsidRPr="00C03A9B" w:rsidRDefault="00C03A9B" w:rsidP="00C03A9B">
      <w:r w:rsidRPr="00C03A9B">
        <w:lastRenderedPageBreak/>
        <w:t>Performanz entsteht demnach ausschließlich dann, wenn mehrere Dimensionen simultan positiv ausgeprägt sind. Insbesondere zeigen die Daten, dass Regulation und Methodik als Vermittlungsinstanzen zwischen Wissen und Handlung fungieren. Ohne diese bleibt Wissen isoliert und handlungsunwirksam. Diese Mehrdimensionalität wird durch Studien zur Selbstregulation und Metakognition gestützt, die deren zentrale Rolle für erfolgreiche Lernanwendung belegen [4].</w:t>
      </w:r>
    </w:p>
    <w:p w14:paraId="7361DA57" w14:textId="77777777" w:rsidR="00C03A9B" w:rsidRPr="00C03A9B" w:rsidRDefault="00C03A9B" w:rsidP="00C03A9B">
      <w:r w:rsidRPr="00C03A9B">
        <w:t>Hier zeigt sich ein grundlegender Bruch zum bildungspolitischen Modell. Während dieses häufig implizit von einer linearen Fortschreibung ausgeht,</w:t>
      </w:r>
    </w:p>
    <w:p w14:paraId="0C022E2D" w14:textId="0564C1C6" w:rsidR="00C03A9B" w:rsidRPr="00C03A9B" w:rsidRDefault="002F1D8C" w:rsidP="00C03A9B">
      <m:oMathPara>
        <m:oMath>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+ΔS </m:t>
          </m:r>
        </m:oMath>
      </m:oMathPara>
    </w:p>
    <w:p w14:paraId="4AB21D7C" w14:textId="77777777" w:rsidR="00C03A9B" w:rsidRPr="00C03A9B" w:rsidRDefault="00C03A9B" w:rsidP="00C03A9B">
      <w:r w:rsidRPr="00C03A9B">
        <w:t>zeigt die empirische Realität im FRZK eine nichtlineare Dynamik:</w:t>
      </w:r>
    </w:p>
    <w:p w14:paraId="2E21ED2C" w14:textId="21AA27DD" w:rsidR="00C03A9B" w:rsidRPr="00C03A9B" w:rsidRDefault="002F1D8C" w:rsidP="00C03A9B">
      <m:oMathPara>
        <m:oMath>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669483A1" w14:textId="17C814D1" w:rsidR="00C03A9B" w:rsidRPr="00C03A9B" w:rsidRDefault="00C03A9B" w:rsidP="00C03A9B">
      <w:r w:rsidRPr="00C03A9B">
        <w:t>wobei T stark von der Kohärenz zwischen den Dimensionen abhängt. Der Übergang von Wissen zu Anwendung ist kein automatischer Prozess, sondern das Ergebnis eines kohärenzabhängigen Transformationsvorgangs. Diese nichtlinearen Lernprozesse werden auch in komplexitätstheoretischen Bildungsansätzen beschrieben [5].</w:t>
      </w:r>
    </w:p>
    <w:p w14:paraId="6A8A9EBD" w14:textId="77777777" w:rsidR="00C03A9B" w:rsidRPr="00C03A9B" w:rsidRDefault="00C03A9B" w:rsidP="00C03A9B">
      <w:r w:rsidRPr="00C03A9B">
        <w:t>Didaktisch ergibt sich daraus eine grundlegende Neubewertung von Unterricht. Wenn Wissen nicht automatisch in Anwendung übergeht, muss der Fokus verschoben werden: weg von der Vermittlung von Inhalten, hin zur gezielten Stabilisierung der Übergänge zwischen den Dimensionen. Insbesondere sind folgende Bereiche zentral:</w:t>
      </w:r>
    </w:p>
    <w:p w14:paraId="62F89E09" w14:textId="77777777" w:rsidR="00C03A9B" w:rsidRPr="00C03A9B" w:rsidRDefault="00C03A9B" w:rsidP="00C03A9B">
      <w:pPr>
        <w:numPr>
          <w:ilvl w:val="0"/>
          <w:numId w:val="5"/>
        </w:numPr>
      </w:pPr>
      <w:r w:rsidRPr="00C03A9B">
        <w:rPr>
          <w:b/>
          <w:bCs/>
        </w:rPr>
        <w:t>Regulation</w:t>
      </w:r>
      <w:r w:rsidRPr="00C03A9B">
        <w:t xml:space="preserve">: Aufbau von Strategien zur Selbststeuerung und Aufgabenbewältigung </w:t>
      </w:r>
    </w:p>
    <w:p w14:paraId="76D3B641" w14:textId="77777777" w:rsidR="00C03A9B" w:rsidRPr="00C03A9B" w:rsidRDefault="00C03A9B" w:rsidP="00C03A9B">
      <w:pPr>
        <w:numPr>
          <w:ilvl w:val="0"/>
          <w:numId w:val="5"/>
        </w:numPr>
      </w:pPr>
      <w:r w:rsidRPr="00C03A9B">
        <w:rPr>
          <w:b/>
          <w:bCs/>
        </w:rPr>
        <w:t>Methodik</w:t>
      </w:r>
      <w:r w:rsidRPr="00C03A9B">
        <w:t xml:space="preserve">: Strukturierung von Lösungsprozessen und Visualisierung von Denkwegen </w:t>
      </w:r>
    </w:p>
    <w:p w14:paraId="3303C689" w14:textId="77777777" w:rsidR="00C03A9B" w:rsidRPr="00C03A9B" w:rsidRDefault="00C03A9B" w:rsidP="00C03A9B">
      <w:pPr>
        <w:numPr>
          <w:ilvl w:val="0"/>
          <w:numId w:val="5"/>
        </w:numPr>
      </w:pPr>
      <w:r w:rsidRPr="00C03A9B">
        <w:rPr>
          <w:b/>
          <w:bCs/>
        </w:rPr>
        <w:t>Operatorverständnis</w:t>
      </w:r>
      <w:r w:rsidRPr="00C03A9B">
        <w:t xml:space="preserve">: explizite Analyse und Einübung von Aufgabenanforderungen </w:t>
      </w:r>
    </w:p>
    <w:p w14:paraId="32E45767" w14:textId="77777777" w:rsidR="00C03A9B" w:rsidRPr="00C03A9B" w:rsidRDefault="00C03A9B" w:rsidP="00C03A9B">
      <w:pPr>
        <w:numPr>
          <w:ilvl w:val="0"/>
          <w:numId w:val="5"/>
        </w:numPr>
      </w:pPr>
      <w:r w:rsidRPr="00C03A9B">
        <w:rPr>
          <w:b/>
          <w:bCs/>
        </w:rPr>
        <w:t>Anwendungskontexte</w:t>
      </w:r>
      <w:r w:rsidRPr="00C03A9B">
        <w:t xml:space="preserve">: systematische Variation von Problemsituationen </w:t>
      </w:r>
    </w:p>
    <w:p w14:paraId="7CF9D7E4" w14:textId="1E3B4C0A" w:rsidR="00C03A9B" w:rsidRPr="00C03A9B" w:rsidRDefault="00C03A9B" w:rsidP="00C03A9B">
      <w:r w:rsidRPr="00C03A9B">
        <w:t>Konkrete Handlungsempfehlungen ergeben sich daraus unmittelbar. Aufgaben sollten nicht primär als Wissensabfrage gestaltet werden, sondern als explizite Trainingsräume für Operatoren. Lernende müssen systematisch darin geschult werden, Aufgaben zu analysieren, Lösungsstrategien zu planen und ihre Vorgehensweise zu reflektieren. Darüber hinaus ist es notwendig, Anwendungssituationen bewusst unter variierenden Bedingungen zu erzeugen, um die Stabilität des Transformationsoperators Φ zu erhöhen. Diese Perspektive deckt sich mit didaktischen Ansätzen des „</w:t>
      </w:r>
      <w:proofErr w:type="spellStart"/>
      <w:r w:rsidRPr="00C03A9B">
        <w:t>deliberate</w:t>
      </w:r>
      <w:proofErr w:type="spellEnd"/>
      <w:r w:rsidRPr="00C03A9B">
        <w:t xml:space="preserve"> </w:t>
      </w:r>
      <w:proofErr w:type="spellStart"/>
      <w:r w:rsidRPr="00C03A9B">
        <w:t>practice</w:t>
      </w:r>
      <w:proofErr w:type="spellEnd"/>
      <w:r w:rsidRPr="00C03A9B">
        <w:t>“ und der strukturierten Übungsformate [6].</w:t>
      </w:r>
    </w:p>
    <w:p w14:paraId="17DC3EFD" w14:textId="77777777" w:rsidR="00C03A9B" w:rsidRPr="00C03A9B" w:rsidRDefault="00C03A9B" w:rsidP="00C03A9B">
      <w:r w:rsidRPr="00C03A9B">
        <w:t>Der zentrale Befund dieses Abschnitts lässt sich damit prägnant zusammenfassen:</w:t>
      </w:r>
    </w:p>
    <w:p w14:paraId="77693ECE" w14:textId="77777777" w:rsidR="00C03A9B" w:rsidRPr="00C03A9B" w:rsidRDefault="00C03A9B" w:rsidP="00C03A9B">
      <w:r w:rsidRPr="00C03A9B">
        <w:t>Die empirischen Daten zeigen, dass die Kopplung von Wissen und Anwendung kein gegebenes, sondern ein herzustellendes Verhältnis ist.</w:t>
      </w:r>
    </w:p>
    <w:p w14:paraId="1B9B6F4E" w14:textId="77777777" w:rsidR="00C03A9B" w:rsidRPr="00C03A9B" w:rsidRDefault="00C03A9B" w:rsidP="00C03A9B">
      <w:r w:rsidRPr="00C03A9B">
        <w:t>Damit verschiebt sich die Rolle der Lehrkraft grundlegend. Sie ist nicht primär Vermittlerin von Wissen, sondern Gestalterin von Übergängen im Zustandsraum. Unterricht wird so zu einem Prozess der kohärenzbasierten Transformation, in dem die Fähigkeit zur Anwendung nicht vorausgesetzt, sondern systematisch erzeugt werden muss.</w:t>
      </w:r>
    </w:p>
    <w:p w14:paraId="3509D097" w14:textId="77777777" w:rsidR="00C03A9B" w:rsidRPr="00C03A9B" w:rsidRDefault="00C03A9B" w:rsidP="00C03A9B">
      <w:r w:rsidRPr="00C03A9B">
        <w:pict w14:anchorId="0548DEBE">
          <v:rect id="_x0000_i1031" style="width:0;height:1.5pt" o:hralign="center" o:hrstd="t" o:hr="t" fillcolor="#a0a0a0" stroked="f"/>
        </w:pict>
      </w:r>
    </w:p>
    <w:p w14:paraId="5493EEBF" w14:textId="77777777" w:rsidR="00C03A9B" w:rsidRPr="00C03A9B" w:rsidRDefault="00C03A9B" w:rsidP="00C03A9B">
      <w:pPr>
        <w:rPr>
          <w:b/>
          <w:bCs/>
        </w:rPr>
      </w:pPr>
      <w:r w:rsidRPr="00C03A9B">
        <w:rPr>
          <w:b/>
          <w:bCs/>
        </w:rPr>
        <w:t>Quellenverzeichnis</w:t>
      </w:r>
    </w:p>
    <w:p w14:paraId="4A3AF093" w14:textId="77777777" w:rsidR="00C03A9B" w:rsidRPr="00C03A9B" w:rsidRDefault="00C03A9B" w:rsidP="00C03A9B">
      <w:r w:rsidRPr="00C03A9B">
        <w:lastRenderedPageBreak/>
        <w:t xml:space="preserve">[1] Organisation </w:t>
      </w:r>
      <w:proofErr w:type="spellStart"/>
      <w:r w:rsidRPr="00C03A9B">
        <w:t>for</w:t>
      </w:r>
      <w:proofErr w:type="spellEnd"/>
      <w:r w:rsidRPr="00C03A9B">
        <w:t xml:space="preserve"> </w:t>
      </w:r>
      <w:proofErr w:type="spellStart"/>
      <w:r w:rsidRPr="00C03A9B">
        <w:t>Economic</w:t>
      </w:r>
      <w:proofErr w:type="spellEnd"/>
      <w:r w:rsidRPr="00C03A9B">
        <w:t xml:space="preserve"> Co-operation and Development (OECD): </w:t>
      </w:r>
      <w:r w:rsidRPr="00C03A9B">
        <w:rPr>
          <w:i/>
          <w:iCs/>
        </w:rPr>
        <w:t>OECD Learning Compass 2030</w:t>
      </w:r>
      <w:r w:rsidRPr="00C03A9B">
        <w:t>. Paris, 2019.</w:t>
      </w:r>
      <w:r w:rsidRPr="00C03A9B">
        <w:br/>
        <w:t xml:space="preserve">[2] John Hattie: </w:t>
      </w:r>
      <w:r w:rsidRPr="00C03A9B">
        <w:rPr>
          <w:i/>
          <w:iCs/>
        </w:rPr>
        <w:t xml:space="preserve">Visible Learning: A Synthesis </w:t>
      </w:r>
      <w:proofErr w:type="spellStart"/>
      <w:r w:rsidRPr="00C03A9B">
        <w:rPr>
          <w:i/>
          <w:iCs/>
        </w:rPr>
        <w:t>of</w:t>
      </w:r>
      <w:proofErr w:type="spellEnd"/>
      <w:r w:rsidRPr="00C03A9B">
        <w:rPr>
          <w:i/>
          <w:iCs/>
        </w:rPr>
        <w:t xml:space="preserve"> Over 800 Meta-</w:t>
      </w:r>
      <w:proofErr w:type="spellStart"/>
      <w:r w:rsidRPr="00C03A9B">
        <w:rPr>
          <w:i/>
          <w:iCs/>
        </w:rPr>
        <w:t>Analyses</w:t>
      </w:r>
      <w:proofErr w:type="spellEnd"/>
      <w:r w:rsidRPr="00C03A9B">
        <w:rPr>
          <w:i/>
          <w:iCs/>
        </w:rPr>
        <w:t xml:space="preserve"> </w:t>
      </w:r>
      <w:proofErr w:type="spellStart"/>
      <w:r w:rsidRPr="00C03A9B">
        <w:rPr>
          <w:i/>
          <w:iCs/>
        </w:rPr>
        <w:t>Relating</w:t>
      </w:r>
      <w:proofErr w:type="spellEnd"/>
      <w:r w:rsidRPr="00C03A9B">
        <w:rPr>
          <w:i/>
          <w:iCs/>
        </w:rPr>
        <w:t xml:space="preserve"> </w:t>
      </w:r>
      <w:proofErr w:type="spellStart"/>
      <w:r w:rsidRPr="00C03A9B">
        <w:rPr>
          <w:i/>
          <w:iCs/>
        </w:rPr>
        <w:t>to</w:t>
      </w:r>
      <w:proofErr w:type="spellEnd"/>
      <w:r w:rsidRPr="00C03A9B">
        <w:rPr>
          <w:i/>
          <w:iCs/>
        </w:rPr>
        <w:t xml:space="preserve"> Achievement</w:t>
      </w:r>
      <w:r w:rsidRPr="00C03A9B">
        <w:t>. Routledge, 2009.</w:t>
      </w:r>
      <w:r w:rsidRPr="00C03A9B">
        <w:br/>
        <w:t xml:space="preserve">[3] David N. Perkins &amp; </w:t>
      </w:r>
      <w:proofErr w:type="spellStart"/>
      <w:r w:rsidRPr="00C03A9B">
        <w:t>Gavriel</w:t>
      </w:r>
      <w:proofErr w:type="spellEnd"/>
      <w:r w:rsidRPr="00C03A9B">
        <w:t xml:space="preserve"> Salomon: “Transfer </w:t>
      </w:r>
      <w:proofErr w:type="spellStart"/>
      <w:r w:rsidRPr="00C03A9B">
        <w:t>of</w:t>
      </w:r>
      <w:proofErr w:type="spellEnd"/>
      <w:r w:rsidRPr="00C03A9B">
        <w:t xml:space="preserve"> Learning”. In: </w:t>
      </w:r>
      <w:r w:rsidRPr="00C03A9B">
        <w:rPr>
          <w:i/>
          <w:iCs/>
        </w:rPr>
        <w:t xml:space="preserve">International Encyclopedia </w:t>
      </w:r>
      <w:proofErr w:type="spellStart"/>
      <w:r w:rsidRPr="00C03A9B">
        <w:rPr>
          <w:i/>
          <w:iCs/>
        </w:rPr>
        <w:t>of</w:t>
      </w:r>
      <w:proofErr w:type="spellEnd"/>
      <w:r w:rsidRPr="00C03A9B">
        <w:rPr>
          <w:i/>
          <w:iCs/>
        </w:rPr>
        <w:t xml:space="preserve"> Education</w:t>
      </w:r>
      <w:r w:rsidRPr="00C03A9B">
        <w:t>, 1992.</w:t>
      </w:r>
      <w:r w:rsidRPr="00C03A9B">
        <w:br/>
        <w:t>[4] Barry J. Zimmerman: “</w:t>
      </w:r>
      <w:proofErr w:type="spellStart"/>
      <w:r w:rsidRPr="00C03A9B">
        <w:t>Becoming</w:t>
      </w:r>
      <w:proofErr w:type="spellEnd"/>
      <w:r w:rsidRPr="00C03A9B">
        <w:t xml:space="preserve"> a Self-</w:t>
      </w:r>
      <w:proofErr w:type="spellStart"/>
      <w:r w:rsidRPr="00C03A9B">
        <w:t>Regulated</w:t>
      </w:r>
      <w:proofErr w:type="spellEnd"/>
      <w:r w:rsidRPr="00C03A9B">
        <w:t xml:space="preserve"> </w:t>
      </w:r>
      <w:proofErr w:type="spellStart"/>
      <w:r w:rsidRPr="00C03A9B">
        <w:t>Learner</w:t>
      </w:r>
      <w:proofErr w:type="spellEnd"/>
      <w:r w:rsidRPr="00C03A9B">
        <w:t xml:space="preserve">”. </w:t>
      </w:r>
      <w:r w:rsidRPr="00C03A9B">
        <w:rPr>
          <w:i/>
          <w:iCs/>
        </w:rPr>
        <w:t xml:space="preserve">Theory </w:t>
      </w:r>
      <w:proofErr w:type="spellStart"/>
      <w:r w:rsidRPr="00C03A9B">
        <w:rPr>
          <w:i/>
          <w:iCs/>
        </w:rPr>
        <w:t>Into</w:t>
      </w:r>
      <w:proofErr w:type="spellEnd"/>
      <w:r w:rsidRPr="00C03A9B">
        <w:rPr>
          <w:i/>
          <w:iCs/>
        </w:rPr>
        <w:t xml:space="preserve"> Practice</w:t>
      </w:r>
      <w:r w:rsidRPr="00C03A9B">
        <w:t>, 2002.</w:t>
      </w:r>
      <w:r w:rsidRPr="00C03A9B">
        <w:br/>
        <w:t xml:space="preserve">[5] Paul </w:t>
      </w:r>
      <w:proofErr w:type="spellStart"/>
      <w:r w:rsidRPr="00C03A9B">
        <w:t>Cilliers</w:t>
      </w:r>
      <w:proofErr w:type="spellEnd"/>
      <w:r w:rsidRPr="00C03A9B">
        <w:t xml:space="preserve">: </w:t>
      </w:r>
      <w:proofErr w:type="spellStart"/>
      <w:r w:rsidRPr="00C03A9B">
        <w:rPr>
          <w:i/>
          <w:iCs/>
        </w:rPr>
        <w:t>Complexity</w:t>
      </w:r>
      <w:proofErr w:type="spellEnd"/>
      <w:r w:rsidRPr="00C03A9B">
        <w:rPr>
          <w:i/>
          <w:iCs/>
        </w:rPr>
        <w:t xml:space="preserve"> and </w:t>
      </w:r>
      <w:proofErr w:type="spellStart"/>
      <w:r w:rsidRPr="00C03A9B">
        <w:rPr>
          <w:i/>
          <w:iCs/>
        </w:rPr>
        <w:t>Postmodernism</w:t>
      </w:r>
      <w:proofErr w:type="spellEnd"/>
      <w:r w:rsidRPr="00C03A9B">
        <w:t>. Routledge, 1998.</w:t>
      </w:r>
      <w:r w:rsidRPr="00C03A9B">
        <w:br/>
        <w:t>[6] K. Anders Ericsson: “</w:t>
      </w:r>
      <w:proofErr w:type="spellStart"/>
      <w:r w:rsidRPr="00C03A9B">
        <w:t>Deliberate</w:t>
      </w:r>
      <w:proofErr w:type="spellEnd"/>
      <w:r w:rsidRPr="00C03A9B">
        <w:t xml:space="preserve"> Practice and </w:t>
      </w:r>
      <w:proofErr w:type="spellStart"/>
      <w:r w:rsidRPr="00C03A9B">
        <w:t>the</w:t>
      </w:r>
      <w:proofErr w:type="spellEnd"/>
      <w:r w:rsidRPr="00C03A9B">
        <w:t xml:space="preserve"> Acquisition </w:t>
      </w:r>
      <w:proofErr w:type="spellStart"/>
      <w:r w:rsidRPr="00C03A9B">
        <w:t>of</w:t>
      </w:r>
      <w:proofErr w:type="spellEnd"/>
      <w:r w:rsidRPr="00C03A9B">
        <w:t xml:space="preserve"> Expert Performance”. </w:t>
      </w:r>
      <w:r w:rsidRPr="00C03A9B">
        <w:rPr>
          <w:i/>
          <w:iCs/>
        </w:rPr>
        <w:t>Psychological Review</w:t>
      </w:r>
      <w:r w:rsidRPr="00C03A9B">
        <w:t>, 1993.</w:t>
      </w:r>
    </w:p>
    <w:p w14:paraId="1C889980" w14:textId="77777777" w:rsidR="006060F8" w:rsidRPr="006060F8" w:rsidRDefault="006060F8" w:rsidP="006060F8">
      <w:pPr>
        <w:pStyle w:val="berschrift3"/>
      </w:pPr>
      <w:r w:rsidRPr="006060F8">
        <w:t>6.x.2 Methodik als Stabilitätsoperator im kohärenzbasierten Lernsystem</w:t>
      </w:r>
    </w:p>
    <w:p w14:paraId="3F757EB2" w14:textId="77777777" w:rsidR="006060F8" w:rsidRPr="006060F8" w:rsidRDefault="006060F8" w:rsidP="006060F8">
      <w:r w:rsidRPr="006060F8">
        <w:t xml:space="preserve">Bildungspolitische Programme betonen seit mehreren Jahrzehnten die Bedeutung methodischer Kompetenzen als Bestandteil nachhaltigen Lernens. Insbesondere im Kontext der Kompetenzorientierung wird davon ausgegangen, dass Lernende über Strategien verfügen sollen, um Inhalte selbstständig zu erschließen, zu strukturieren und anzuwenden. Die Organisation </w:t>
      </w:r>
      <w:proofErr w:type="spellStart"/>
      <w:r w:rsidRPr="006060F8">
        <w:t>for</w:t>
      </w:r>
      <w:proofErr w:type="spellEnd"/>
      <w:r w:rsidRPr="006060F8">
        <w:t xml:space="preserve"> </w:t>
      </w:r>
      <w:proofErr w:type="spellStart"/>
      <w:r w:rsidRPr="006060F8">
        <w:t>Economic</w:t>
      </w:r>
      <w:proofErr w:type="spellEnd"/>
      <w:r w:rsidRPr="006060F8">
        <w:t xml:space="preserve"> Co-operation and Development (OECD) hebt im Rahmen des </w:t>
      </w:r>
      <w:r w:rsidRPr="006060F8">
        <w:rPr>
          <w:i/>
          <w:iCs/>
        </w:rPr>
        <w:t>Learning Compass 2030</w:t>
      </w:r>
      <w:r w:rsidRPr="006060F8">
        <w:t xml:space="preserve"> hervor, dass Lernprozesse durch reflektierte Strategien und strukturierte Herangehensweisen getragen werden müssen [1], während John Hattie in seinen Meta-Analysen zeigt, dass insbesondere metakognitive und strategische Ansätze hohe Effektstärken für Lernleistungen aufweisen [2]. Methodik erscheint damit im bildungspolitischen Diskurs als unterstützendes Element effektiven Lernens.</w:t>
      </w:r>
    </w:p>
    <w:p w14:paraId="198A392D" w14:textId="77777777" w:rsidR="006060F8" w:rsidRPr="006060F8" w:rsidRDefault="006060F8" w:rsidP="006060F8">
      <w:r w:rsidRPr="006060F8">
        <w:t>Im Rahmen des Funktionalen Raum-Zeit-Kohärenzsystems (FRZK) lässt sich Methodik jedoch nicht als bloße Ergänzung, sondern als strukturell zentrale Dimension des Zustandsvektors modellieren. Ein Lernzustand sei gegeben durch</w:t>
      </w:r>
    </w:p>
    <w:p w14:paraId="18D961EC" w14:textId="77777777" w:rsidR="006060F8" w:rsidRPr="00C03A9B" w:rsidRDefault="006060F8" w:rsidP="006060F8">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me</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r>
            <w:rPr>
              <w:rFonts w:ascii="Cambria Math" w:hAnsi="Cambria Math" w:cs="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cs="Cambria Math"/>
                  <w:i/>
                </w:rPr>
              </m:ctrlPr>
            </m:e>
            <m:sup>
              <m:r>
                <w:rPr>
                  <w:rFonts w:ascii="Cambria Math" w:hAnsi="Cambria Math"/>
                </w:rPr>
                <m:t>7</m:t>
              </m:r>
            </m:sup>
          </m:sSup>
          <m:r>
            <w:rPr>
              <w:rFonts w:ascii="Cambria Math" w:hAnsi="Cambria Math"/>
            </w:rPr>
            <m:t xml:space="preserve"> </m:t>
          </m:r>
        </m:oMath>
      </m:oMathPara>
    </w:p>
    <w:p w14:paraId="742E235D" w14:textId="7D6C5300" w:rsidR="006060F8" w:rsidRPr="006060F8" w:rsidRDefault="006060F8" w:rsidP="006060F8">
      <w:r w:rsidRPr="006060F8">
        <w:t xml:space="preserve">wobei </w:t>
      </w:r>
      <w:proofErr w:type="spellStart"/>
      <w:r w:rsidRPr="006060F8">
        <w:t>x</w:t>
      </w:r>
      <w:r w:rsidRPr="006060F8">
        <w:rPr>
          <w:vertAlign w:val="subscript"/>
        </w:rPr>
        <w:t>me</w:t>
      </w:r>
      <w:proofErr w:type="spellEnd"/>
      <w:r w:rsidRPr="006060F8">
        <w:t xml:space="preserve"> </w:t>
      </w:r>
      <w:r w:rsidRPr="006060F8">
        <w:t>​ die methodische Dimension repräsentiert. Bildungspolitisch wird implizit angenommen, dass Methodik als additive Unterstützung wirkt, also in der Form</w:t>
      </w:r>
    </w:p>
    <w:p w14:paraId="290FADCF" w14:textId="0F70FB12" w:rsidR="006060F8" w:rsidRPr="006060F8" w:rsidRDefault="006060F8" w:rsidP="006060F8">
      <m:oMathPara>
        <m:oMath>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me</m:t>
              </m:r>
            </m:sub>
          </m:sSub>
        </m:oMath>
      </m:oMathPara>
    </w:p>
    <w:p w14:paraId="598B9DF6" w14:textId="77777777" w:rsidR="006060F8" w:rsidRPr="006060F8" w:rsidRDefault="006060F8" w:rsidP="006060F8">
      <w:r w:rsidRPr="006060F8">
        <w:t>Die empirischen Daten legen jedoch eine andere Interpretation nahe. Wiederkehrend zeigen sich Konstellationen, in denen methodische Defizite zu instabilen Lernverläufen führen, selbst wenn kognitive Voraussetzungen gegeben sind. Typische Muster sind:</w:t>
      </w:r>
    </w:p>
    <w:p w14:paraId="5C37D64F" w14:textId="77777777" w:rsidR="006060F8" w:rsidRPr="006060F8" w:rsidRDefault="006060F8" w:rsidP="006060F8">
      <w:pPr>
        <w:numPr>
          <w:ilvl w:val="0"/>
          <w:numId w:val="6"/>
        </w:numPr>
      </w:pPr>
      <w:r w:rsidRPr="006060F8">
        <w:t xml:space="preserve">fehlende Strukturierung von Lösungswegen </w:t>
      </w:r>
    </w:p>
    <w:p w14:paraId="65257CC6" w14:textId="77777777" w:rsidR="006060F8" w:rsidRPr="006060F8" w:rsidRDefault="006060F8" w:rsidP="006060F8">
      <w:pPr>
        <w:numPr>
          <w:ilvl w:val="0"/>
          <w:numId w:val="6"/>
        </w:numPr>
      </w:pPr>
      <w:r w:rsidRPr="006060F8">
        <w:t xml:space="preserve">Schwierigkeiten bei der Darstellung von Denkprozessen </w:t>
      </w:r>
    </w:p>
    <w:p w14:paraId="6A309D3B" w14:textId="77777777" w:rsidR="006060F8" w:rsidRPr="006060F8" w:rsidRDefault="006060F8" w:rsidP="006060F8">
      <w:pPr>
        <w:numPr>
          <w:ilvl w:val="0"/>
          <w:numId w:val="6"/>
        </w:numPr>
      </w:pPr>
      <w:r w:rsidRPr="006060F8">
        <w:t xml:space="preserve">inkonsistente Anwendung von Strategien </w:t>
      </w:r>
    </w:p>
    <w:p w14:paraId="660CD073" w14:textId="77777777" w:rsidR="006060F8" w:rsidRPr="006060F8" w:rsidRDefault="006060F8" w:rsidP="006060F8">
      <w:pPr>
        <w:numPr>
          <w:ilvl w:val="0"/>
          <w:numId w:val="6"/>
        </w:numPr>
      </w:pPr>
      <w:r w:rsidRPr="006060F8">
        <w:t xml:space="preserve">mangelnde Orientierung bei komplexen Aufgabenstellungen </w:t>
      </w:r>
    </w:p>
    <w:p w14:paraId="14A5BAD3" w14:textId="77777777" w:rsidR="006060F8" w:rsidRPr="006060F8" w:rsidRDefault="006060F8" w:rsidP="006060F8">
      <w:r w:rsidRPr="006060F8">
        <w:t xml:space="preserve">Gleichzeitig treten stabile und leistungsfähige Zustände fast ausschließlich in Verbindung mit explizit vorhandenen methodischen Kompetenzen auf, etwa wenn Lernende in der Lage sind, Vorgehensweisen nachvollziehbar zu strukturieren oder Strategien eigenständig </w:t>
      </w:r>
      <w:proofErr w:type="gramStart"/>
      <w:r w:rsidRPr="006060F8">
        <w:t>anzuwenden .</w:t>
      </w:r>
      <w:proofErr w:type="gramEnd"/>
    </w:p>
    <w:p w14:paraId="34FCEB79" w14:textId="77777777" w:rsidR="006060F8" w:rsidRPr="006060F8" w:rsidRDefault="006060F8" w:rsidP="006060F8">
      <w:r w:rsidRPr="006060F8">
        <w:t>Diese Beobachtungen lassen sich im FRZK nicht als bloße Korrelation interpretieren, sondern weisen auf eine strukturelle Funktion der Methodik hin. Die modelllogische Verdichtung führt zu folgender Beziehung:</w:t>
      </w:r>
    </w:p>
    <w:p w14:paraId="65E24AFC" w14:textId="25A7A973" w:rsidR="006060F8" w:rsidRPr="006060F8" w:rsidRDefault="006060F8" w:rsidP="006060F8">
      <m:oMathPara>
        <m:oMath>
          <m:sSub>
            <m:sSubPr>
              <m:ctrlPr>
                <w:rPr>
                  <w:rFonts w:ascii="Cambria Math" w:hAnsi="Cambria Math"/>
                  <w:i/>
                </w:rPr>
              </m:ctrlPr>
            </m:sSubPr>
            <m:e>
              <m:r>
                <w:rPr>
                  <w:rFonts w:ascii="Cambria Math" w:hAnsi="Cambria Math"/>
                </w:rPr>
                <m:t>x</m:t>
              </m:r>
            </m:e>
            <m:sub>
              <m:r>
                <w:rPr>
                  <w:rFonts w:ascii="Cambria Math" w:hAnsi="Cambria Math"/>
                </w:rPr>
                <m:t>me</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m:t>
          </m:r>
          <m:r>
            <w:rPr>
              <w:rFonts w:ascii="Cambria Math" w:hAnsi="Cambria Math" w:cs="Cambria Math"/>
            </w:rPr>
            <m:t>⇒</m:t>
          </m:r>
          <m:r>
            <w:rPr>
              <w:rFonts w:ascii="Cambria Math" w:hAnsi="Cambria Math" w:cs="Calibri"/>
            </w:rPr>
            <m:t>  </m:t>
          </m:r>
          <m:r>
            <w:rPr>
              <w:rFonts w:ascii="Cambria Math" w:hAnsi="Cambria Math"/>
            </w:rPr>
            <m:t>Var(</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cs="Calibri"/>
            </w:rPr>
            <m:t>-</m:t>
          </m:r>
          <m:sSub>
            <m:sSubPr>
              <m:ctrlPr>
                <w:rPr>
                  <w:rFonts w:ascii="Cambria Math" w:hAnsi="Cambria Math"/>
                  <w:i/>
                </w:rPr>
              </m:ctrlPr>
            </m:sSubPr>
            <m:e>
              <m:r>
                <w:rPr>
                  <w:rFonts w:ascii="Cambria Math" w:hAnsi="Cambria Math"/>
                </w:rPr>
                <m:t>S</m:t>
              </m:r>
              <m:ctrlPr>
                <w:rPr>
                  <w:rFonts w:ascii="Cambria Math" w:hAnsi="Cambria Math" w:cs="Calibri"/>
                  <w:i/>
                </w:rPr>
              </m:ctrlPr>
            </m:e>
            <m:sub>
              <m:r>
                <w:rPr>
                  <w:rFonts w:ascii="Cambria Math" w:hAnsi="Cambria Math"/>
                </w:rPr>
                <m:t>t</m:t>
              </m:r>
            </m:sub>
          </m:sSub>
          <m:r>
            <w:rPr>
              <w:rFonts w:ascii="Cambria Math" w:hAnsi="Cambria Math"/>
            </w:rPr>
            <m:t>)</m:t>
          </m:r>
          <m:r>
            <w:rPr>
              <w:rFonts w:ascii="Cambria Math" w:hAnsi="Cambria Math" w:cs="Calibri"/>
            </w:rPr>
            <m:t>↓</m:t>
          </m:r>
        </m:oMath>
      </m:oMathPara>
    </w:p>
    <w:p w14:paraId="35639112" w14:textId="77777777" w:rsidR="006060F8" w:rsidRPr="006060F8" w:rsidRDefault="006060F8" w:rsidP="006060F8">
      <w:r w:rsidRPr="006060F8">
        <w:lastRenderedPageBreak/>
        <w:t>Methodik reduziert demnach die Varianz der Zustandsübergänge und wirkt stabilisierend auf die Systemdynamik. Sie fungiert als Operator, der die Übergangsfunktion</w:t>
      </w:r>
    </w:p>
    <w:p w14:paraId="47C12C1E" w14:textId="5004C338" w:rsidR="006060F8" w:rsidRPr="006060F8" w:rsidRDefault="006060F8" w:rsidP="006060F8">
      <m:oMathPara>
        <m:oMath>
          <m:r>
            <w:rPr>
              <w:rFonts w:ascii="Cambria Math" w:hAnsi="Cambria Math"/>
            </w:rPr>
            <m:t>T:St→St+1T: S_t \rightarrow S_{t+1}T:St</m:t>
          </m:r>
          <m:r>
            <m:rPr>
              <m:sty m:val="bi"/>
            </m:rPr>
            <w:rPr>
              <w:rFonts w:ascii="Cambria Math" w:hAnsi="Cambria Math"/>
            </w:rPr>
            <m:t>​</m:t>
          </m:r>
          <m:r>
            <w:rPr>
              <w:rFonts w:ascii="Cambria Math" w:hAnsi="Cambria Math"/>
            </w:rPr>
            <m:t>→St+1</m:t>
          </m:r>
          <m:r>
            <m:rPr>
              <m:sty m:val="bi"/>
            </m:rPr>
            <w:rPr>
              <w:rFonts w:ascii="Cambria Math" w:hAnsi="Cambria Math"/>
            </w:rPr>
            <m:t>​</m:t>
          </m:r>
          <m:r>
            <w:rPr>
              <w:rFonts w:ascii="Cambria Math" w:hAnsi="Cambria Math"/>
            </w:rPr>
            <m:t xml:space="preserve"> </m:t>
          </m:r>
        </m:oMath>
      </m:oMathPara>
    </w:p>
    <w:p w14:paraId="58C646CD" w14:textId="77777777" w:rsidR="006060F8" w:rsidRPr="006060F8" w:rsidRDefault="006060F8" w:rsidP="006060F8">
      <w:r w:rsidRPr="006060F8">
        <w:t>in Richtung kohärenter Zustände reguliert. Ohne ausreichende methodische Strukturierung wird der Übergang hochgradig sensitiv gegenüber Störungen, was sich in inkonsistenten Leistungen und stark schwankenden Zuständen äußert.</w:t>
      </w:r>
    </w:p>
    <w:p w14:paraId="49970063" w14:textId="77777777" w:rsidR="006060F8" w:rsidRPr="006060F8" w:rsidRDefault="006060F8" w:rsidP="006060F8">
      <w:r w:rsidRPr="006060F8">
        <w:t>Eine notwendige Bedingung für stabile Lernverläufe lässt sich damit wie folgt formulieren:</w:t>
      </w:r>
    </w:p>
    <w:p w14:paraId="40F6AE9B" w14:textId="77777777" w:rsidR="006060F8" w:rsidRPr="006060F8" w:rsidRDefault="006060F8" w:rsidP="006060F8">
      <w:proofErr w:type="gramStart"/>
      <w:r w:rsidRPr="006060F8">
        <w:t>stabil(</w:t>
      </w:r>
      <w:proofErr w:type="gramEnd"/>
      <w:r w:rsidRPr="006060F8">
        <w:t>St)  </w:t>
      </w:r>
      <w:r w:rsidRPr="006060F8">
        <w:rPr>
          <w:rFonts w:ascii="Cambria Math" w:hAnsi="Cambria Math" w:cs="Cambria Math"/>
        </w:rPr>
        <w:t>⇒</w:t>
      </w:r>
      <w:r w:rsidRPr="006060F8">
        <w:rPr>
          <w:rFonts w:cs="Calibri"/>
        </w:rPr>
        <w:t>  </w:t>
      </w:r>
      <w:proofErr w:type="spellStart"/>
      <w:r w:rsidRPr="006060F8">
        <w:t>xme</w:t>
      </w:r>
      <w:proofErr w:type="spellEnd"/>
      <w:r w:rsidRPr="006060F8">
        <w:t>(St)&gt;0\</w:t>
      </w:r>
      <w:proofErr w:type="spellStart"/>
      <w:r w:rsidRPr="006060F8">
        <w:t>text</w:t>
      </w:r>
      <w:proofErr w:type="spellEnd"/>
      <w:r w:rsidRPr="006060F8">
        <w:t>{stabil}(</w:t>
      </w:r>
      <w:proofErr w:type="spellStart"/>
      <w:r w:rsidRPr="006060F8">
        <w:t>S_t</w:t>
      </w:r>
      <w:proofErr w:type="spellEnd"/>
      <w:r w:rsidRPr="006060F8">
        <w:t>) \;\</w:t>
      </w:r>
      <w:proofErr w:type="spellStart"/>
      <w:r w:rsidRPr="006060F8">
        <w:t>Rightarrow</w:t>
      </w:r>
      <w:proofErr w:type="spellEnd"/>
      <w:r w:rsidRPr="006060F8">
        <w:t>\; x_{</w:t>
      </w:r>
      <w:proofErr w:type="spellStart"/>
      <w:r w:rsidRPr="006060F8">
        <w:t>me</w:t>
      </w:r>
      <w:proofErr w:type="spellEnd"/>
      <w:r w:rsidRPr="006060F8">
        <w:t>}(</w:t>
      </w:r>
      <w:proofErr w:type="spellStart"/>
      <w:r w:rsidRPr="006060F8">
        <w:t>S_t</w:t>
      </w:r>
      <w:proofErr w:type="spellEnd"/>
      <w:r w:rsidRPr="006060F8">
        <w:t>) &gt; 0stabil(St​)</w:t>
      </w:r>
      <w:r w:rsidRPr="006060F8">
        <w:rPr>
          <w:rFonts w:ascii="Cambria Math" w:hAnsi="Cambria Math" w:cs="Cambria Math"/>
        </w:rPr>
        <w:t>⇒</w:t>
      </w:r>
      <w:proofErr w:type="spellStart"/>
      <w:r w:rsidRPr="006060F8">
        <w:t>xme</w:t>
      </w:r>
      <w:proofErr w:type="spellEnd"/>
      <w:r w:rsidRPr="006060F8">
        <w:t xml:space="preserve">​(St​)&gt;0 </w:t>
      </w:r>
    </w:p>
    <w:p w14:paraId="52954594" w14:textId="77777777" w:rsidR="006060F8" w:rsidRPr="006060F8" w:rsidRDefault="006060F8" w:rsidP="006060F8">
      <w:r w:rsidRPr="006060F8">
        <w:t>Diese Aussage bedeutet, dass Methodik nicht optional ist, sondern eine Voraussetzung für die Stabilität des Gesamtsystems darstellt. Die empirischen Befunde bestätigen dies, indem stabile Zustände durchgehend mit strukturierten Vorgehensweisen, klaren Lösungsstrategien und nachvollziehbaren Denkprozessen verbunden sind.</w:t>
      </w:r>
    </w:p>
    <w:p w14:paraId="439B0D5E" w14:textId="77777777" w:rsidR="006060F8" w:rsidRPr="006060F8" w:rsidRDefault="006060F8" w:rsidP="006060F8">
      <w:r w:rsidRPr="006060F8">
        <w:t>Hier zeigt sich ein fundamentaler Bruch zum bildungspolitischen Verständnis. Während Methodik häufig als Kompetenz unter vielen behandelt wird, zeigt die Systemanalyse im FRZK, dass sie eine übergeordnete Funktion besitzt. Der bildungspolitische Ansatz impliziert eine additive Struktur:</w:t>
      </w:r>
    </w:p>
    <w:p w14:paraId="2E5C9761" w14:textId="77777777" w:rsidR="006060F8" w:rsidRPr="006060F8" w:rsidRDefault="006060F8" w:rsidP="006060F8">
      <w:r w:rsidRPr="006060F8">
        <w:t>Kompetenz=</w:t>
      </w:r>
      <w:proofErr w:type="spellStart"/>
      <w:r w:rsidRPr="006060F8">
        <w:t>xk+xme+xp</w:t>
      </w:r>
      <w:proofErr w:type="spellEnd"/>
      <w:r w:rsidRPr="006060F8">
        <w:t>+…\</w:t>
      </w:r>
      <w:proofErr w:type="spellStart"/>
      <w:proofErr w:type="gramStart"/>
      <w:r w:rsidRPr="006060F8">
        <w:t>text</w:t>
      </w:r>
      <w:proofErr w:type="spellEnd"/>
      <w:r w:rsidRPr="006060F8">
        <w:t>{</w:t>
      </w:r>
      <w:proofErr w:type="gramEnd"/>
      <w:r w:rsidRPr="006060F8">
        <w:t xml:space="preserve">Kompetenz} = </w:t>
      </w:r>
      <w:proofErr w:type="spellStart"/>
      <w:r w:rsidRPr="006060F8">
        <w:t>x_k</w:t>
      </w:r>
      <w:proofErr w:type="spellEnd"/>
      <w:r w:rsidRPr="006060F8">
        <w:t xml:space="preserve"> + x_{</w:t>
      </w:r>
      <w:proofErr w:type="spellStart"/>
      <w:r w:rsidRPr="006060F8">
        <w:t>me</w:t>
      </w:r>
      <w:proofErr w:type="spellEnd"/>
      <w:r w:rsidRPr="006060F8">
        <w:t xml:space="preserve">} + </w:t>
      </w:r>
      <w:proofErr w:type="spellStart"/>
      <w:r w:rsidRPr="006060F8">
        <w:t>x_p</w:t>
      </w:r>
      <w:proofErr w:type="spellEnd"/>
      <w:r w:rsidRPr="006060F8">
        <w:t xml:space="preserve"> + \</w:t>
      </w:r>
      <w:proofErr w:type="spellStart"/>
      <w:r w:rsidRPr="006060F8">
        <w:t>dotsKompetenz</w:t>
      </w:r>
      <w:proofErr w:type="spellEnd"/>
      <w:r w:rsidRPr="006060F8">
        <w:t>=</w:t>
      </w:r>
      <w:proofErr w:type="spellStart"/>
      <w:r w:rsidRPr="006060F8">
        <w:t>xk</w:t>
      </w:r>
      <w:proofErr w:type="spellEnd"/>
      <w:r w:rsidRPr="006060F8">
        <w:t>​+</w:t>
      </w:r>
      <w:proofErr w:type="spellStart"/>
      <w:r w:rsidRPr="006060F8">
        <w:t>xme</w:t>
      </w:r>
      <w:proofErr w:type="spellEnd"/>
      <w:r w:rsidRPr="006060F8">
        <w:t>​+</w:t>
      </w:r>
      <w:proofErr w:type="spellStart"/>
      <w:r w:rsidRPr="006060F8">
        <w:t>xp</w:t>
      </w:r>
      <w:proofErr w:type="spellEnd"/>
      <w:r w:rsidRPr="006060F8">
        <w:t xml:space="preserve">​+… </w:t>
      </w:r>
    </w:p>
    <w:p w14:paraId="312841FA" w14:textId="77777777" w:rsidR="006060F8" w:rsidRPr="006060F8" w:rsidRDefault="006060F8" w:rsidP="006060F8">
      <w:r w:rsidRPr="006060F8">
        <w:t>Demgegenüber zeigt die empirische Realität eine funktionale Abhängigkeit:</w:t>
      </w:r>
    </w:p>
    <w:p w14:paraId="7077D036" w14:textId="77777777" w:rsidR="006060F8" w:rsidRPr="006060F8" w:rsidRDefault="006060F8" w:rsidP="006060F8">
      <w:proofErr w:type="spellStart"/>
      <w:r w:rsidRPr="006060F8">
        <w:t>xme→T</w:t>
      </w:r>
      <w:proofErr w:type="spellEnd"/>
      <w:r w:rsidRPr="006060F8">
        <w:t>(S)x_{</w:t>
      </w:r>
      <w:proofErr w:type="spellStart"/>
      <w:r w:rsidRPr="006060F8">
        <w:t>me</w:t>
      </w:r>
      <w:proofErr w:type="spellEnd"/>
      <w:r w:rsidRPr="006060F8">
        <w:t>} \</w:t>
      </w:r>
      <w:proofErr w:type="spellStart"/>
      <w:r w:rsidRPr="006060F8">
        <w:t>rightarrow</w:t>
      </w:r>
      <w:proofErr w:type="spellEnd"/>
      <w:r w:rsidRPr="006060F8">
        <w:t xml:space="preserve"> T(S)</w:t>
      </w:r>
      <w:proofErr w:type="spellStart"/>
      <w:r w:rsidRPr="006060F8">
        <w:t>xme</w:t>
      </w:r>
      <w:proofErr w:type="spellEnd"/>
      <w:r w:rsidRPr="006060F8">
        <w:t xml:space="preserve">​→T(S) </w:t>
      </w:r>
    </w:p>
    <w:p w14:paraId="3F7B90E4" w14:textId="77777777" w:rsidR="006060F8" w:rsidRPr="006060F8" w:rsidRDefault="006060F8" w:rsidP="006060F8">
      <w:r w:rsidRPr="006060F8">
        <w:t>Methodik wirkt somit nicht auf einer Ebene mit anderen Dimensionen, sondern auf der Ebene der Systemdynamik selbst.</w:t>
      </w:r>
    </w:p>
    <w:p w14:paraId="02725C9D" w14:textId="77777777" w:rsidR="006060F8" w:rsidRPr="006060F8" w:rsidRDefault="006060F8" w:rsidP="006060F8">
      <w:r w:rsidRPr="006060F8">
        <w:t>Didaktisch ergibt sich daraus eine klare Konsequenz: Unterricht muss methodische Kompetenzen nicht nur vermitteln, sondern systematisch als stabilisierende Struktur aufbauen. Dies umfasst insbesondere:</w:t>
      </w:r>
    </w:p>
    <w:p w14:paraId="7857A815" w14:textId="77777777" w:rsidR="006060F8" w:rsidRPr="006060F8" w:rsidRDefault="006060F8" w:rsidP="006060F8">
      <w:pPr>
        <w:numPr>
          <w:ilvl w:val="0"/>
          <w:numId w:val="7"/>
        </w:numPr>
      </w:pPr>
      <w:r w:rsidRPr="006060F8">
        <w:t xml:space="preserve">die explizite Modellierung von Lösungsprozessen </w:t>
      </w:r>
    </w:p>
    <w:p w14:paraId="55D81E8C" w14:textId="77777777" w:rsidR="006060F8" w:rsidRPr="006060F8" w:rsidRDefault="006060F8" w:rsidP="006060F8">
      <w:pPr>
        <w:numPr>
          <w:ilvl w:val="0"/>
          <w:numId w:val="7"/>
        </w:numPr>
      </w:pPr>
      <w:r w:rsidRPr="006060F8">
        <w:t xml:space="preserve">die Visualisierung von Denkwegen </w:t>
      </w:r>
    </w:p>
    <w:p w14:paraId="5F18C76F" w14:textId="77777777" w:rsidR="006060F8" w:rsidRPr="006060F8" w:rsidRDefault="006060F8" w:rsidP="006060F8">
      <w:pPr>
        <w:numPr>
          <w:ilvl w:val="0"/>
          <w:numId w:val="7"/>
        </w:numPr>
      </w:pPr>
      <w:r w:rsidRPr="006060F8">
        <w:t xml:space="preserve">die Einübung standardisierter Strategien </w:t>
      </w:r>
    </w:p>
    <w:p w14:paraId="54A7E0B6" w14:textId="77777777" w:rsidR="006060F8" w:rsidRPr="006060F8" w:rsidRDefault="006060F8" w:rsidP="006060F8">
      <w:pPr>
        <w:numPr>
          <w:ilvl w:val="0"/>
          <w:numId w:val="7"/>
        </w:numPr>
      </w:pPr>
      <w:r w:rsidRPr="006060F8">
        <w:t xml:space="preserve">die Reflexion von Vorgehensweisen </w:t>
      </w:r>
    </w:p>
    <w:p w14:paraId="47649BD4" w14:textId="77777777" w:rsidR="006060F8" w:rsidRPr="006060F8" w:rsidRDefault="006060F8" w:rsidP="006060F8">
      <w:r w:rsidRPr="006060F8">
        <w:t>Konkrete Handlungsempfehlungen lassen sich daraus direkt ableiten. Lernprozesse sollten nicht ausschließlich ergebnisorientiert gestaltet werden, sondern prozessorientiert. Aufgabenstellungen müssen so konzipiert sein, dass sie die Strukturierung des Lösungswegs erzwingen und sichtbar machen. Darüber hinaus ist es notwendig, methodische Vorgehensweisen wiederholt in variierenden Kontexten zu trainieren, um ihre Stabilität zu erhöhen. Diese Perspektive wird durch Forschung zur Metakognition und strategischem Lernen gestützt, die zeigt, dass strukturierte Lernstrategien maßgeblich zur Stabilisierung von Lernprozessen beitragen [3].</w:t>
      </w:r>
    </w:p>
    <w:p w14:paraId="79BAFB90" w14:textId="77777777" w:rsidR="006060F8" w:rsidRPr="006060F8" w:rsidRDefault="006060F8" w:rsidP="006060F8">
      <w:r w:rsidRPr="006060F8">
        <w:t>Der zentrale Befund dieses Abschnitts lässt sich damit prägnant formulieren:</w:t>
      </w:r>
    </w:p>
    <w:p w14:paraId="1551C491" w14:textId="77777777" w:rsidR="006060F8" w:rsidRPr="006060F8" w:rsidRDefault="006060F8" w:rsidP="006060F8">
      <w:r w:rsidRPr="006060F8">
        <w:t>Methodik ist im Lernprozess nicht unterstützend, sondern konstitutiv für Stabilität.</w:t>
      </w:r>
    </w:p>
    <w:p w14:paraId="7CEEAEE3" w14:textId="77777777" w:rsidR="006060F8" w:rsidRPr="006060F8" w:rsidRDefault="006060F8" w:rsidP="006060F8">
      <w:r w:rsidRPr="006060F8">
        <w:t xml:space="preserve">Damit verschiebt sich die Rolle der Lehrkraft erneut. Sie ist nicht nur Vermittlerin von Inhalten und Unterstützerin individueller Lernprozesse, sondern Architektin stabiler </w:t>
      </w:r>
      <w:r w:rsidRPr="006060F8">
        <w:lastRenderedPageBreak/>
        <w:t xml:space="preserve">Strukturen. Unterricht wird im FRZK zu einem Prozess der Stabilisierung von Zustandsübergängen, </w:t>
      </w:r>
      <w:proofErr w:type="gramStart"/>
      <w:r w:rsidRPr="006060F8">
        <w:t>in dem methodische Kompetenz</w:t>
      </w:r>
      <w:proofErr w:type="gramEnd"/>
      <w:r w:rsidRPr="006060F8">
        <w:t xml:space="preserve"> die zentrale Steuergröße darstellt.</w:t>
      </w:r>
    </w:p>
    <w:p w14:paraId="6BB82DDA" w14:textId="77777777" w:rsidR="006060F8" w:rsidRPr="006060F8" w:rsidRDefault="006060F8" w:rsidP="006060F8">
      <w:r w:rsidRPr="006060F8">
        <w:pict w14:anchorId="4945F9AF">
          <v:rect id="_x0000_i1039" style="width:0;height:1.5pt" o:hralign="center" o:hrstd="t" o:hr="t" fillcolor="#a0a0a0" stroked="f"/>
        </w:pict>
      </w:r>
    </w:p>
    <w:p w14:paraId="13C3F9E9" w14:textId="77777777" w:rsidR="006060F8" w:rsidRPr="006060F8" w:rsidRDefault="006060F8" w:rsidP="006060F8">
      <w:pPr>
        <w:rPr>
          <w:b/>
          <w:bCs/>
        </w:rPr>
      </w:pPr>
      <w:r w:rsidRPr="006060F8">
        <w:rPr>
          <w:b/>
          <w:bCs/>
        </w:rPr>
        <w:t>Quellenverzeichnis</w:t>
      </w:r>
    </w:p>
    <w:p w14:paraId="605720E8" w14:textId="77777777" w:rsidR="006060F8" w:rsidRPr="006060F8" w:rsidRDefault="006060F8" w:rsidP="006060F8">
      <w:r w:rsidRPr="006060F8">
        <w:t xml:space="preserve">[1] Organisation </w:t>
      </w:r>
      <w:proofErr w:type="spellStart"/>
      <w:r w:rsidRPr="006060F8">
        <w:t>for</w:t>
      </w:r>
      <w:proofErr w:type="spellEnd"/>
      <w:r w:rsidRPr="006060F8">
        <w:t xml:space="preserve"> </w:t>
      </w:r>
      <w:proofErr w:type="spellStart"/>
      <w:r w:rsidRPr="006060F8">
        <w:t>Economic</w:t>
      </w:r>
      <w:proofErr w:type="spellEnd"/>
      <w:r w:rsidRPr="006060F8">
        <w:t xml:space="preserve"> Co-operation and Development (OECD): </w:t>
      </w:r>
      <w:r w:rsidRPr="006060F8">
        <w:rPr>
          <w:i/>
          <w:iCs/>
        </w:rPr>
        <w:t>OECD Learning Compass 2030</w:t>
      </w:r>
      <w:r w:rsidRPr="006060F8">
        <w:t>. Paris, 2019.</w:t>
      </w:r>
      <w:r w:rsidRPr="006060F8">
        <w:br/>
        <w:t xml:space="preserve">[2] John Hattie: </w:t>
      </w:r>
      <w:r w:rsidRPr="006060F8">
        <w:rPr>
          <w:i/>
          <w:iCs/>
        </w:rPr>
        <w:t xml:space="preserve">Visible Learning: A Synthesis </w:t>
      </w:r>
      <w:proofErr w:type="spellStart"/>
      <w:r w:rsidRPr="006060F8">
        <w:rPr>
          <w:i/>
          <w:iCs/>
        </w:rPr>
        <w:t>of</w:t>
      </w:r>
      <w:proofErr w:type="spellEnd"/>
      <w:r w:rsidRPr="006060F8">
        <w:rPr>
          <w:i/>
          <w:iCs/>
        </w:rPr>
        <w:t xml:space="preserve"> Over 800 Meta-</w:t>
      </w:r>
      <w:proofErr w:type="spellStart"/>
      <w:r w:rsidRPr="006060F8">
        <w:rPr>
          <w:i/>
          <w:iCs/>
        </w:rPr>
        <w:t>Analyses</w:t>
      </w:r>
      <w:proofErr w:type="spellEnd"/>
      <w:r w:rsidRPr="006060F8">
        <w:rPr>
          <w:i/>
          <w:iCs/>
        </w:rPr>
        <w:t xml:space="preserve"> </w:t>
      </w:r>
      <w:proofErr w:type="spellStart"/>
      <w:r w:rsidRPr="006060F8">
        <w:rPr>
          <w:i/>
          <w:iCs/>
        </w:rPr>
        <w:t>Relating</w:t>
      </w:r>
      <w:proofErr w:type="spellEnd"/>
      <w:r w:rsidRPr="006060F8">
        <w:rPr>
          <w:i/>
          <w:iCs/>
        </w:rPr>
        <w:t xml:space="preserve"> </w:t>
      </w:r>
      <w:proofErr w:type="spellStart"/>
      <w:r w:rsidRPr="006060F8">
        <w:rPr>
          <w:i/>
          <w:iCs/>
        </w:rPr>
        <w:t>to</w:t>
      </w:r>
      <w:proofErr w:type="spellEnd"/>
      <w:r w:rsidRPr="006060F8">
        <w:rPr>
          <w:i/>
          <w:iCs/>
        </w:rPr>
        <w:t xml:space="preserve"> Achievement</w:t>
      </w:r>
      <w:r w:rsidRPr="006060F8">
        <w:t>. Routledge, 2009.</w:t>
      </w:r>
      <w:r w:rsidRPr="006060F8">
        <w:br/>
        <w:t xml:space="preserve">[3] Paul R. Pintrich: “The </w:t>
      </w:r>
      <w:proofErr w:type="spellStart"/>
      <w:r w:rsidRPr="006060F8">
        <w:t>Role</w:t>
      </w:r>
      <w:proofErr w:type="spellEnd"/>
      <w:r w:rsidRPr="006060F8">
        <w:t xml:space="preserve"> </w:t>
      </w:r>
      <w:proofErr w:type="spellStart"/>
      <w:r w:rsidRPr="006060F8">
        <w:t>of</w:t>
      </w:r>
      <w:proofErr w:type="spellEnd"/>
      <w:r w:rsidRPr="006060F8">
        <w:t xml:space="preserve"> </w:t>
      </w:r>
      <w:proofErr w:type="spellStart"/>
      <w:r w:rsidRPr="006060F8">
        <w:t>Metacognitive</w:t>
      </w:r>
      <w:proofErr w:type="spellEnd"/>
      <w:r w:rsidRPr="006060F8">
        <w:t xml:space="preserve"> Knowledge in Learning”. </w:t>
      </w:r>
      <w:r w:rsidRPr="006060F8">
        <w:rPr>
          <w:i/>
          <w:iCs/>
        </w:rPr>
        <w:t xml:space="preserve">Educational </w:t>
      </w:r>
      <w:proofErr w:type="spellStart"/>
      <w:r w:rsidRPr="006060F8">
        <w:rPr>
          <w:i/>
          <w:iCs/>
        </w:rPr>
        <w:t>Psychologist</w:t>
      </w:r>
      <w:proofErr w:type="spellEnd"/>
      <w:r w:rsidRPr="006060F8">
        <w:t>, 2002.</w:t>
      </w:r>
    </w:p>
    <w:p w14:paraId="64BD418A"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5302A3"/>
    <w:multiLevelType w:val="multilevel"/>
    <w:tmpl w:val="96E4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833C4"/>
    <w:multiLevelType w:val="multilevel"/>
    <w:tmpl w:val="239A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6E5319"/>
    <w:multiLevelType w:val="multilevel"/>
    <w:tmpl w:val="54AC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66845"/>
    <w:multiLevelType w:val="multilevel"/>
    <w:tmpl w:val="C354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321598">
    <w:abstractNumId w:val="0"/>
  </w:num>
  <w:num w:numId="2" w16cid:durableId="439034236">
    <w:abstractNumId w:val="1"/>
  </w:num>
  <w:num w:numId="3" w16cid:durableId="1283343403">
    <w:abstractNumId w:val="4"/>
  </w:num>
  <w:num w:numId="4" w16cid:durableId="1471022909">
    <w:abstractNumId w:val="3"/>
  </w:num>
  <w:num w:numId="5" w16cid:durableId="1090394262">
    <w:abstractNumId w:val="5"/>
  </w:num>
  <w:num w:numId="6" w16cid:durableId="979071556">
    <w:abstractNumId w:val="2"/>
  </w:num>
  <w:num w:numId="7" w16cid:durableId="1290629442">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9B"/>
    <w:rsid w:val="00003048"/>
    <w:rsid w:val="000467F2"/>
    <w:rsid w:val="00082214"/>
    <w:rsid w:val="00106528"/>
    <w:rsid w:val="001830F2"/>
    <w:rsid w:val="0019229D"/>
    <w:rsid w:val="002B03D4"/>
    <w:rsid w:val="002D4202"/>
    <w:rsid w:val="002F1D8C"/>
    <w:rsid w:val="00324306"/>
    <w:rsid w:val="00433ECB"/>
    <w:rsid w:val="00436FC4"/>
    <w:rsid w:val="0044266C"/>
    <w:rsid w:val="00446557"/>
    <w:rsid w:val="00500020"/>
    <w:rsid w:val="005454E6"/>
    <w:rsid w:val="00560B17"/>
    <w:rsid w:val="005B5EFD"/>
    <w:rsid w:val="005E4CED"/>
    <w:rsid w:val="006016DC"/>
    <w:rsid w:val="006060F8"/>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62FF8"/>
    <w:rsid w:val="00B873C2"/>
    <w:rsid w:val="00BA664A"/>
    <w:rsid w:val="00C03A9B"/>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5EE0A"/>
  <w15:chartTrackingRefBased/>
  <w15:docId w15:val="{51BD30B3-4DEC-44D8-AEBB-CBCCDAE14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07770714">
      <w:bodyDiv w:val="1"/>
      <w:marLeft w:val="0"/>
      <w:marRight w:val="0"/>
      <w:marTop w:val="0"/>
      <w:marBottom w:val="0"/>
      <w:divBdr>
        <w:top w:val="none" w:sz="0" w:space="0" w:color="auto"/>
        <w:left w:val="none" w:sz="0" w:space="0" w:color="auto"/>
        <w:bottom w:val="none" w:sz="0" w:space="0" w:color="auto"/>
        <w:right w:val="none" w:sz="0" w:space="0" w:color="auto"/>
      </w:divBdr>
      <w:divsChild>
        <w:div w:id="1093090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8718902">
      <w:bodyDiv w:val="1"/>
      <w:marLeft w:val="0"/>
      <w:marRight w:val="0"/>
      <w:marTop w:val="0"/>
      <w:marBottom w:val="0"/>
      <w:divBdr>
        <w:top w:val="none" w:sz="0" w:space="0" w:color="auto"/>
        <w:left w:val="none" w:sz="0" w:space="0" w:color="auto"/>
        <w:bottom w:val="none" w:sz="0" w:space="0" w:color="auto"/>
        <w:right w:val="none" w:sz="0" w:space="0" w:color="auto"/>
      </w:divBdr>
      <w:divsChild>
        <w:div w:id="1927883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491812">
      <w:bodyDiv w:val="1"/>
      <w:marLeft w:val="0"/>
      <w:marRight w:val="0"/>
      <w:marTop w:val="0"/>
      <w:marBottom w:val="0"/>
      <w:divBdr>
        <w:top w:val="none" w:sz="0" w:space="0" w:color="auto"/>
        <w:left w:val="none" w:sz="0" w:space="0" w:color="auto"/>
        <w:bottom w:val="none" w:sz="0" w:space="0" w:color="auto"/>
        <w:right w:val="none" w:sz="0" w:space="0" w:color="auto"/>
      </w:divBdr>
      <w:divsChild>
        <w:div w:id="1089883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367655">
      <w:bodyDiv w:val="1"/>
      <w:marLeft w:val="0"/>
      <w:marRight w:val="0"/>
      <w:marTop w:val="0"/>
      <w:marBottom w:val="0"/>
      <w:divBdr>
        <w:top w:val="none" w:sz="0" w:space="0" w:color="auto"/>
        <w:left w:val="none" w:sz="0" w:space="0" w:color="auto"/>
        <w:bottom w:val="none" w:sz="0" w:space="0" w:color="auto"/>
        <w:right w:val="none" w:sz="0" w:space="0" w:color="auto"/>
      </w:divBdr>
      <w:divsChild>
        <w:div w:id="1761365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1636</Words>
  <Characters>10309</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2026-04-25T10:34:00Z</dcterms:created>
  <dcterms:modified xsi:type="dcterms:W3CDTF">2026-04-26T10:55:00Z</dcterms:modified>
</cp:coreProperties>
</file>