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D3489" w14:textId="77777777" w:rsidR="00766E63" w:rsidRPr="00766E63" w:rsidRDefault="00766E63" w:rsidP="00766E63">
      <w:r w:rsidRPr="00766E63">
        <w:rPr>
          <w:b/>
          <w:bCs/>
        </w:rPr>
        <w:t>6.x Lehrkraftabhängige Struktur- und Dynamikanalyse im FRZK-Raum</w:t>
      </w:r>
    </w:p>
    <w:p w14:paraId="10D548C2" w14:textId="77777777" w:rsidR="00766E63" w:rsidRPr="00766E63" w:rsidRDefault="00766E63" w:rsidP="00766E63">
      <w:r w:rsidRPr="00766E63">
        <w:t xml:space="preserve">Die Auswertung der in datenm_values_sem_dichte_lehrer_type_3 aggregierten Vektordaten erfolgt im vorliegenden Abschnitt unter expliziter Berücksichtigung der Lehrkraftdimension. Ziel ist es, die Frage zu klären, ob und in welcher Form sich unterschiedliche Lehrkräfte nicht nur quantitativ, sondern strukturell auf die Ausbildung semantischer Zustandsräume im Sinne des Funktionalen Raum-Zeit-Kohärenzsystems (FRZK) auswirken. Grundlage bilden drei parallel ausgewertete Datenräume: (i) der Gesamtdatensatz („alle“), (ii) die Teilmenge mit </w:t>
      </w:r>
      <w:proofErr w:type="spellStart"/>
      <w:r w:rsidRPr="00766E63">
        <w:t>lehrkraft_id</w:t>
      </w:r>
      <w:proofErr w:type="spellEnd"/>
      <w:r w:rsidRPr="00766E63">
        <w:t xml:space="preserve"> = 1 sowie (iii) die komplementäre Teilmenge </w:t>
      </w:r>
      <w:proofErr w:type="spellStart"/>
      <w:r w:rsidRPr="00766E63">
        <w:t>lehrkraft_id</w:t>
      </w:r>
      <w:proofErr w:type="spellEnd"/>
      <w:r w:rsidRPr="00766E63">
        <w:t xml:space="preserve"> ≠ 1. Die Aggregation erfolgt jeweils auf Wochenbasis und gruppenspezifisch über die sieben FRZK-Dimensionen.</w:t>
      </w:r>
    </w:p>
    <w:p w14:paraId="6154FDE9" w14:textId="77777777" w:rsidR="00766E63" w:rsidRPr="00766E63" w:rsidRDefault="00766E63" w:rsidP="00766E63">
      <w:r w:rsidRPr="00766E63">
        <w:t>Formal wird jeder Eintrag als Zustandsvektor</w:t>
      </w:r>
    </w:p>
    <w:p w14:paraId="149DBFC5" w14:textId="77777777" w:rsidR="00766E63" w:rsidRPr="00766E63" w:rsidRDefault="00766E63" w:rsidP="00766E63">
      <w:proofErr w:type="gramStart"/>
      <w:r w:rsidRPr="00766E63">
        <w:t>Vi,t</w:t>
      </w:r>
      <w:proofErr w:type="gramEnd"/>
      <w:r w:rsidRPr="00766E63">
        <w:rPr>
          <w:rFonts w:ascii="Cambria Math" w:hAnsi="Cambria Math" w:cs="Cambria Math"/>
        </w:rPr>
        <w:t>∈</w:t>
      </w:r>
      <w:r w:rsidRPr="00766E63">
        <w:t>R7V_{</w:t>
      </w:r>
      <w:proofErr w:type="spellStart"/>
      <w:r w:rsidRPr="00766E63">
        <w:t>i,t</w:t>
      </w:r>
      <w:proofErr w:type="spellEnd"/>
      <w:r w:rsidRPr="00766E63">
        <w:t>} \in \</w:t>
      </w:r>
      <w:proofErr w:type="spellStart"/>
      <w:r w:rsidRPr="00766E63">
        <w:t>mathbb</w:t>
      </w:r>
      <w:proofErr w:type="spellEnd"/>
      <w:r w:rsidRPr="00766E63">
        <w:t>{R}^7Vi,t​</w:t>
      </w:r>
      <w:r w:rsidRPr="00766E63">
        <w:rPr>
          <w:rFonts w:ascii="Cambria Math" w:hAnsi="Cambria Math" w:cs="Cambria Math"/>
        </w:rPr>
        <w:t>∈</w:t>
      </w:r>
      <w:r w:rsidRPr="00766E63">
        <w:t xml:space="preserve">R7 </w:t>
      </w:r>
    </w:p>
    <w:p w14:paraId="02D2A02B" w14:textId="77777777" w:rsidR="00766E63" w:rsidRPr="00766E63" w:rsidRDefault="00766E63" w:rsidP="00766E63">
      <w:r w:rsidRPr="00766E63">
        <w:t xml:space="preserve">aufgefasst, wobei die Komponenten die Dimensionen Kognition, Soziales, Affekt, Motivation, Methodik, Performanz und Regulation repräsentieren. Für eine Gruppe GGG und einen Zeitpunkt </w:t>
      </w:r>
      <w:proofErr w:type="spellStart"/>
      <w:r w:rsidRPr="00766E63">
        <w:t>ttt</w:t>
      </w:r>
      <w:proofErr w:type="spellEnd"/>
      <w:r w:rsidRPr="00766E63">
        <w:t xml:space="preserve"> ergibt sich der makroskopische Zustand als Mittelwertvektor</w:t>
      </w:r>
    </w:p>
    <w:p w14:paraId="65573C8E" w14:textId="77777777" w:rsidR="00766E63" w:rsidRPr="00766E63" w:rsidRDefault="00766E63" w:rsidP="00766E63">
      <w:proofErr w:type="spellStart"/>
      <w:proofErr w:type="gramStart"/>
      <w:r w:rsidRPr="00766E63">
        <w:t>VˉG,t</w:t>
      </w:r>
      <w:proofErr w:type="spellEnd"/>
      <w:proofErr w:type="gramEnd"/>
      <w:r w:rsidRPr="00766E63">
        <w:t>=1n∑i=1nVi,t.\bar V_{</w:t>
      </w:r>
      <w:proofErr w:type="spellStart"/>
      <w:r w:rsidRPr="00766E63">
        <w:t>G,t</w:t>
      </w:r>
      <w:proofErr w:type="spellEnd"/>
      <w:r w:rsidRPr="00766E63">
        <w:t>} = \</w:t>
      </w:r>
      <w:proofErr w:type="spellStart"/>
      <w:r w:rsidRPr="00766E63">
        <w:t>frac</w:t>
      </w:r>
      <w:proofErr w:type="spellEnd"/>
      <w:r w:rsidRPr="00766E63">
        <w:t>{1}{n}\</w:t>
      </w:r>
      <w:proofErr w:type="spellStart"/>
      <w:r w:rsidRPr="00766E63">
        <w:t>sum</w:t>
      </w:r>
      <w:proofErr w:type="spellEnd"/>
      <w:r w:rsidRPr="00766E63">
        <w:t>_{i=1}^{n} V_{</w:t>
      </w:r>
      <w:proofErr w:type="spellStart"/>
      <w:r w:rsidRPr="00766E63">
        <w:t>i,t</w:t>
      </w:r>
      <w:proofErr w:type="spellEnd"/>
      <w:r w:rsidRPr="00766E63">
        <w:t>}.</w:t>
      </w:r>
      <w:proofErr w:type="spellStart"/>
      <w:r w:rsidRPr="00766E63">
        <w:t>VˉG,t</w:t>
      </w:r>
      <w:proofErr w:type="spellEnd"/>
      <w:r w:rsidRPr="00766E63">
        <w:t>​=n1​i=1∑n​</w:t>
      </w:r>
      <w:proofErr w:type="spellStart"/>
      <w:r w:rsidRPr="00766E63">
        <w:t>Vi,t</w:t>
      </w:r>
      <w:proofErr w:type="spellEnd"/>
      <w:r w:rsidRPr="00766E63">
        <w:t xml:space="preserve">​. </w:t>
      </w:r>
    </w:p>
    <w:p w14:paraId="5EBAF07F" w14:textId="77777777" w:rsidR="00766E63" w:rsidRPr="00766E63" w:rsidRDefault="00766E63" w:rsidP="00766E63">
      <w:r w:rsidRPr="00766E63">
        <w:t>Ergänzend werden drei zentrale Indizes bestimmt: (i) der Kohärenzindex als normiertes Verhältnis von Mittelvektor und mittlerer Einzelnorm, (ii) der Stabilitätsindex als inverse mittlere Distanz der Einzelvektoren zum Mittelwert sowie (iii) der Polarisierungsindex als dimensionsübergreifende Streuung.</w:t>
      </w:r>
    </w:p>
    <w:p w14:paraId="44A931F8" w14:textId="77777777" w:rsidR="00766E63" w:rsidRPr="00766E63" w:rsidRDefault="00766E63" w:rsidP="00766E63">
      <w:r w:rsidRPr="00766E63">
        <w:t>Die Analyse zeigt zunächst eine grundlegende Eigenschaft des Systems: Unabhängig von der Lehrkraft bleibt die globale Kohärenz auf einem sehr hohen Niveau. In nahezu allen aggregierten Zuständen gilt</w:t>
      </w:r>
    </w:p>
    <w:p w14:paraId="29EEDE46" w14:textId="77777777" w:rsidR="00766E63" w:rsidRPr="00766E63" w:rsidRDefault="00766E63" w:rsidP="00766E63">
      <w:r w:rsidRPr="00766E63">
        <w:t>C(St)≈</w:t>
      </w:r>
      <w:proofErr w:type="gramStart"/>
      <w:r w:rsidRPr="00766E63">
        <w:t>1,C</w:t>
      </w:r>
      <w:proofErr w:type="gramEnd"/>
      <w:r w:rsidRPr="00766E63">
        <w:t>(</w:t>
      </w:r>
      <w:proofErr w:type="spellStart"/>
      <w:r w:rsidRPr="00766E63">
        <w:t>S_t</w:t>
      </w:r>
      <w:proofErr w:type="spellEnd"/>
      <w:r w:rsidRPr="00766E63">
        <w:t>) \</w:t>
      </w:r>
      <w:proofErr w:type="spellStart"/>
      <w:r w:rsidRPr="00766E63">
        <w:t>approx</w:t>
      </w:r>
      <w:proofErr w:type="spellEnd"/>
      <w:r w:rsidRPr="00766E63">
        <w:t xml:space="preserve"> 1,C(St​)≈1, </w:t>
      </w:r>
    </w:p>
    <w:p w14:paraId="4BD1DB7A" w14:textId="77777777" w:rsidR="00766E63" w:rsidRPr="00766E63" w:rsidRDefault="00766E63" w:rsidP="00766E63">
      <w:r w:rsidRPr="00766E63">
        <w:t>was darauf hinweist, dass die erzeugten semantischen Vektoren in einem eng gebündelten Bedeutungsraum liegen. Beispielsweise erreicht ein typischer Zustand für Gruppe 2 den Wert C≈0,99986C \</w:t>
      </w:r>
      <w:proofErr w:type="spellStart"/>
      <w:r w:rsidRPr="00766E63">
        <w:t>approx</w:t>
      </w:r>
      <w:proofErr w:type="spellEnd"/>
      <w:r w:rsidRPr="00766E63">
        <w:t xml:space="preserve"> 0{,}99986C≈0,99986 bei gleichzeitig sehr geringer Streuung. </w:t>
      </w:r>
      <w:r w:rsidRPr="00766E63">
        <w:br/>
        <w:t>Diese Beobachtung ist nicht trivial, sondern belegt, dass das FRZK keine zufälligen oder fragmentierten Repräsentationen erzeugt, sondern ein hochkohärentes semantisches Feld.</w:t>
      </w:r>
    </w:p>
    <w:p w14:paraId="4CDDAC10" w14:textId="77777777" w:rsidR="00766E63" w:rsidRPr="00766E63" w:rsidRDefault="00766E63" w:rsidP="00766E63">
      <w:r w:rsidRPr="00766E63">
        <w:t>Die Stabilität liegt systematisch unterhalb der Kohärenz, bewegt sich jedoch weiterhin auf hohem Niveau. Typische Werte liegen im Intervall</w:t>
      </w:r>
    </w:p>
    <w:p w14:paraId="6F1ECC5C" w14:textId="77777777" w:rsidR="00766E63" w:rsidRPr="00766E63" w:rsidRDefault="00766E63" w:rsidP="00766E63">
      <w:r w:rsidRPr="00766E63">
        <w:t>S(St)</w:t>
      </w:r>
      <w:r w:rsidRPr="00766E63">
        <w:rPr>
          <w:rFonts w:ascii="Cambria Math" w:hAnsi="Cambria Math" w:cs="Cambria Math"/>
        </w:rPr>
        <w:t>∈</w:t>
      </w:r>
      <w:r w:rsidRPr="00766E63">
        <w:t>[0,90,0,98</w:t>
      </w:r>
      <w:proofErr w:type="gramStart"/>
      <w:r w:rsidRPr="00766E63">
        <w:t>],S</w:t>
      </w:r>
      <w:proofErr w:type="gramEnd"/>
      <w:r w:rsidRPr="00766E63">
        <w:t>(</w:t>
      </w:r>
      <w:proofErr w:type="spellStart"/>
      <w:r w:rsidRPr="00766E63">
        <w:t>S_t</w:t>
      </w:r>
      <w:proofErr w:type="spellEnd"/>
      <w:r w:rsidRPr="00766E63">
        <w:t>) \in [0{,}90, 0{,}98],S(St​)</w:t>
      </w:r>
      <w:r w:rsidRPr="00766E63">
        <w:rPr>
          <w:rFonts w:ascii="Cambria Math" w:hAnsi="Cambria Math" w:cs="Cambria Math"/>
        </w:rPr>
        <w:t>∈</w:t>
      </w:r>
      <w:r w:rsidRPr="00766E63">
        <w:t xml:space="preserve">[0,90,0,98], </w:t>
      </w:r>
    </w:p>
    <w:p w14:paraId="0B92CA81" w14:textId="77777777" w:rsidR="00766E63" w:rsidRPr="00766E63" w:rsidRDefault="00766E63" w:rsidP="00766E63">
      <w:r w:rsidRPr="00766E63">
        <w:t xml:space="preserve">wobei einzelne Wochen geringfügig </w:t>
      </w:r>
      <w:proofErr w:type="gramStart"/>
      <w:r w:rsidRPr="00766E63">
        <w:t>darunter fallen</w:t>
      </w:r>
      <w:proofErr w:type="gramEnd"/>
      <w:r w:rsidRPr="00766E63">
        <w:t xml:space="preserve"> können. Ein Beispiel zeigt für Gruppe 0 eine Stabilität von S≈0,8117S \</w:t>
      </w:r>
      <w:proofErr w:type="spellStart"/>
      <w:r w:rsidRPr="00766E63">
        <w:t>approx</w:t>
      </w:r>
      <w:proofErr w:type="spellEnd"/>
      <w:r w:rsidRPr="00766E63">
        <w:t xml:space="preserve"> 0{,}8117S≈0,8117, bei gleichzeitig weiterhin hoher Kohärenz von C≈0,9881C \</w:t>
      </w:r>
      <w:proofErr w:type="spellStart"/>
      <w:r w:rsidRPr="00766E63">
        <w:t>approx</w:t>
      </w:r>
      <w:proofErr w:type="spellEnd"/>
      <w:r w:rsidRPr="00766E63">
        <w:t xml:space="preserve"> 0{,}9881C≈0,9881. </w:t>
      </w:r>
      <w:r w:rsidRPr="00766E63">
        <w:br/>
        <w:t>Dies ist entscheidend: Die beobachtete Variation ist kein Ausdruck von Instabilität im Sinne eines Systemversagens, sondern Ausdruck kontrollierter innerer Streuung innerhalb eines stabilen Attraktors.</w:t>
      </w:r>
    </w:p>
    <w:p w14:paraId="196F6BB1" w14:textId="77777777" w:rsidR="00766E63" w:rsidRPr="00766E63" w:rsidRDefault="00766E63" w:rsidP="00766E63">
      <w:r w:rsidRPr="00766E63">
        <w:t>Der Polarisierungsindex bleibt über alle betrachteten Datensätze hinweg niedrig und bewegt sich typischerweise im Bereich</w:t>
      </w:r>
    </w:p>
    <w:p w14:paraId="62831AF3" w14:textId="77777777" w:rsidR="00766E63" w:rsidRPr="00766E63" w:rsidRDefault="00766E63" w:rsidP="00766E63">
      <w:r w:rsidRPr="00766E63">
        <w:t>P(St)</w:t>
      </w:r>
      <w:r w:rsidRPr="00766E63">
        <w:rPr>
          <w:rFonts w:ascii="Cambria Math" w:hAnsi="Cambria Math" w:cs="Cambria Math"/>
        </w:rPr>
        <w:t>∈</w:t>
      </w:r>
      <w:r w:rsidRPr="00766E63">
        <w:t>[0,01,0,05</w:t>
      </w:r>
      <w:proofErr w:type="gramStart"/>
      <w:r w:rsidRPr="00766E63">
        <w:t>].P</w:t>
      </w:r>
      <w:proofErr w:type="gramEnd"/>
      <w:r w:rsidRPr="00766E63">
        <w:t>(</w:t>
      </w:r>
      <w:proofErr w:type="spellStart"/>
      <w:r w:rsidRPr="00766E63">
        <w:t>S_t</w:t>
      </w:r>
      <w:proofErr w:type="spellEnd"/>
      <w:r w:rsidRPr="00766E63">
        <w:t>) \in [0{,}01, 0{,}05].P(St​)</w:t>
      </w:r>
      <w:r w:rsidRPr="00766E63">
        <w:rPr>
          <w:rFonts w:ascii="Cambria Math" w:hAnsi="Cambria Math" w:cs="Cambria Math"/>
        </w:rPr>
        <w:t>∈</w:t>
      </w:r>
      <w:r w:rsidRPr="00766E63">
        <w:t xml:space="preserve">[0,01,0,05]. </w:t>
      </w:r>
    </w:p>
    <w:p w14:paraId="5AADB837" w14:textId="77777777" w:rsidR="00766E63" w:rsidRPr="00766E63" w:rsidRDefault="00766E63" w:rsidP="00766E63">
      <w:r w:rsidRPr="00766E63">
        <w:t>Ein exemplarischer Wert von P≈0,016P \</w:t>
      </w:r>
      <w:proofErr w:type="spellStart"/>
      <w:r w:rsidRPr="00766E63">
        <w:t>approx</w:t>
      </w:r>
      <w:proofErr w:type="spellEnd"/>
      <w:r w:rsidRPr="00766E63">
        <w:t xml:space="preserve"> 0{,}016P≈0,016 verdeutlicht die geringe Divergenz der Einzelvektoren. </w:t>
      </w:r>
      <w:r w:rsidRPr="00766E63">
        <w:br/>
      </w:r>
      <w:r w:rsidRPr="00766E63">
        <w:lastRenderedPageBreak/>
        <w:t>Damit kann festgehalten werden, dass das System keine antagonistischen Bedeutungsräume ausbildet; vielmehr bleibt die semantische Struktur weitgehend homogen.</w:t>
      </w:r>
    </w:p>
    <w:p w14:paraId="5580EAF3" w14:textId="77777777" w:rsidR="00766E63" w:rsidRPr="00766E63" w:rsidRDefault="00766E63" w:rsidP="00766E63">
      <w:r w:rsidRPr="00766E63">
        <w:t xml:space="preserve">Vor diesem Hintergrund treten die Unterschiede zwischen Lehrkraft 1 und den übrigen Lehrkräften nicht als Unterschiede in der Kohärenz oder Grundstruktur hervor, sondern als Unterschiede in der </w:t>
      </w:r>
      <w:r w:rsidRPr="00766E63">
        <w:rPr>
          <w:b/>
          <w:bCs/>
        </w:rPr>
        <w:t>Feinstruktur der Dynamik</w:t>
      </w:r>
      <w:r w:rsidRPr="00766E63">
        <w:t>.</w:t>
      </w:r>
    </w:p>
    <w:p w14:paraId="4DC2455E" w14:textId="77777777" w:rsidR="00766E63" w:rsidRPr="00766E63" w:rsidRDefault="00766E63" w:rsidP="00766E63">
      <w:r w:rsidRPr="00766E63">
        <w:t xml:space="preserve">Für die Teilmenge </w:t>
      </w:r>
      <w:proofErr w:type="spellStart"/>
      <w:r w:rsidRPr="00766E63">
        <w:t>lehrkraft_id</w:t>
      </w:r>
      <w:proofErr w:type="spellEnd"/>
      <w:r w:rsidRPr="00766E63">
        <w:t xml:space="preserve"> = 1 zeigt sich eine besonders enge Bündelung der Zustände. Die Kohärenzwerte liegen nahezu durchgängig im Bereich C&gt;0,995C &gt; 0{,}995C&gt;0,995, bei gleichzeitig relativ geringer Varianz in den Stabilitätswerten. Die Polarisierung ist minimal und bewegt sich meist im unteren Bereich des beobachteten Spektrums. Diese Kombination weist auf ein stark konvergentes System hin, in dem die semantischen Zustände zielgerichtet auf einen gemeinsamen Attraktor zulaufen.</w:t>
      </w:r>
    </w:p>
    <w:p w14:paraId="30EBFFDD" w14:textId="77777777" w:rsidR="00766E63" w:rsidRPr="00766E63" w:rsidRDefault="00766E63" w:rsidP="00766E63">
      <w:r w:rsidRPr="00766E63">
        <w:t xml:space="preserve">Demgegenüber zeigt die Teilmenge </w:t>
      </w:r>
      <w:proofErr w:type="spellStart"/>
      <w:r w:rsidRPr="00766E63">
        <w:t>lehrkraft_id</w:t>
      </w:r>
      <w:proofErr w:type="spellEnd"/>
      <w:r w:rsidRPr="00766E63">
        <w:t xml:space="preserve"> ≠ 1 eine größere Streuung in Stabilität und Polarisierung. Während die Kohärenz weiterhin hoch bleibt, treten häufiger Werte unterhalb von C=0,995C = 0{,}995C=0,995 auf, und die Polarisierungsindizes erreichen höhere Werte bis etwa P≈0,034P \</w:t>
      </w:r>
      <w:proofErr w:type="spellStart"/>
      <w:r w:rsidRPr="00766E63">
        <w:t>approx</w:t>
      </w:r>
      <w:proofErr w:type="spellEnd"/>
      <w:r w:rsidRPr="00766E63">
        <w:t xml:space="preserve"> 0{,}034P≈0,034. </w:t>
      </w:r>
      <w:r w:rsidRPr="00766E63">
        <w:br/>
        <w:t>Dies deutet auf eine stärkere interne Differenzierung hin, ohne jedoch die grundlegende Kohärenz des Systems zu gefährden.</w:t>
      </w:r>
    </w:p>
    <w:p w14:paraId="68C39D85" w14:textId="77777777" w:rsidR="00766E63" w:rsidRPr="00766E63" w:rsidRDefault="00766E63" w:rsidP="00766E63">
      <w:r w:rsidRPr="00766E63">
        <w:t>Der Unterschied lässt sich präzise als Differenz zweier Systemtypen formulieren:</w:t>
      </w:r>
    </w:p>
    <w:p w14:paraId="337EE829" w14:textId="77777777" w:rsidR="00766E63" w:rsidRPr="00766E63" w:rsidRDefault="00766E63" w:rsidP="00766E63">
      <w:r w:rsidRPr="00766E63">
        <w:t xml:space="preserve">Für Lehrkraft 1 ergibt sich ein </w:t>
      </w:r>
      <w:r w:rsidRPr="00766E63">
        <w:rPr>
          <w:b/>
          <w:bCs/>
        </w:rPr>
        <w:t xml:space="preserve">konvergenter </w:t>
      </w:r>
      <w:proofErr w:type="spellStart"/>
      <w:r w:rsidRPr="00766E63">
        <w:rPr>
          <w:b/>
          <w:bCs/>
        </w:rPr>
        <w:t>Attraktorraum</w:t>
      </w:r>
      <w:proofErr w:type="spellEnd"/>
      <w:r w:rsidRPr="00766E63">
        <w:t>, charakterisiert durch</w:t>
      </w:r>
    </w:p>
    <w:p w14:paraId="269D3580" w14:textId="77777777" w:rsidR="00766E63" w:rsidRPr="00766E63" w:rsidRDefault="00766E63" w:rsidP="00766E63">
      <w:proofErr w:type="gramStart"/>
      <w:r w:rsidRPr="00766E63">
        <w:t>Var(</w:t>
      </w:r>
      <w:proofErr w:type="spellStart"/>
      <w:proofErr w:type="gramEnd"/>
      <w:r w:rsidRPr="00766E63">
        <w:t>Vi,t</w:t>
      </w:r>
      <w:proofErr w:type="spellEnd"/>
      <w:r w:rsidRPr="00766E63">
        <w:t>)→</w:t>
      </w:r>
      <w:proofErr w:type="spellStart"/>
      <w:r w:rsidRPr="00766E63">
        <w:t>min</w:t>
      </w:r>
      <w:r w:rsidRPr="00766E63">
        <w:rPr>
          <w:rFonts w:ascii="Cambria Math" w:hAnsi="Cambria Math" w:cs="Cambria Math"/>
        </w:rPr>
        <w:t>⁡</w:t>
      </w:r>
      <w:r w:rsidRPr="00766E63">
        <w:t>,C</w:t>
      </w:r>
      <w:proofErr w:type="spellEnd"/>
      <w:r w:rsidRPr="00766E63">
        <w:t>(St)</w:t>
      </w:r>
      <w:r w:rsidRPr="00766E63">
        <w:rPr>
          <w:rFonts w:cs="Calibri"/>
        </w:rPr>
        <w:t>→</w:t>
      </w:r>
      <w:r w:rsidRPr="00766E63">
        <w:t>1,P(St)</w:t>
      </w:r>
      <w:r w:rsidRPr="00766E63">
        <w:rPr>
          <w:rFonts w:cs="Calibri"/>
        </w:rPr>
        <w:t>→</w:t>
      </w:r>
      <w:r w:rsidRPr="00766E63">
        <w:t>0.\</w:t>
      </w:r>
      <w:proofErr w:type="spellStart"/>
      <w:r w:rsidRPr="00766E63">
        <w:t>text</w:t>
      </w:r>
      <w:proofErr w:type="spellEnd"/>
      <w:r w:rsidRPr="00766E63">
        <w:t>{Var}(V_{</w:t>
      </w:r>
      <w:proofErr w:type="spellStart"/>
      <w:r w:rsidRPr="00766E63">
        <w:t>i,t</w:t>
      </w:r>
      <w:proofErr w:type="spellEnd"/>
      <w:r w:rsidRPr="00766E63">
        <w:t>}) \</w:t>
      </w:r>
      <w:proofErr w:type="spellStart"/>
      <w:r w:rsidRPr="00766E63">
        <w:t>rightarrow</w:t>
      </w:r>
      <w:proofErr w:type="spellEnd"/>
      <w:r w:rsidRPr="00766E63">
        <w:t xml:space="preserve"> \min,\</w:t>
      </w:r>
      <w:proofErr w:type="spellStart"/>
      <w:r w:rsidRPr="00766E63">
        <w:t>quad</w:t>
      </w:r>
      <w:proofErr w:type="spellEnd"/>
      <w:r w:rsidRPr="00766E63">
        <w:t xml:space="preserve"> C(</w:t>
      </w:r>
      <w:proofErr w:type="spellStart"/>
      <w:r w:rsidRPr="00766E63">
        <w:t>S_t</w:t>
      </w:r>
      <w:proofErr w:type="spellEnd"/>
      <w:r w:rsidRPr="00766E63">
        <w:t>) \</w:t>
      </w:r>
      <w:proofErr w:type="spellStart"/>
      <w:r w:rsidRPr="00766E63">
        <w:t>rightarrow</w:t>
      </w:r>
      <w:proofErr w:type="spellEnd"/>
      <w:r w:rsidRPr="00766E63">
        <w:t xml:space="preserve"> 1,\</w:t>
      </w:r>
      <w:proofErr w:type="spellStart"/>
      <w:r w:rsidRPr="00766E63">
        <w:t>quad</w:t>
      </w:r>
      <w:proofErr w:type="spellEnd"/>
      <w:r w:rsidRPr="00766E63">
        <w:t xml:space="preserve"> P(</w:t>
      </w:r>
      <w:proofErr w:type="spellStart"/>
      <w:r w:rsidRPr="00766E63">
        <w:t>S_t</w:t>
      </w:r>
      <w:proofErr w:type="spellEnd"/>
      <w:r w:rsidRPr="00766E63">
        <w:t>) \</w:t>
      </w:r>
      <w:proofErr w:type="spellStart"/>
      <w:r w:rsidRPr="00766E63">
        <w:t>rightarrow</w:t>
      </w:r>
      <w:proofErr w:type="spellEnd"/>
      <w:r w:rsidRPr="00766E63">
        <w:t xml:space="preserve"> 0.Var(</w:t>
      </w:r>
      <w:proofErr w:type="spellStart"/>
      <w:r w:rsidRPr="00766E63">
        <w:t>Vi,t</w:t>
      </w:r>
      <w:proofErr w:type="spellEnd"/>
      <w:r w:rsidRPr="00766E63">
        <w:t>​)→</w:t>
      </w:r>
      <w:proofErr w:type="spellStart"/>
      <w:r w:rsidRPr="00766E63">
        <w:t>min,C</w:t>
      </w:r>
      <w:proofErr w:type="spellEnd"/>
      <w:r w:rsidRPr="00766E63">
        <w:t xml:space="preserve">(St​)→1,P(St​)→0. </w:t>
      </w:r>
    </w:p>
    <w:p w14:paraId="781A49B6" w14:textId="77777777" w:rsidR="00766E63" w:rsidRPr="00766E63" w:rsidRDefault="00766E63" w:rsidP="00766E63">
      <w:r w:rsidRPr="00766E63">
        <w:t xml:space="preserve">Für die übrigen Lehrkräfte ergibt sich ein </w:t>
      </w:r>
      <w:r w:rsidRPr="00766E63">
        <w:rPr>
          <w:b/>
          <w:bCs/>
        </w:rPr>
        <w:t xml:space="preserve">diffuser </w:t>
      </w:r>
      <w:proofErr w:type="spellStart"/>
      <w:r w:rsidRPr="00766E63">
        <w:rPr>
          <w:b/>
          <w:bCs/>
        </w:rPr>
        <w:t>Attraktorraum</w:t>
      </w:r>
      <w:proofErr w:type="spellEnd"/>
      <w:r w:rsidRPr="00766E63">
        <w:t>, charakterisiert durch</w:t>
      </w:r>
    </w:p>
    <w:p w14:paraId="238ABFA2" w14:textId="77777777" w:rsidR="00766E63" w:rsidRPr="00766E63" w:rsidRDefault="00766E63" w:rsidP="00766E63">
      <w:r w:rsidRPr="00766E63">
        <w:t>Var(</w:t>
      </w:r>
      <w:proofErr w:type="spellStart"/>
      <w:r w:rsidRPr="00766E63">
        <w:t>Vi,t</w:t>
      </w:r>
      <w:proofErr w:type="spellEnd"/>
      <w:r w:rsidRPr="00766E63">
        <w:t>)&gt;VarLK1,C(St)</w:t>
      </w:r>
      <w:r w:rsidRPr="00766E63">
        <w:rPr>
          <w:rFonts w:ascii="Cambria Math" w:hAnsi="Cambria Math" w:cs="Cambria Math"/>
        </w:rPr>
        <w:t>≲</w:t>
      </w:r>
      <w:r w:rsidRPr="00766E63">
        <w:t>1,P(St)&gt;PLK1.\</w:t>
      </w:r>
      <w:proofErr w:type="spellStart"/>
      <w:r w:rsidRPr="00766E63">
        <w:t>text</w:t>
      </w:r>
      <w:proofErr w:type="spellEnd"/>
      <w:r w:rsidRPr="00766E63">
        <w:t>{Var}(V_{</w:t>
      </w:r>
      <w:proofErr w:type="spellStart"/>
      <w:r w:rsidRPr="00766E63">
        <w:t>i,t</w:t>
      </w:r>
      <w:proofErr w:type="spellEnd"/>
      <w:r w:rsidRPr="00766E63">
        <w:t>}) &gt; \</w:t>
      </w:r>
      <w:proofErr w:type="spellStart"/>
      <w:r w:rsidRPr="00766E63">
        <w:t>text</w:t>
      </w:r>
      <w:proofErr w:type="spellEnd"/>
      <w:r w:rsidRPr="00766E63">
        <w:t>{Var}_{LK1},\</w:t>
      </w:r>
      <w:proofErr w:type="spellStart"/>
      <w:r w:rsidRPr="00766E63">
        <w:t>quad</w:t>
      </w:r>
      <w:proofErr w:type="spellEnd"/>
      <w:r w:rsidRPr="00766E63">
        <w:t xml:space="preserve"> C(</w:t>
      </w:r>
      <w:proofErr w:type="spellStart"/>
      <w:r w:rsidRPr="00766E63">
        <w:t>S_t</w:t>
      </w:r>
      <w:proofErr w:type="spellEnd"/>
      <w:r w:rsidRPr="00766E63">
        <w:t>) \</w:t>
      </w:r>
      <w:proofErr w:type="spellStart"/>
      <w:r w:rsidRPr="00766E63">
        <w:t>lesssim</w:t>
      </w:r>
      <w:proofErr w:type="spellEnd"/>
      <w:r w:rsidRPr="00766E63">
        <w:t xml:space="preserve"> 1,\</w:t>
      </w:r>
      <w:proofErr w:type="spellStart"/>
      <w:r w:rsidRPr="00766E63">
        <w:t>quad</w:t>
      </w:r>
      <w:proofErr w:type="spellEnd"/>
      <w:r w:rsidRPr="00766E63">
        <w:t xml:space="preserve"> P(</w:t>
      </w:r>
      <w:proofErr w:type="spellStart"/>
      <w:r w:rsidRPr="00766E63">
        <w:t>S_t</w:t>
      </w:r>
      <w:proofErr w:type="spellEnd"/>
      <w:r w:rsidRPr="00766E63">
        <w:t>) &gt; P_{LK1}.Var(</w:t>
      </w:r>
      <w:proofErr w:type="spellStart"/>
      <w:r w:rsidRPr="00766E63">
        <w:t>Vi,t</w:t>
      </w:r>
      <w:proofErr w:type="spellEnd"/>
      <w:r w:rsidRPr="00766E63">
        <w:t>​)&gt;VarLK1​,C(St​)</w:t>
      </w:r>
      <w:r w:rsidRPr="00766E63">
        <w:rPr>
          <w:rFonts w:ascii="Cambria Math" w:hAnsi="Cambria Math" w:cs="Cambria Math"/>
        </w:rPr>
        <w:t>≲</w:t>
      </w:r>
      <w:r w:rsidRPr="00766E63">
        <w:t xml:space="preserve">1,P(St​)&gt;PLK1​. </w:t>
      </w:r>
    </w:p>
    <w:p w14:paraId="1CE66EB7" w14:textId="77777777" w:rsidR="00766E63" w:rsidRPr="00766E63" w:rsidRDefault="00766E63" w:rsidP="00766E63">
      <w:r w:rsidRPr="00766E63">
        <w:t>Diese Differenz betrifft nicht die Existenz von Struktur, sondern deren Ausprägung. Beide Systeme bleiben kohärent, jedoch unterscheidet sich die Art der semantischen Steuerung.</w:t>
      </w:r>
    </w:p>
    <w:p w14:paraId="4F32132F" w14:textId="77777777" w:rsidR="00766E63" w:rsidRPr="00766E63" w:rsidRDefault="00766E63" w:rsidP="00766E63">
      <w:r w:rsidRPr="00766E63">
        <w:t xml:space="preserve">Ein weiterer zentraler Befund betrifft die Dominanzstruktur. In beiden Datensätzen dominieren überwiegend die Dimensionen Kognition und Performanz. Ein Beispiel zeigt eine klare Dominanz der </w:t>
      </w:r>
      <w:proofErr w:type="spellStart"/>
      <w:r w:rsidRPr="00766E63">
        <w:t>Performanzdimension</w:t>
      </w:r>
      <w:proofErr w:type="spellEnd"/>
      <w:r w:rsidRPr="00766E63">
        <w:t xml:space="preserve"> bei gleichzeitig hoher Gesamtkohärenz. </w:t>
      </w:r>
      <w:r w:rsidRPr="00766E63">
        <w:br/>
        <w:t>Diese Dominanz ist jedoch bei Lehrkraft 1 stabiler und weniger fluktuierend, während bei anderen Lehrkräften häufiger Wechsel zwischen verschiedenen Dimensionen auftreten. Dies weist auf unterschiedliche Grade semantischer Fokussierung hin.</w:t>
      </w:r>
    </w:p>
    <w:p w14:paraId="4F16CE76" w14:textId="77777777" w:rsidR="00766E63" w:rsidRPr="00766E63" w:rsidRDefault="00766E63" w:rsidP="00766E63">
      <w:r w:rsidRPr="00766E63">
        <w:t>Die Polaritätsanalyse verstärkt diesen Befund. In nahezu allen Fällen gilt</w:t>
      </w:r>
    </w:p>
    <w:p w14:paraId="38FB5D49" w14:textId="77777777" w:rsidR="00766E63" w:rsidRPr="00766E63" w:rsidRDefault="00766E63" w:rsidP="00766E63">
      <w:r w:rsidRPr="00766E63">
        <w:t>polaritaet_positiv=1.</w:t>
      </w:r>
      <w:proofErr w:type="gramStart"/>
      <w:r w:rsidRPr="00766E63">
        <w:t>0,polaritaet</w:t>
      </w:r>
      <w:proofErr w:type="gramEnd"/>
      <w:r w:rsidRPr="00766E63">
        <w:t>_negativ=0.0,\text{polaritaet\_positiv} = 1.0,\</w:t>
      </w:r>
      <w:proofErr w:type="spellStart"/>
      <w:r w:rsidRPr="00766E63">
        <w:t>quad</w:t>
      </w:r>
      <w:proofErr w:type="spellEnd"/>
      <w:r w:rsidRPr="00766E63">
        <w:t xml:space="preserve"> \</w:t>
      </w:r>
      <w:proofErr w:type="spellStart"/>
      <w:r w:rsidRPr="00766E63">
        <w:t>text</w:t>
      </w:r>
      <w:proofErr w:type="spellEnd"/>
      <w:r w:rsidRPr="00766E63">
        <w:t>{</w:t>
      </w:r>
      <w:proofErr w:type="spellStart"/>
      <w:r w:rsidRPr="00766E63">
        <w:t>polaritaet</w:t>
      </w:r>
      <w:proofErr w:type="spellEnd"/>
      <w:r w:rsidRPr="00766E63">
        <w:t xml:space="preserve">\_negativ} = 0.0,polaritaet_positiv=1.0,polaritaet_negativ=0.0, </w:t>
      </w:r>
    </w:p>
    <w:p w14:paraId="1E3679E3" w14:textId="77777777" w:rsidR="00766E63" w:rsidRPr="00766E63" w:rsidRDefault="00766E63" w:rsidP="00766E63">
      <w:r w:rsidRPr="00766E63">
        <w:t xml:space="preserve">was auf eine durchgehend positive semantische Grundstruktur hinweist. </w:t>
      </w:r>
      <w:r w:rsidRPr="00766E63">
        <w:br/>
        <w:t>Konfliktive oder negativ dominierte Zustände treten im betrachteten Datensatz nicht auf. Dies bedeutet, dass die Unterschiede zwischen den Lehrkräften nicht durch Gegensätze oder Konflikte entstehen, sondern ausschließlich durch Unterschiede in der internen Strukturierung eines grundsätzlich stabilen Feldes.</w:t>
      </w:r>
    </w:p>
    <w:p w14:paraId="2AEEAE11" w14:textId="77777777" w:rsidR="00766E63" w:rsidRPr="00766E63" w:rsidRDefault="00766E63" w:rsidP="00766E63">
      <w:r w:rsidRPr="00766E63">
        <w:t xml:space="preserve">Aus FRZK-Perspektive lässt sich daraus eine zentrale Schlussfolgerung ableiten: Die Lehrkraft fungiert nicht als Störgröße, sondern als </w:t>
      </w:r>
      <w:r w:rsidRPr="00766E63">
        <w:rPr>
          <w:b/>
          <w:bCs/>
        </w:rPr>
        <w:t>Strukturparameter</w:t>
      </w:r>
      <w:r w:rsidRPr="00766E63">
        <w:t xml:space="preserve">, der die Form des </w:t>
      </w:r>
      <w:proofErr w:type="spellStart"/>
      <w:r w:rsidRPr="00766E63">
        <w:lastRenderedPageBreak/>
        <w:t>Attraktorraums</w:t>
      </w:r>
      <w:proofErr w:type="spellEnd"/>
      <w:r w:rsidRPr="00766E63">
        <w:t xml:space="preserve"> beeinflusst, ohne dessen Existenz zu gefährden. Formal lässt sich dies als Abbildung</w:t>
      </w:r>
    </w:p>
    <w:p w14:paraId="21988949" w14:textId="77777777" w:rsidR="00766E63" w:rsidRPr="00766E63" w:rsidRDefault="00766E63" w:rsidP="00766E63">
      <w:r w:rsidRPr="00766E63">
        <w:t>L:S→S′L: S \</w:t>
      </w:r>
      <w:proofErr w:type="spellStart"/>
      <w:r w:rsidRPr="00766E63">
        <w:t>rightarrow</w:t>
      </w:r>
      <w:proofErr w:type="spellEnd"/>
      <w:r w:rsidRPr="00766E63">
        <w:t xml:space="preserve"> S'L:S→S′ </w:t>
      </w:r>
    </w:p>
    <w:p w14:paraId="73D77774" w14:textId="77777777" w:rsidR="00766E63" w:rsidRPr="00766E63" w:rsidRDefault="00766E63" w:rsidP="00766E63">
      <w:r w:rsidRPr="00766E63">
        <w:t>auffassen, wobei SSS den ursprünglichen semantischen Raum und S′S'S′ den durch die Lehrkraft transformierten Raum bezeichnet. Diese Transformation verändert die Streuung und Dominanzstruktur, lässt jedoch die Kohärenzbedingung invariant.</w:t>
      </w:r>
    </w:p>
    <w:p w14:paraId="2C0E975A" w14:textId="77777777" w:rsidR="00766E63" w:rsidRPr="00766E63" w:rsidRDefault="00766E63" w:rsidP="00766E63">
      <w:r w:rsidRPr="00766E63">
        <w:t>Damit ergibt sich der zentrale Befund dieses Abschnitts: Das FRZK erzeugt unabhängig von der Lehrkraft einen hochkohärenten semantischen Raum. Unterschiede zwischen Lehrkräften manifestieren sich ausschließlich in der inneren Struktur dieses Raums, insbesondere in der Varianz, Polarisierung und Dominanzverteilung der Dimensionen. Lehrkraft 1 erzeugt dabei eine stärker konvergente, gerichtete Dynamik, während andere Lehrkräfte zu einer breiteren, diffuseren Verteilung innerhalb desselben stabilen Rahmens führen.</w:t>
      </w:r>
    </w:p>
    <w:p w14:paraId="46D11510" w14:textId="77777777" w:rsidR="00766E63" w:rsidRPr="00766E63" w:rsidRDefault="00766E63" w:rsidP="00766E63">
      <w:r w:rsidRPr="00766E63">
        <w:t>Diese Ergebnisse stützen die grundlegende These des FRZK, dass Bedeutung als emergente Eigenschaft eines funktionalen Zustandsraums zu verstehen ist, dessen globale Kohärenz robust gegenüber lokalen Variationen bleibt, während die konkrete Ausformung dieses Raums durch operative Parameter – hier die Lehrkraft – moduliert wird.</w:t>
      </w:r>
    </w:p>
    <w:p w14:paraId="038FF58D"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575130">
    <w:abstractNumId w:val="0"/>
  </w:num>
  <w:num w:numId="2" w16cid:durableId="1832594776">
    <w:abstractNumId w:val="1"/>
  </w:num>
  <w:num w:numId="3" w16cid:durableId="1263152170">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63"/>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66E63"/>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A885"/>
  <w15:chartTrackingRefBased/>
  <w15:docId w15:val="{31B818EA-4F74-46B0-AE0F-68DA21EE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9465294">
      <w:bodyDiv w:val="1"/>
      <w:marLeft w:val="0"/>
      <w:marRight w:val="0"/>
      <w:marTop w:val="0"/>
      <w:marBottom w:val="0"/>
      <w:divBdr>
        <w:top w:val="none" w:sz="0" w:space="0" w:color="auto"/>
        <w:left w:val="none" w:sz="0" w:space="0" w:color="auto"/>
        <w:bottom w:val="none" w:sz="0" w:space="0" w:color="auto"/>
        <w:right w:val="none" w:sz="0" w:space="0" w:color="auto"/>
      </w:divBdr>
    </w:div>
    <w:div w:id="155303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1052</Words>
  <Characters>6633</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2026-04-20T10:06:00Z</dcterms:created>
  <dcterms:modified xsi:type="dcterms:W3CDTF">2026-04-20T10:06:00Z</dcterms:modified>
</cp:coreProperties>
</file>