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D057C" w14:textId="77777777" w:rsidR="00901AC7" w:rsidRPr="00901AC7" w:rsidRDefault="00901AC7" w:rsidP="00901AC7">
      <w:r w:rsidRPr="00901AC7">
        <w:rPr>
          <w:b/>
          <w:bCs/>
        </w:rPr>
        <w:t>6.x Datenanalyse und theoretische Einordnung der zeitverzögerten Wirkung semantischer Variation im FRZK</w:t>
      </w:r>
    </w:p>
    <w:p w14:paraId="15E8197D" w14:textId="77777777" w:rsidR="00901AC7" w:rsidRPr="00901AC7" w:rsidRDefault="00901AC7" w:rsidP="00901AC7">
      <w:r w:rsidRPr="00901AC7">
        <w:t>Die empirische Analyse der vorliegenden Daten verfolgt das Ziel, die im FRZK formal entwickelten Konzepte – semantischer Zustandsraum, Kohärenz, Variation und Dynamik – nicht nur abstrakt zu beschreiben, sondern anhand realer Unterrichtsdaten zu rekonstruieren und zu validieren. Grundlage bildet ein längsschnittlicher Datensatz aus individualisierten Nachhilfesituationen, in denen verbale Rückmeldungen systematisch in semantische Vektoren überführt wurden. Die Transformation erfolgt über eine Abbildung</w:t>
      </w:r>
    </w:p>
    <w:p w14:paraId="04268B6C" w14:textId="77777777" w:rsidR="00901AC7" w:rsidRPr="00901AC7" w:rsidRDefault="00901AC7" w:rsidP="00901AC7">
      <w:r w:rsidRPr="00901AC7">
        <w:t>Φ:S</w:t>
      </w:r>
      <w:r w:rsidRPr="00901AC7">
        <w:rPr>
          <w:rFonts w:ascii="Cambria Math" w:hAnsi="Cambria Math" w:cs="Cambria Math"/>
        </w:rPr>
        <w:t>↦</w:t>
      </w:r>
      <w:r w:rsidRPr="00901AC7">
        <w:t>V</w:t>
      </w:r>
      <w:r w:rsidRPr="00901AC7">
        <w:rPr>
          <w:rFonts w:ascii="Segoe UI Symbol" w:hAnsi="Segoe UI Symbol" w:cs="Segoe UI Symbol"/>
        </w:rPr>
        <w:t>⃗</w:t>
      </w:r>
      <w:r w:rsidRPr="00901AC7">
        <w:t>S</w:t>
      </w:r>
      <w:r w:rsidRPr="00901AC7">
        <w:rPr>
          <w:rFonts w:ascii="Cambria Math" w:hAnsi="Cambria Math" w:cs="Cambria Math"/>
        </w:rPr>
        <w:t>∈</w:t>
      </w:r>
      <w:r w:rsidRPr="00901AC7">
        <w:t>R</w:t>
      </w:r>
      <w:proofErr w:type="gramStart"/>
      <w:r w:rsidRPr="00901AC7">
        <w:t>7,\</w:t>
      </w:r>
      <w:proofErr w:type="gramEnd"/>
      <w:r w:rsidRPr="00901AC7">
        <w:t>Phi: S \</w:t>
      </w:r>
      <w:proofErr w:type="spellStart"/>
      <w:r w:rsidRPr="00901AC7">
        <w:t>mapsto</w:t>
      </w:r>
      <w:proofErr w:type="spellEnd"/>
      <w:r w:rsidRPr="00901AC7">
        <w:t xml:space="preserve"> \</w:t>
      </w:r>
      <w:proofErr w:type="spellStart"/>
      <w:r w:rsidRPr="00901AC7">
        <w:t>vec</w:t>
      </w:r>
      <w:proofErr w:type="spellEnd"/>
      <w:r w:rsidRPr="00901AC7">
        <w:t>{V}_S \in \</w:t>
      </w:r>
      <w:proofErr w:type="spellStart"/>
      <w:r w:rsidRPr="00901AC7">
        <w:t>mathbb</w:t>
      </w:r>
      <w:proofErr w:type="spellEnd"/>
      <w:r w:rsidRPr="00901AC7">
        <w:t>{R}^7,Φ:S</w:t>
      </w:r>
      <w:r w:rsidRPr="00901AC7">
        <w:rPr>
          <w:rFonts w:ascii="Cambria Math" w:hAnsi="Cambria Math" w:cs="Cambria Math"/>
        </w:rPr>
        <w:t>↦</w:t>
      </w:r>
      <w:r w:rsidRPr="00901AC7">
        <w:t>VS​</w:t>
      </w:r>
      <w:r w:rsidRPr="00901AC7">
        <w:rPr>
          <w:rFonts w:ascii="Cambria Math" w:hAnsi="Cambria Math" w:cs="Cambria Math"/>
        </w:rPr>
        <w:t>∈</w:t>
      </w:r>
      <w:r w:rsidRPr="00901AC7">
        <w:t xml:space="preserve">R7, </w:t>
      </w:r>
    </w:p>
    <w:p w14:paraId="55BF5023" w14:textId="77777777" w:rsidR="00901AC7" w:rsidRPr="00901AC7" w:rsidRDefault="00901AC7" w:rsidP="00901AC7">
      <w:r w:rsidRPr="00901AC7">
        <w:t>wobei die Dimensionen Kognition, Sozialität, Affektivität, Motivation, Methodik, Performanz und Regulation zentrale Komponenten von Lernprozessen repräsentieren, wie sie auch in der internationalen Bildungsforschung beschrieben werden [1][2].</w:t>
      </w:r>
    </w:p>
    <w:p w14:paraId="2772431E" w14:textId="77777777" w:rsidR="00901AC7" w:rsidRPr="00901AC7" w:rsidRDefault="00901AC7" w:rsidP="00901AC7">
      <w:r w:rsidRPr="00901AC7">
        <w:t>Die semantische Dichte eines Zustands wird definiert als</w:t>
      </w:r>
    </w:p>
    <w:p w14:paraId="6585A35F" w14:textId="77777777" w:rsidR="00901AC7" w:rsidRPr="00901AC7" w:rsidRDefault="00901AC7" w:rsidP="00901AC7">
      <w:proofErr w:type="spellStart"/>
      <w:r w:rsidRPr="00901AC7">
        <w:t>dS</w:t>
      </w:r>
      <w:proofErr w:type="spellEnd"/>
      <w:r w:rsidRPr="00901AC7">
        <w:t>=</w:t>
      </w:r>
      <w:r w:rsidRPr="00901AC7">
        <w:rPr>
          <w:rFonts w:ascii="Cambria Math" w:hAnsi="Cambria Math" w:cs="Cambria Math"/>
        </w:rPr>
        <w:t>∥</w:t>
      </w:r>
      <w:r w:rsidRPr="00901AC7">
        <w:t>V</w:t>
      </w:r>
      <w:r w:rsidRPr="00901AC7">
        <w:rPr>
          <w:rFonts w:ascii="Segoe UI Symbol" w:hAnsi="Segoe UI Symbol" w:cs="Segoe UI Symbol"/>
        </w:rPr>
        <w:t>⃗</w:t>
      </w:r>
      <w:r w:rsidRPr="00901AC7">
        <w:t>S</w:t>
      </w:r>
      <w:r w:rsidRPr="00901AC7">
        <w:rPr>
          <w:rFonts w:ascii="Cambria Math" w:hAnsi="Cambria Math" w:cs="Cambria Math"/>
        </w:rPr>
        <w:t>∥</w:t>
      </w:r>
      <w:proofErr w:type="gramStart"/>
      <w:r w:rsidRPr="00901AC7">
        <w:t>2,d</w:t>
      </w:r>
      <w:proofErr w:type="gramEnd"/>
      <w:r w:rsidRPr="00901AC7">
        <w:t>_S = \|\</w:t>
      </w:r>
      <w:proofErr w:type="spellStart"/>
      <w:r w:rsidRPr="00901AC7">
        <w:t>vec</w:t>
      </w:r>
      <w:proofErr w:type="spellEnd"/>
      <w:r w:rsidRPr="00901AC7">
        <w:t>{V}_S\|_2,dS​=</w:t>
      </w:r>
      <w:r w:rsidRPr="00901AC7">
        <w:rPr>
          <w:rFonts w:ascii="Cambria Math" w:hAnsi="Cambria Math" w:cs="Cambria Math"/>
        </w:rPr>
        <w:t>∥</w:t>
      </w:r>
      <w:r w:rsidRPr="00901AC7">
        <w:t>VS​</w:t>
      </w:r>
      <w:r w:rsidRPr="00901AC7">
        <w:rPr>
          <w:rFonts w:ascii="Cambria Math" w:hAnsi="Cambria Math" w:cs="Cambria Math"/>
        </w:rPr>
        <w:t>∥</w:t>
      </w:r>
      <w:r w:rsidRPr="00901AC7">
        <w:t xml:space="preserve">2​, </w:t>
      </w:r>
    </w:p>
    <w:p w14:paraId="52D96CAC" w14:textId="77777777" w:rsidR="00901AC7" w:rsidRPr="00901AC7" w:rsidRDefault="00901AC7" w:rsidP="00901AC7">
      <w:r w:rsidRPr="00901AC7">
        <w:t>und dient als Maß für die Intensität der semantischen Ausprägung. Die deskriptive Analyse ergibt:</w:t>
      </w:r>
    </w:p>
    <w:p w14:paraId="7A2AD14E" w14:textId="77777777" w:rsidR="00901AC7" w:rsidRPr="00901AC7" w:rsidRDefault="00901AC7" w:rsidP="00901AC7">
      <w:r w:rsidRPr="00901AC7">
        <w:rPr>
          <w:b/>
          <w:bCs/>
        </w:rPr>
        <w:t>Tabelle 6.x.1: Deskriptive Kennwerte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25"/>
        <w:gridCol w:w="2465"/>
        <w:gridCol w:w="1223"/>
        <w:gridCol w:w="1151"/>
      </w:tblGrid>
      <w:tr w:rsidR="00901AC7" w:rsidRPr="00901AC7" w14:paraId="61DB7D03" w14:textId="77777777" w:rsidTr="00901AC7">
        <w:trPr>
          <w:tblHeader/>
          <w:tblCellSpacing w:w="15" w:type="dxa"/>
        </w:trPr>
        <w:tc>
          <w:tcPr>
            <w:tcW w:w="0" w:type="auto"/>
            <w:vAlign w:val="center"/>
            <w:hideMark/>
          </w:tcPr>
          <w:p w14:paraId="57ACA0D5" w14:textId="77777777" w:rsidR="00901AC7" w:rsidRPr="00901AC7" w:rsidRDefault="00901AC7" w:rsidP="00901AC7">
            <w:pPr>
              <w:rPr>
                <w:b/>
                <w:bCs/>
              </w:rPr>
            </w:pPr>
            <w:r w:rsidRPr="00901AC7">
              <w:rPr>
                <w:b/>
                <w:bCs/>
              </w:rPr>
              <w:t>Gruppe</w:t>
            </w:r>
          </w:p>
        </w:tc>
        <w:tc>
          <w:tcPr>
            <w:tcW w:w="0" w:type="auto"/>
            <w:vAlign w:val="center"/>
            <w:hideMark/>
          </w:tcPr>
          <w:p w14:paraId="14A30331" w14:textId="77777777" w:rsidR="00901AC7" w:rsidRPr="00901AC7" w:rsidRDefault="00901AC7" w:rsidP="00901AC7">
            <w:pPr>
              <w:rPr>
                <w:b/>
                <w:bCs/>
              </w:rPr>
            </w:pPr>
            <w:r w:rsidRPr="00901AC7">
              <w:rPr>
                <w:b/>
                <w:bCs/>
              </w:rPr>
              <w:t>n</w:t>
            </w:r>
          </w:p>
        </w:tc>
        <w:tc>
          <w:tcPr>
            <w:tcW w:w="0" w:type="auto"/>
            <w:vAlign w:val="center"/>
            <w:hideMark/>
          </w:tcPr>
          <w:p w14:paraId="4CBE3349" w14:textId="77777777" w:rsidR="00901AC7" w:rsidRPr="00901AC7" w:rsidRDefault="00901AC7" w:rsidP="00901AC7">
            <w:pPr>
              <w:rPr>
                <w:b/>
                <w:bCs/>
              </w:rPr>
            </w:pPr>
            <w:r w:rsidRPr="00901AC7">
              <w:rPr>
                <w:b/>
                <w:bCs/>
              </w:rPr>
              <w:t xml:space="preserve">mittlere Dichte </w:t>
            </w:r>
            <w:proofErr w:type="spellStart"/>
            <w:r w:rsidRPr="00901AC7">
              <w:rPr>
                <w:b/>
                <w:bCs/>
              </w:rPr>
              <w:t>dSd_SdS</w:t>
            </w:r>
            <w:proofErr w:type="spellEnd"/>
            <w:r w:rsidRPr="00901AC7">
              <w:rPr>
                <w:b/>
                <w:bCs/>
              </w:rPr>
              <w:t>​</w:t>
            </w:r>
          </w:p>
        </w:tc>
        <w:tc>
          <w:tcPr>
            <w:tcW w:w="0" w:type="auto"/>
            <w:vAlign w:val="center"/>
            <w:hideMark/>
          </w:tcPr>
          <w:p w14:paraId="37C2521C" w14:textId="77777777" w:rsidR="00901AC7" w:rsidRPr="00901AC7" w:rsidRDefault="00901AC7" w:rsidP="00901AC7">
            <w:pPr>
              <w:rPr>
                <w:b/>
                <w:bCs/>
              </w:rPr>
            </w:pPr>
            <w:r w:rsidRPr="00901AC7">
              <w:rPr>
                <w:b/>
                <w:bCs/>
              </w:rPr>
              <w:t>Performanz</w:t>
            </w:r>
          </w:p>
        </w:tc>
        <w:tc>
          <w:tcPr>
            <w:tcW w:w="0" w:type="auto"/>
            <w:vAlign w:val="center"/>
            <w:hideMark/>
          </w:tcPr>
          <w:p w14:paraId="34D4C6CD" w14:textId="77777777" w:rsidR="00901AC7" w:rsidRPr="00901AC7" w:rsidRDefault="00901AC7" w:rsidP="00901AC7">
            <w:pPr>
              <w:rPr>
                <w:b/>
                <w:bCs/>
              </w:rPr>
            </w:pPr>
            <w:r w:rsidRPr="00901AC7">
              <w:rPr>
                <w:b/>
                <w:bCs/>
              </w:rPr>
              <w:t>Regulation</w:t>
            </w:r>
          </w:p>
        </w:tc>
      </w:tr>
      <w:tr w:rsidR="00901AC7" w:rsidRPr="00901AC7" w14:paraId="54828943" w14:textId="77777777" w:rsidTr="00901AC7">
        <w:trPr>
          <w:tblCellSpacing w:w="15" w:type="dxa"/>
        </w:trPr>
        <w:tc>
          <w:tcPr>
            <w:tcW w:w="0" w:type="auto"/>
            <w:vAlign w:val="center"/>
            <w:hideMark/>
          </w:tcPr>
          <w:p w14:paraId="3C57D46D" w14:textId="77777777" w:rsidR="00901AC7" w:rsidRPr="00901AC7" w:rsidRDefault="00901AC7" w:rsidP="00901AC7">
            <w:r w:rsidRPr="00901AC7">
              <w:t>LK_1</w:t>
            </w:r>
          </w:p>
        </w:tc>
        <w:tc>
          <w:tcPr>
            <w:tcW w:w="0" w:type="auto"/>
            <w:vAlign w:val="center"/>
            <w:hideMark/>
          </w:tcPr>
          <w:p w14:paraId="107D2880" w14:textId="77777777" w:rsidR="00901AC7" w:rsidRPr="00901AC7" w:rsidRDefault="00901AC7" w:rsidP="00901AC7">
            <w:r w:rsidRPr="00901AC7">
              <w:t>826</w:t>
            </w:r>
          </w:p>
        </w:tc>
        <w:tc>
          <w:tcPr>
            <w:tcW w:w="0" w:type="auto"/>
            <w:vAlign w:val="center"/>
            <w:hideMark/>
          </w:tcPr>
          <w:p w14:paraId="2C87743E" w14:textId="77777777" w:rsidR="00901AC7" w:rsidRPr="00901AC7" w:rsidRDefault="00901AC7" w:rsidP="00901AC7">
            <w:r w:rsidRPr="00901AC7">
              <w:t>3.458</w:t>
            </w:r>
          </w:p>
        </w:tc>
        <w:tc>
          <w:tcPr>
            <w:tcW w:w="0" w:type="auto"/>
            <w:vAlign w:val="center"/>
            <w:hideMark/>
          </w:tcPr>
          <w:p w14:paraId="63833BC6" w14:textId="77777777" w:rsidR="00901AC7" w:rsidRPr="00901AC7" w:rsidRDefault="00901AC7" w:rsidP="00901AC7">
            <w:r w:rsidRPr="00901AC7">
              <w:t>1.38</w:t>
            </w:r>
          </w:p>
        </w:tc>
        <w:tc>
          <w:tcPr>
            <w:tcW w:w="0" w:type="auto"/>
            <w:vAlign w:val="center"/>
            <w:hideMark/>
          </w:tcPr>
          <w:p w14:paraId="3C98FF2F" w14:textId="77777777" w:rsidR="00901AC7" w:rsidRPr="00901AC7" w:rsidRDefault="00901AC7" w:rsidP="00901AC7">
            <w:r w:rsidRPr="00901AC7">
              <w:t>1.25</w:t>
            </w:r>
          </w:p>
        </w:tc>
      </w:tr>
      <w:tr w:rsidR="00901AC7" w:rsidRPr="00901AC7" w14:paraId="3707F0E1" w14:textId="77777777" w:rsidTr="00901AC7">
        <w:trPr>
          <w:tblCellSpacing w:w="15" w:type="dxa"/>
        </w:trPr>
        <w:tc>
          <w:tcPr>
            <w:tcW w:w="0" w:type="auto"/>
            <w:vAlign w:val="center"/>
            <w:hideMark/>
          </w:tcPr>
          <w:p w14:paraId="2ED8AB5A" w14:textId="77777777" w:rsidR="00901AC7" w:rsidRPr="00901AC7" w:rsidRDefault="00901AC7" w:rsidP="00901AC7">
            <w:proofErr w:type="spellStart"/>
            <w:r w:rsidRPr="00901AC7">
              <w:t>LK_other</w:t>
            </w:r>
            <w:proofErr w:type="spellEnd"/>
          </w:p>
        </w:tc>
        <w:tc>
          <w:tcPr>
            <w:tcW w:w="0" w:type="auto"/>
            <w:vAlign w:val="center"/>
            <w:hideMark/>
          </w:tcPr>
          <w:p w14:paraId="493277A2" w14:textId="77777777" w:rsidR="00901AC7" w:rsidRPr="00901AC7" w:rsidRDefault="00901AC7" w:rsidP="00901AC7">
            <w:r w:rsidRPr="00901AC7">
              <w:t>449</w:t>
            </w:r>
          </w:p>
        </w:tc>
        <w:tc>
          <w:tcPr>
            <w:tcW w:w="0" w:type="auto"/>
            <w:vAlign w:val="center"/>
            <w:hideMark/>
          </w:tcPr>
          <w:p w14:paraId="302456D2" w14:textId="77777777" w:rsidR="00901AC7" w:rsidRPr="00901AC7" w:rsidRDefault="00901AC7" w:rsidP="00901AC7">
            <w:r w:rsidRPr="00901AC7">
              <w:t>3.549</w:t>
            </w:r>
          </w:p>
        </w:tc>
        <w:tc>
          <w:tcPr>
            <w:tcW w:w="0" w:type="auto"/>
            <w:vAlign w:val="center"/>
            <w:hideMark/>
          </w:tcPr>
          <w:p w14:paraId="7D238F60" w14:textId="77777777" w:rsidR="00901AC7" w:rsidRPr="00901AC7" w:rsidRDefault="00901AC7" w:rsidP="00901AC7">
            <w:r w:rsidRPr="00901AC7">
              <w:t>1.49</w:t>
            </w:r>
          </w:p>
        </w:tc>
        <w:tc>
          <w:tcPr>
            <w:tcW w:w="0" w:type="auto"/>
            <w:vAlign w:val="center"/>
            <w:hideMark/>
          </w:tcPr>
          <w:p w14:paraId="584054F4" w14:textId="77777777" w:rsidR="00901AC7" w:rsidRPr="00901AC7" w:rsidRDefault="00901AC7" w:rsidP="00901AC7">
            <w:r w:rsidRPr="00901AC7">
              <w:t>1.40</w:t>
            </w:r>
          </w:p>
        </w:tc>
      </w:tr>
    </w:tbl>
    <w:p w14:paraId="46B0B238" w14:textId="77777777" w:rsidR="00901AC7" w:rsidRPr="00901AC7" w:rsidRDefault="00901AC7" w:rsidP="00901AC7">
      <w:r w:rsidRPr="00901AC7">
        <w:t>Die Unterschiede sind moderat, aber konsistent. Klassische Leistungsindikatoren erlauben somit keine eindeutige Differenzierung der Lehrkraftgruppen.</w:t>
      </w:r>
    </w:p>
    <w:p w14:paraId="03B1D6F4" w14:textId="77777777" w:rsidR="00901AC7" w:rsidRPr="00901AC7" w:rsidRDefault="00901AC7" w:rsidP="00901AC7">
      <w:r w:rsidRPr="00901AC7">
        <w:t xml:space="preserve">Zur Analyse der internen Struktur wird die </w:t>
      </w:r>
      <w:proofErr w:type="spellStart"/>
      <w:r w:rsidRPr="00901AC7">
        <w:t>Cosine</w:t>
      </w:r>
      <w:proofErr w:type="spellEnd"/>
      <w:r w:rsidRPr="00901AC7">
        <w:t xml:space="preserve"> </w:t>
      </w:r>
      <w:proofErr w:type="spellStart"/>
      <w:r w:rsidRPr="00901AC7">
        <w:t>Similarity</w:t>
      </w:r>
      <w:proofErr w:type="spellEnd"/>
      <w:r w:rsidRPr="00901AC7">
        <w:t xml:space="preserve"> verwendet:</w:t>
      </w:r>
    </w:p>
    <w:p w14:paraId="5890027D" w14:textId="77777777" w:rsidR="00901AC7" w:rsidRPr="00901AC7" w:rsidRDefault="00901AC7" w:rsidP="00901AC7">
      <w:proofErr w:type="gramStart"/>
      <w:r w:rsidRPr="00901AC7">
        <w:t>cos</w:t>
      </w:r>
      <w:r w:rsidRPr="00901AC7">
        <w:rPr>
          <w:rFonts w:ascii="Cambria Math" w:hAnsi="Cambria Math" w:cs="Cambria Math"/>
        </w:rPr>
        <w:t>⁡</w:t>
      </w:r>
      <w:r w:rsidRPr="00901AC7">
        <w:t>(</w:t>
      </w:r>
      <w:proofErr w:type="gramEnd"/>
      <w:r w:rsidRPr="00901AC7">
        <w:t>V</w:t>
      </w:r>
      <w:r w:rsidRPr="00901AC7">
        <w:rPr>
          <w:rFonts w:ascii="Segoe UI Symbol" w:hAnsi="Segoe UI Symbol" w:cs="Segoe UI Symbol"/>
        </w:rPr>
        <w:t>⃗</w:t>
      </w:r>
      <w:r w:rsidRPr="00901AC7">
        <w:t>a,V</w:t>
      </w:r>
      <w:r w:rsidRPr="00901AC7">
        <w:rPr>
          <w:rFonts w:ascii="Segoe UI Symbol" w:hAnsi="Segoe UI Symbol" w:cs="Segoe UI Symbol"/>
        </w:rPr>
        <w:t>⃗</w:t>
      </w:r>
      <w:r w:rsidRPr="00901AC7">
        <w:t>b)=V</w:t>
      </w:r>
      <w:r w:rsidRPr="00901AC7">
        <w:rPr>
          <w:rFonts w:ascii="Segoe UI Symbol" w:hAnsi="Segoe UI Symbol" w:cs="Segoe UI Symbol"/>
        </w:rPr>
        <w:t>⃗</w:t>
      </w:r>
      <w:r w:rsidRPr="00901AC7">
        <w:t>a</w:t>
      </w:r>
      <w:r w:rsidRPr="00901AC7">
        <w:rPr>
          <w:rFonts w:ascii="Cambria Math" w:hAnsi="Cambria Math" w:cs="Cambria Math"/>
        </w:rPr>
        <w:t>⋅</w:t>
      </w:r>
      <w:r w:rsidRPr="00901AC7">
        <w:t>V</w:t>
      </w:r>
      <w:r w:rsidRPr="00901AC7">
        <w:rPr>
          <w:rFonts w:ascii="Segoe UI Symbol" w:hAnsi="Segoe UI Symbol" w:cs="Segoe UI Symbol"/>
        </w:rPr>
        <w:t>⃗</w:t>
      </w:r>
      <w:r w:rsidRPr="00901AC7">
        <w:t>b</w:t>
      </w:r>
      <w:r w:rsidRPr="00901AC7">
        <w:rPr>
          <w:rFonts w:ascii="Cambria Math" w:hAnsi="Cambria Math" w:cs="Cambria Math"/>
        </w:rPr>
        <w:t>∥</w:t>
      </w:r>
      <w:r w:rsidRPr="00901AC7">
        <w:t>V</w:t>
      </w:r>
      <w:r w:rsidRPr="00901AC7">
        <w:rPr>
          <w:rFonts w:ascii="Segoe UI Symbol" w:hAnsi="Segoe UI Symbol" w:cs="Segoe UI Symbol"/>
        </w:rPr>
        <w:t>⃗</w:t>
      </w:r>
      <w:r w:rsidRPr="00901AC7">
        <w:t>a</w:t>
      </w:r>
      <w:r w:rsidRPr="00901AC7">
        <w:rPr>
          <w:rFonts w:ascii="Cambria Math" w:hAnsi="Cambria Math" w:cs="Cambria Math"/>
        </w:rPr>
        <w:t>∥∥</w:t>
      </w:r>
      <w:r w:rsidRPr="00901AC7">
        <w:t>V</w:t>
      </w:r>
      <w:r w:rsidRPr="00901AC7">
        <w:rPr>
          <w:rFonts w:ascii="Segoe UI Symbol" w:hAnsi="Segoe UI Symbol" w:cs="Segoe UI Symbol"/>
        </w:rPr>
        <w:t>⃗</w:t>
      </w:r>
      <w:r w:rsidRPr="00901AC7">
        <w:t>b</w:t>
      </w:r>
      <w:r w:rsidRPr="00901AC7">
        <w:rPr>
          <w:rFonts w:ascii="Cambria Math" w:hAnsi="Cambria Math" w:cs="Cambria Math"/>
        </w:rPr>
        <w:t>∥</w:t>
      </w:r>
      <w:r w:rsidRPr="00901AC7">
        <w:t>.\operatorname{cos}(\vec{V}_a,\vec{V}_b) = \</w:t>
      </w:r>
      <w:proofErr w:type="spellStart"/>
      <w:r w:rsidRPr="00901AC7">
        <w:t>frac</w:t>
      </w:r>
      <w:proofErr w:type="spellEnd"/>
      <w:r w:rsidRPr="00901AC7">
        <w:t>{\</w:t>
      </w:r>
      <w:proofErr w:type="spellStart"/>
      <w:r w:rsidRPr="00901AC7">
        <w:t>vec</w:t>
      </w:r>
      <w:proofErr w:type="spellEnd"/>
      <w:r w:rsidRPr="00901AC7">
        <w:t>{V}_a \</w:t>
      </w:r>
      <w:proofErr w:type="spellStart"/>
      <w:r w:rsidRPr="00901AC7">
        <w:t>cdot</w:t>
      </w:r>
      <w:proofErr w:type="spellEnd"/>
      <w:r w:rsidRPr="00901AC7">
        <w:t xml:space="preserve"> \</w:t>
      </w:r>
      <w:proofErr w:type="spellStart"/>
      <w:r w:rsidRPr="00901AC7">
        <w:t>vec</w:t>
      </w:r>
      <w:proofErr w:type="spellEnd"/>
      <w:r w:rsidRPr="00901AC7">
        <w:t>{V}_b}{\|\</w:t>
      </w:r>
      <w:proofErr w:type="spellStart"/>
      <w:r w:rsidRPr="00901AC7">
        <w:t>vec</w:t>
      </w:r>
      <w:proofErr w:type="spellEnd"/>
      <w:r w:rsidRPr="00901AC7">
        <w:t>{V}_a\| \|\</w:t>
      </w:r>
      <w:proofErr w:type="spellStart"/>
      <w:r w:rsidRPr="00901AC7">
        <w:t>vec</w:t>
      </w:r>
      <w:proofErr w:type="spellEnd"/>
      <w:r w:rsidRPr="00901AC7">
        <w:t>{V}_b\|}.cos(Va​,</w:t>
      </w:r>
      <w:proofErr w:type="spellStart"/>
      <w:r w:rsidRPr="00901AC7">
        <w:t>Vb</w:t>
      </w:r>
      <w:proofErr w:type="spellEnd"/>
      <w:r w:rsidRPr="00901AC7">
        <w:t>​)=</w:t>
      </w:r>
      <w:r w:rsidRPr="00901AC7">
        <w:rPr>
          <w:rFonts w:ascii="Cambria Math" w:hAnsi="Cambria Math" w:cs="Cambria Math"/>
        </w:rPr>
        <w:t>∥</w:t>
      </w:r>
      <w:r w:rsidRPr="00901AC7">
        <w:t>Va​</w:t>
      </w:r>
      <w:r w:rsidRPr="00901AC7">
        <w:rPr>
          <w:rFonts w:ascii="Cambria Math" w:hAnsi="Cambria Math" w:cs="Cambria Math"/>
        </w:rPr>
        <w:t>∥∥</w:t>
      </w:r>
      <w:proofErr w:type="spellStart"/>
      <w:r w:rsidRPr="00901AC7">
        <w:t>Vb</w:t>
      </w:r>
      <w:proofErr w:type="spellEnd"/>
      <w:r w:rsidRPr="00901AC7">
        <w:t>​</w:t>
      </w:r>
      <w:r w:rsidRPr="00901AC7">
        <w:rPr>
          <w:rFonts w:ascii="Cambria Math" w:hAnsi="Cambria Math" w:cs="Cambria Math"/>
        </w:rPr>
        <w:t>∥</w:t>
      </w:r>
      <w:r w:rsidRPr="00901AC7">
        <w:t>Va​</w:t>
      </w:r>
      <w:r w:rsidRPr="00901AC7">
        <w:rPr>
          <w:rFonts w:ascii="Cambria Math" w:hAnsi="Cambria Math" w:cs="Cambria Math"/>
        </w:rPr>
        <w:t>⋅</w:t>
      </w:r>
      <w:proofErr w:type="spellStart"/>
      <w:r w:rsidRPr="00901AC7">
        <w:t>Vb</w:t>
      </w:r>
      <w:proofErr w:type="spellEnd"/>
      <w:r w:rsidRPr="00901AC7">
        <w:t xml:space="preserve">​​. </w:t>
      </w:r>
    </w:p>
    <w:p w14:paraId="27BC69ED" w14:textId="77777777" w:rsidR="00901AC7" w:rsidRPr="00901AC7" w:rsidRDefault="00901AC7" w:rsidP="00901AC7">
      <w:r w:rsidRPr="00901AC7">
        <w:rPr>
          <w:b/>
          <w:bCs/>
        </w:rPr>
        <w:t>Tabelle 6.x.2: Kohärenzkennwerte des Zustandsraums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23"/>
      </w:tblGrid>
      <w:tr w:rsidR="00901AC7" w:rsidRPr="00901AC7" w14:paraId="22A4500A" w14:textId="77777777" w:rsidTr="00901AC7">
        <w:trPr>
          <w:tblHeader/>
          <w:tblCellSpacing w:w="15" w:type="dxa"/>
        </w:trPr>
        <w:tc>
          <w:tcPr>
            <w:tcW w:w="0" w:type="auto"/>
            <w:vAlign w:val="center"/>
            <w:hideMark/>
          </w:tcPr>
          <w:p w14:paraId="02386DE3" w14:textId="77777777" w:rsidR="00901AC7" w:rsidRPr="00901AC7" w:rsidRDefault="00901AC7" w:rsidP="00901AC7">
            <w:pPr>
              <w:rPr>
                <w:b/>
                <w:bCs/>
              </w:rPr>
            </w:pPr>
            <w:r w:rsidRPr="00901AC7">
              <w:rPr>
                <w:b/>
                <w:bCs/>
              </w:rPr>
              <w:t>Kennzahl</w:t>
            </w:r>
          </w:p>
        </w:tc>
        <w:tc>
          <w:tcPr>
            <w:tcW w:w="0" w:type="auto"/>
            <w:vAlign w:val="center"/>
            <w:hideMark/>
          </w:tcPr>
          <w:p w14:paraId="49DC4733" w14:textId="77777777" w:rsidR="00901AC7" w:rsidRPr="00901AC7" w:rsidRDefault="00901AC7" w:rsidP="00901AC7">
            <w:pPr>
              <w:rPr>
                <w:b/>
                <w:bCs/>
              </w:rPr>
            </w:pPr>
            <w:r w:rsidRPr="00901AC7">
              <w:rPr>
                <w:b/>
                <w:bCs/>
              </w:rPr>
              <w:t>Wert</w:t>
            </w:r>
          </w:p>
        </w:tc>
      </w:tr>
      <w:tr w:rsidR="00901AC7" w:rsidRPr="00901AC7" w14:paraId="2126F8EB" w14:textId="77777777" w:rsidTr="00901AC7">
        <w:trPr>
          <w:tblCellSpacing w:w="15" w:type="dxa"/>
        </w:trPr>
        <w:tc>
          <w:tcPr>
            <w:tcW w:w="0" w:type="auto"/>
            <w:vAlign w:val="center"/>
            <w:hideMark/>
          </w:tcPr>
          <w:p w14:paraId="149F5851" w14:textId="77777777" w:rsidR="00901AC7" w:rsidRPr="00901AC7" w:rsidRDefault="00901AC7" w:rsidP="00901AC7">
            <w:r w:rsidRPr="00901AC7">
              <w:t>interne Ähnlichkeit LK_1</w:t>
            </w:r>
          </w:p>
        </w:tc>
        <w:tc>
          <w:tcPr>
            <w:tcW w:w="0" w:type="auto"/>
            <w:vAlign w:val="center"/>
            <w:hideMark/>
          </w:tcPr>
          <w:p w14:paraId="400BD63F" w14:textId="77777777" w:rsidR="00901AC7" w:rsidRPr="00901AC7" w:rsidRDefault="00901AC7" w:rsidP="00901AC7">
            <w:r w:rsidRPr="00901AC7">
              <w:t>0.776</w:t>
            </w:r>
          </w:p>
        </w:tc>
      </w:tr>
      <w:tr w:rsidR="00901AC7" w:rsidRPr="00901AC7" w14:paraId="2C299C9A" w14:textId="77777777" w:rsidTr="00901AC7">
        <w:trPr>
          <w:tblCellSpacing w:w="15" w:type="dxa"/>
        </w:trPr>
        <w:tc>
          <w:tcPr>
            <w:tcW w:w="0" w:type="auto"/>
            <w:vAlign w:val="center"/>
            <w:hideMark/>
          </w:tcPr>
          <w:p w14:paraId="6F281487" w14:textId="77777777" w:rsidR="00901AC7" w:rsidRPr="00901AC7" w:rsidRDefault="00901AC7" w:rsidP="00901AC7">
            <w:r w:rsidRPr="00901AC7">
              <w:t xml:space="preserve">interne Ähnlichkeit </w:t>
            </w:r>
            <w:proofErr w:type="spellStart"/>
            <w:r w:rsidRPr="00901AC7">
              <w:t>LK_other</w:t>
            </w:r>
            <w:proofErr w:type="spellEnd"/>
          </w:p>
        </w:tc>
        <w:tc>
          <w:tcPr>
            <w:tcW w:w="0" w:type="auto"/>
            <w:vAlign w:val="center"/>
            <w:hideMark/>
          </w:tcPr>
          <w:p w14:paraId="6FA871FB" w14:textId="77777777" w:rsidR="00901AC7" w:rsidRPr="00901AC7" w:rsidRDefault="00901AC7" w:rsidP="00901AC7">
            <w:r w:rsidRPr="00901AC7">
              <w:t>0.820</w:t>
            </w:r>
          </w:p>
        </w:tc>
      </w:tr>
      <w:tr w:rsidR="00901AC7" w:rsidRPr="00901AC7" w14:paraId="6320AC1D" w14:textId="77777777" w:rsidTr="00901AC7">
        <w:trPr>
          <w:tblCellSpacing w:w="15" w:type="dxa"/>
        </w:trPr>
        <w:tc>
          <w:tcPr>
            <w:tcW w:w="0" w:type="auto"/>
            <w:vAlign w:val="center"/>
            <w:hideMark/>
          </w:tcPr>
          <w:p w14:paraId="53698182" w14:textId="77777777" w:rsidR="00901AC7" w:rsidRPr="00901AC7" w:rsidRDefault="00901AC7" w:rsidP="00901AC7">
            <w:r w:rsidRPr="00901AC7">
              <w:t>zwischen Gruppen</w:t>
            </w:r>
          </w:p>
        </w:tc>
        <w:tc>
          <w:tcPr>
            <w:tcW w:w="0" w:type="auto"/>
            <w:vAlign w:val="center"/>
            <w:hideMark/>
          </w:tcPr>
          <w:p w14:paraId="119A2F99" w14:textId="77777777" w:rsidR="00901AC7" w:rsidRPr="00901AC7" w:rsidRDefault="00901AC7" w:rsidP="00901AC7">
            <w:r w:rsidRPr="00901AC7">
              <w:t>0.798</w:t>
            </w:r>
          </w:p>
        </w:tc>
      </w:tr>
      <w:tr w:rsidR="00901AC7" w:rsidRPr="00901AC7" w14:paraId="1140427A" w14:textId="77777777" w:rsidTr="00901AC7">
        <w:trPr>
          <w:tblCellSpacing w:w="15" w:type="dxa"/>
        </w:trPr>
        <w:tc>
          <w:tcPr>
            <w:tcW w:w="0" w:type="auto"/>
            <w:vAlign w:val="center"/>
            <w:hideMark/>
          </w:tcPr>
          <w:p w14:paraId="7777C2D4" w14:textId="77777777" w:rsidR="00901AC7" w:rsidRPr="00901AC7" w:rsidRDefault="00901AC7" w:rsidP="00901AC7">
            <w:proofErr w:type="spellStart"/>
            <w:r w:rsidRPr="00901AC7">
              <w:t>Zentroid</w:t>
            </w:r>
            <w:proofErr w:type="spellEnd"/>
            <w:r w:rsidRPr="00901AC7">
              <w:t>-Ähnlichkeit</w:t>
            </w:r>
          </w:p>
        </w:tc>
        <w:tc>
          <w:tcPr>
            <w:tcW w:w="0" w:type="auto"/>
            <w:vAlign w:val="center"/>
            <w:hideMark/>
          </w:tcPr>
          <w:p w14:paraId="487A273E" w14:textId="77777777" w:rsidR="00901AC7" w:rsidRPr="00901AC7" w:rsidRDefault="00901AC7" w:rsidP="00901AC7">
            <w:r w:rsidRPr="00901AC7">
              <w:t>0.999</w:t>
            </w:r>
          </w:p>
        </w:tc>
      </w:tr>
    </w:tbl>
    <w:p w14:paraId="69430AB3" w14:textId="77777777" w:rsidR="00901AC7" w:rsidRPr="00901AC7" w:rsidRDefault="00901AC7" w:rsidP="00901AC7">
      <w:r w:rsidRPr="00901AC7">
        <w:t xml:space="preserve">Die nahezu identische </w:t>
      </w:r>
      <w:proofErr w:type="spellStart"/>
      <w:r w:rsidRPr="00901AC7">
        <w:t>Zentroidlage</w:t>
      </w:r>
      <w:proofErr w:type="spellEnd"/>
      <w:r w:rsidRPr="00901AC7">
        <w:t xml:space="preserve"> zeigt, dass beide Gruppen im selben semantischen Raum operieren. Unterschiede entstehen durch Streuung, nicht durch strukturelle Verschiebung.</w:t>
      </w:r>
    </w:p>
    <w:p w14:paraId="4BFE60B3" w14:textId="77777777" w:rsidR="00901AC7" w:rsidRPr="00901AC7" w:rsidRDefault="00901AC7" w:rsidP="00901AC7">
      <w:r w:rsidRPr="00901AC7">
        <w:rPr>
          <w:b/>
          <w:bCs/>
        </w:rPr>
        <w:t xml:space="preserve">Abbildung 6.x.1: </w:t>
      </w:r>
      <w:proofErr w:type="spellStart"/>
      <w:r w:rsidRPr="00901AC7">
        <w:rPr>
          <w:b/>
          <w:bCs/>
        </w:rPr>
        <w:t>Cosine</w:t>
      </w:r>
      <w:proofErr w:type="spellEnd"/>
      <w:r w:rsidRPr="00901AC7">
        <w:rPr>
          <w:b/>
          <w:bCs/>
        </w:rPr>
        <w:t>-</w:t>
      </w:r>
      <w:proofErr w:type="spellStart"/>
      <w:r w:rsidRPr="00901AC7">
        <w:rPr>
          <w:b/>
          <w:bCs/>
        </w:rPr>
        <w:t>Similarity</w:t>
      </w:r>
      <w:proofErr w:type="spellEnd"/>
      <w:r w:rsidRPr="00901AC7">
        <w:rPr>
          <w:b/>
          <w:bCs/>
        </w:rPr>
        <w:t>-Matrix des semantischen Raums</w:t>
      </w:r>
      <w:r w:rsidRPr="00901AC7">
        <w:br/>
      </w:r>
      <w:r w:rsidRPr="00901AC7">
        <w:rPr>
          <w:i/>
          <w:iCs/>
        </w:rPr>
        <w:t>Darstellung der paarweisen Ähnlichkeiten aller Zustände. Die Grafik verdeutlicht die höhere Homogenität der Vergleichsgruppe sowie die größere Streuung bei Lehrkraft 1.</w:t>
      </w:r>
    </w:p>
    <w:p w14:paraId="78D08D8A" w14:textId="77777777" w:rsidR="00901AC7" w:rsidRPr="00901AC7" w:rsidRDefault="00901AC7" w:rsidP="00901AC7">
      <w:r w:rsidRPr="00901AC7">
        <w:t>Die zeitliche Dynamik wird über Zustandsdifferenzen modelliert:</w:t>
      </w:r>
    </w:p>
    <w:p w14:paraId="73D2D127" w14:textId="77777777" w:rsidR="00901AC7" w:rsidRPr="00901AC7" w:rsidRDefault="00901AC7" w:rsidP="00901AC7">
      <w:r w:rsidRPr="00901AC7">
        <w:lastRenderedPageBreak/>
        <w:t>ΔS(t)=S(t+1)−S(t),</w:t>
      </w:r>
      <w:r w:rsidRPr="00901AC7">
        <w:rPr>
          <w:rFonts w:ascii="Cambria Math" w:hAnsi="Cambria Math" w:cs="Cambria Math"/>
        </w:rPr>
        <w:t>∥</w:t>
      </w:r>
      <w:r w:rsidRPr="00901AC7">
        <w:rPr>
          <w:rFonts w:cs="Calibri"/>
        </w:rPr>
        <w:t>Δ</w:t>
      </w:r>
      <w:r w:rsidRPr="00901AC7">
        <w:t>S(t)</w:t>
      </w:r>
      <w:r w:rsidRPr="00901AC7">
        <w:rPr>
          <w:rFonts w:ascii="Cambria Math" w:hAnsi="Cambria Math" w:cs="Cambria Math"/>
        </w:rPr>
        <w:t>∥</w:t>
      </w:r>
      <w:r w:rsidRPr="00901AC7">
        <w:t>=</w:t>
      </w:r>
      <w:r w:rsidRPr="00901AC7">
        <w:rPr>
          <w:rFonts w:cs="Calibri"/>
        </w:rPr>
        <w:t>∑</w:t>
      </w:r>
      <w:r w:rsidRPr="00901AC7">
        <w:t>j=17(St+1,j</w:t>
      </w:r>
      <w:r w:rsidRPr="00901AC7">
        <w:rPr>
          <w:rFonts w:cs="Calibri"/>
        </w:rPr>
        <w:t>−</w:t>
      </w:r>
      <w:r w:rsidRPr="00901AC7">
        <w:t>St,j)2,\Delta S(t) = S(t+1) - S(t), \</w:t>
      </w:r>
      <w:proofErr w:type="spellStart"/>
      <w:r w:rsidRPr="00901AC7">
        <w:t>quad</w:t>
      </w:r>
      <w:proofErr w:type="spellEnd"/>
      <w:r w:rsidRPr="00901AC7">
        <w:t xml:space="preserve"> \|\Delta S(t)\| = \sqrt{\sum_{j=1}^{7}(S_{t+1,j}-S_{t,j})^2},ΔS(t)=S(t+1)−S(t),</w:t>
      </w:r>
      <w:r w:rsidRPr="00901AC7">
        <w:rPr>
          <w:rFonts w:ascii="Cambria Math" w:hAnsi="Cambria Math" w:cs="Cambria Math"/>
        </w:rPr>
        <w:t>∥</w:t>
      </w:r>
      <w:r w:rsidRPr="00901AC7">
        <w:rPr>
          <w:rFonts w:cs="Calibri"/>
        </w:rPr>
        <w:t>Δ</w:t>
      </w:r>
      <w:r w:rsidRPr="00901AC7">
        <w:t>S(t)</w:t>
      </w:r>
      <w:r w:rsidRPr="00901AC7">
        <w:rPr>
          <w:rFonts w:ascii="Cambria Math" w:hAnsi="Cambria Math" w:cs="Cambria Math"/>
        </w:rPr>
        <w:t>∥</w:t>
      </w:r>
      <w:r w:rsidRPr="00901AC7">
        <w:t xml:space="preserve">=j=1∑7​(St+1,j​−St,j​)2​, </w:t>
      </w:r>
    </w:p>
    <w:p w14:paraId="79AEC644" w14:textId="77777777" w:rsidR="00901AC7" w:rsidRPr="00901AC7" w:rsidRDefault="00901AC7" w:rsidP="00901AC7">
      <w:r w:rsidRPr="00901AC7">
        <w:t xml:space="preserve">sowie über </w:t>
      </w:r>
      <w:proofErr w:type="spellStart"/>
      <w:r w:rsidRPr="00901AC7">
        <w:t>Performanzänderungen</w:t>
      </w:r>
      <w:proofErr w:type="spellEnd"/>
    </w:p>
    <w:p w14:paraId="40F91DB5" w14:textId="77777777" w:rsidR="00901AC7" w:rsidRPr="00901AC7" w:rsidRDefault="00901AC7" w:rsidP="00901AC7">
      <w:r w:rsidRPr="00901AC7">
        <w:t>ΔP(t)=P(t+</w:t>
      </w:r>
      <w:proofErr w:type="gramStart"/>
      <w:r w:rsidRPr="00901AC7">
        <w:t>1)−</w:t>
      </w:r>
      <w:proofErr w:type="gramEnd"/>
      <w:r w:rsidRPr="00901AC7">
        <w:t xml:space="preserve">P(t).\Delta P(t) = P(t+1) - P(t).ΔP(t)=P(t+1)−P(t). </w:t>
      </w:r>
    </w:p>
    <w:p w14:paraId="2FF57E19" w14:textId="77777777" w:rsidR="00901AC7" w:rsidRPr="00901AC7" w:rsidRDefault="00901AC7" w:rsidP="00901AC7">
      <w:r w:rsidRPr="00901AC7">
        <w:t>Die simultane Analyse ergibt keinen signifikanten Zusammenhang:</w:t>
      </w:r>
    </w:p>
    <w:p w14:paraId="77F35AA6" w14:textId="77777777" w:rsidR="00901AC7" w:rsidRPr="00901AC7" w:rsidRDefault="00901AC7" w:rsidP="00901AC7">
      <w:proofErr w:type="spellStart"/>
      <w:r w:rsidRPr="00901AC7">
        <w:t>Cov</w:t>
      </w:r>
      <w:proofErr w:type="spellEnd"/>
      <w:r w:rsidRPr="00901AC7">
        <w:rPr>
          <w:rFonts w:ascii="Cambria Math" w:hAnsi="Cambria Math" w:cs="Cambria Math"/>
        </w:rPr>
        <w:t>⁡</w:t>
      </w:r>
      <w:r w:rsidRPr="00901AC7">
        <w:t>(</w:t>
      </w:r>
      <w:r w:rsidRPr="00901AC7">
        <w:rPr>
          <w:rFonts w:ascii="Cambria Math" w:hAnsi="Cambria Math" w:cs="Cambria Math"/>
        </w:rPr>
        <w:t>∥</w:t>
      </w:r>
      <w:r w:rsidRPr="00901AC7">
        <w:rPr>
          <w:rFonts w:cs="Calibri"/>
        </w:rPr>
        <w:t>Δ</w:t>
      </w:r>
      <w:r w:rsidRPr="00901AC7">
        <w:t>S(t)</w:t>
      </w:r>
      <w:proofErr w:type="gramStart"/>
      <w:r w:rsidRPr="00901AC7">
        <w:rPr>
          <w:rFonts w:ascii="Cambria Math" w:hAnsi="Cambria Math" w:cs="Cambria Math"/>
        </w:rPr>
        <w:t>∥</w:t>
      </w:r>
      <w:r w:rsidRPr="00901AC7">
        <w:t>,</w:t>
      </w:r>
      <w:r w:rsidRPr="00901AC7">
        <w:rPr>
          <w:rFonts w:cs="Calibri"/>
        </w:rPr>
        <w:t>Δ</w:t>
      </w:r>
      <w:proofErr w:type="gramEnd"/>
      <w:r w:rsidRPr="00901AC7">
        <w:t>P(t))</w:t>
      </w:r>
      <w:r w:rsidRPr="00901AC7">
        <w:rPr>
          <w:rFonts w:cs="Calibri"/>
        </w:rPr>
        <w:t>≈</w:t>
      </w:r>
      <w:r w:rsidRPr="00901AC7">
        <w:t>0.\</w:t>
      </w:r>
      <w:proofErr w:type="spellStart"/>
      <w:r w:rsidRPr="00901AC7">
        <w:t>operatorname</w:t>
      </w:r>
      <w:proofErr w:type="spellEnd"/>
      <w:r w:rsidRPr="00901AC7">
        <w:t>{</w:t>
      </w:r>
      <w:proofErr w:type="spellStart"/>
      <w:r w:rsidRPr="00901AC7">
        <w:t>Cov</w:t>
      </w:r>
      <w:proofErr w:type="spellEnd"/>
      <w:r w:rsidRPr="00901AC7">
        <w:t>}(\|\Delta S(t)\|,\Delta P(t)) \</w:t>
      </w:r>
      <w:proofErr w:type="spellStart"/>
      <w:r w:rsidRPr="00901AC7">
        <w:t>approx</w:t>
      </w:r>
      <w:proofErr w:type="spellEnd"/>
      <w:r w:rsidRPr="00901AC7">
        <w:t xml:space="preserve"> 0.Cov(</w:t>
      </w:r>
      <w:r w:rsidRPr="00901AC7">
        <w:rPr>
          <w:rFonts w:ascii="Cambria Math" w:hAnsi="Cambria Math" w:cs="Cambria Math"/>
        </w:rPr>
        <w:t>∥</w:t>
      </w:r>
      <w:r w:rsidRPr="00901AC7">
        <w:rPr>
          <w:rFonts w:cs="Calibri"/>
        </w:rPr>
        <w:t>Δ</w:t>
      </w:r>
      <w:r w:rsidRPr="00901AC7">
        <w:t>S(t)</w:t>
      </w:r>
      <w:r w:rsidRPr="00901AC7">
        <w:rPr>
          <w:rFonts w:ascii="Cambria Math" w:hAnsi="Cambria Math" w:cs="Cambria Math"/>
        </w:rPr>
        <w:t>∥</w:t>
      </w:r>
      <w:r w:rsidRPr="00901AC7">
        <w:t xml:space="preserve">,ΔP(t))≈0. </w:t>
      </w:r>
    </w:p>
    <w:p w14:paraId="4DE97CC7" w14:textId="77777777" w:rsidR="00901AC7" w:rsidRPr="00901AC7" w:rsidRDefault="00901AC7" w:rsidP="00901AC7">
      <w:r w:rsidRPr="00901AC7">
        <w:t>Erst unter Berücksichtigung einer zeitlichen Verzögerung zeigt sich ein konsistentes Muster:</w:t>
      </w:r>
    </w:p>
    <w:p w14:paraId="1164BC7B" w14:textId="77777777" w:rsidR="00901AC7" w:rsidRPr="00901AC7" w:rsidRDefault="00901AC7" w:rsidP="00901AC7">
      <w:r w:rsidRPr="00901AC7">
        <w:rPr>
          <w:b/>
          <w:bCs/>
        </w:rPr>
        <w:t>Tabelle 6.x.3: Lag-Analyse (Spearman-Korrelationen)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394"/>
        <w:gridCol w:w="1031"/>
        <w:gridCol w:w="732"/>
      </w:tblGrid>
      <w:tr w:rsidR="00901AC7" w:rsidRPr="00901AC7" w14:paraId="1F1A8D22" w14:textId="77777777" w:rsidTr="00901AC7">
        <w:trPr>
          <w:tblHeader/>
          <w:tblCellSpacing w:w="15" w:type="dxa"/>
        </w:trPr>
        <w:tc>
          <w:tcPr>
            <w:tcW w:w="0" w:type="auto"/>
            <w:vAlign w:val="center"/>
            <w:hideMark/>
          </w:tcPr>
          <w:p w14:paraId="609F7A85" w14:textId="77777777" w:rsidR="00901AC7" w:rsidRPr="00901AC7" w:rsidRDefault="00901AC7" w:rsidP="00901AC7">
            <w:pPr>
              <w:rPr>
                <w:b/>
                <w:bCs/>
              </w:rPr>
            </w:pPr>
            <w:r w:rsidRPr="00901AC7">
              <w:rPr>
                <w:b/>
                <w:bCs/>
              </w:rPr>
              <w:t>Gruppe</w:t>
            </w:r>
          </w:p>
        </w:tc>
        <w:tc>
          <w:tcPr>
            <w:tcW w:w="0" w:type="auto"/>
            <w:vAlign w:val="center"/>
            <w:hideMark/>
          </w:tcPr>
          <w:p w14:paraId="612C373A" w14:textId="77777777" w:rsidR="00901AC7" w:rsidRPr="00901AC7" w:rsidRDefault="00901AC7" w:rsidP="00901AC7">
            <w:pPr>
              <w:rPr>
                <w:b/>
                <w:bCs/>
              </w:rPr>
            </w:pPr>
            <w:r w:rsidRPr="00901AC7">
              <w:rPr>
                <w:b/>
                <w:bCs/>
              </w:rPr>
              <w:t>Lag</w:t>
            </w:r>
          </w:p>
        </w:tc>
        <w:tc>
          <w:tcPr>
            <w:tcW w:w="0" w:type="auto"/>
            <w:vAlign w:val="center"/>
            <w:hideMark/>
          </w:tcPr>
          <w:p w14:paraId="784F9006" w14:textId="77777777" w:rsidR="00901AC7" w:rsidRPr="00901AC7" w:rsidRDefault="00901AC7" w:rsidP="00901AC7">
            <w:pPr>
              <w:rPr>
                <w:b/>
                <w:bCs/>
              </w:rPr>
            </w:pPr>
            <w:r w:rsidRPr="00901AC7">
              <w:rPr>
                <w:b/>
                <w:bCs/>
              </w:rPr>
              <w:t>r</w:t>
            </w:r>
          </w:p>
        </w:tc>
        <w:tc>
          <w:tcPr>
            <w:tcW w:w="0" w:type="auto"/>
            <w:vAlign w:val="center"/>
            <w:hideMark/>
          </w:tcPr>
          <w:p w14:paraId="1F551BDC" w14:textId="77777777" w:rsidR="00901AC7" w:rsidRPr="00901AC7" w:rsidRDefault="00901AC7" w:rsidP="00901AC7">
            <w:pPr>
              <w:rPr>
                <w:b/>
                <w:bCs/>
              </w:rPr>
            </w:pPr>
            <w:r w:rsidRPr="00901AC7">
              <w:rPr>
                <w:b/>
                <w:bCs/>
              </w:rPr>
              <w:t>p</w:t>
            </w:r>
          </w:p>
        </w:tc>
      </w:tr>
      <w:tr w:rsidR="00901AC7" w:rsidRPr="00901AC7" w14:paraId="65F3840B" w14:textId="77777777" w:rsidTr="00901AC7">
        <w:trPr>
          <w:tblCellSpacing w:w="15" w:type="dxa"/>
        </w:trPr>
        <w:tc>
          <w:tcPr>
            <w:tcW w:w="0" w:type="auto"/>
            <w:vAlign w:val="center"/>
            <w:hideMark/>
          </w:tcPr>
          <w:p w14:paraId="58A50C65" w14:textId="77777777" w:rsidR="00901AC7" w:rsidRPr="00901AC7" w:rsidRDefault="00901AC7" w:rsidP="00901AC7">
            <w:r w:rsidRPr="00901AC7">
              <w:t>LK_1</w:t>
            </w:r>
          </w:p>
        </w:tc>
        <w:tc>
          <w:tcPr>
            <w:tcW w:w="0" w:type="auto"/>
            <w:vAlign w:val="center"/>
            <w:hideMark/>
          </w:tcPr>
          <w:p w14:paraId="4ED95DA0" w14:textId="77777777" w:rsidR="00901AC7" w:rsidRPr="00901AC7" w:rsidRDefault="00901AC7" w:rsidP="00901AC7">
            <w:r w:rsidRPr="00901AC7">
              <w:t>0</w:t>
            </w:r>
          </w:p>
        </w:tc>
        <w:tc>
          <w:tcPr>
            <w:tcW w:w="0" w:type="auto"/>
            <w:vAlign w:val="center"/>
            <w:hideMark/>
          </w:tcPr>
          <w:p w14:paraId="03E9A24A" w14:textId="77777777" w:rsidR="00901AC7" w:rsidRPr="00901AC7" w:rsidRDefault="00901AC7" w:rsidP="00901AC7">
            <w:r w:rsidRPr="00901AC7">
              <w:t>≈ 0</w:t>
            </w:r>
          </w:p>
        </w:tc>
        <w:tc>
          <w:tcPr>
            <w:tcW w:w="0" w:type="auto"/>
            <w:vAlign w:val="center"/>
            <w:hideMark/>
          </w:tcPr>
          <w:p w14:paraId="35039839" w14:textId="77777777" w:rsidR="00901AC7" w:rsidRPr="00901AC7" w:rsidRDefault="00901AC7" w:rsidP="00901AC7">
            <w:proofErr w:type="spellStart"/>
            <w:r w:rsidRPr="00901AC7">
              <w:t>n.s</w:t>
            </w:r>
            <w:proofErr w:type="spellEnd"/>
            <w:r w:rsidRPr="00901AC7">
              <w:t>.</w:t>
            </w:r>
          </w:p>
        </w:tc>
      </w:tr>
      <w:tr w:rsidR="00901AC7" w:rsidRPr="00901AC7" w14:paraId="1F633C36" w14:textId="77777777" w:rsidTr="00901AC7">
        <w:trPr>
          <w:tblCellSpacing w:w="15" w:type="dxa"/>
        </w:trPr>
        <w:tc>
          <w:tcPr>
            <w:tcW w:w="0" w:type="auto"/>
            <w:vAlign w:val="center"/>
            <w:hideMark/>
          </w:tcPr>
          <w:p w14:paraId="4A1D82D2" w14:textId="77777777" w:rsidR="00901AC7" w:rsidRPr="00901AC7" w:rsidRDefault="00901AC7" w:rsidP="00901AC7">
            <w:r w:rsidRPr="00901AC7">
              <w:t>LK_1</w:t>
            </w:r>
          </w:p>
        </w:tc>
        <w:tc>
          <w:tcPr>
            <w:tcW w:w="0" w:type="auto"/>
            <w:vAlign w:val="center"/>
            <w:hideMark/>
          </w:tcPr>
          <w:p w14:paraId="6930908C" w14:textId="77777777" w:rsidR="00901AC7" w:rsidRPr="00901AC7" w:rsidRDefault="00901AC7" w:rsidP="00901AC7">
            <w:r w:rsidRPr="00901AC7">
              <w:t>1</w:t>
            </w:r>
          </w:p>
        </w:tc>
        <w:tc>
          <w:tcPr>
            <w:tcW w:w="0" w:type="auto"/>
            <w:vAlign w:val="center"/>
            <w:hideMark/>
          </w:tcPr>
          <w:p w14:paraId="07263809" w14:textId="77777777" w:rsidR="00901AC7" w:rsidRPr="00901AC7" w:rsidRDefault="00901AC7" w:rsidP="00901AC7">
            <w:r w:rsidRPr="00901AC7">
              <w:t>0.236</w:t>
            </w:r>
          </w:p>
        </w:tc>
        <w:tc>
          <w:tcPr>
            <w:tcW w:w="0" w:type="auto"/>
            <w:vAlign w:val="center"/>
            <w:hideMark/>
          </w:tcPr>
          <w:p w14:paraId="60405755" w14:textId="77777777" w:rsidR="00901AC7" w:rsidRPr="00901AC7" w:rsidRDefault="00901AC7" w:rsidP="00901AC7">
            <w:r w:rsidRPr="00901AC7">
              <w:t>&lt; 10⁻¹⁰</w:t>
            </w:r>
          </w:p>
        </w:tc>
      </w:tr>
      <w:tr w:rsidR="00901AC7" w:rsidRPr="00901AC7" w14:paraId="5FB0B340" w14:textId="77777777" w:rsidTr="00901AC7">
        <w:trPr>
          <w:tblCellSpacing w:w="15" w:type="dxa"/>
        </w:trPr>
        <w:tc>
          <w:tcPr>
            <w:tcW w:w="0" w:type="auto"/>
            <w:vAlign w:val="center"/>
            <w:hideMark/>
          </w:tcPr>
          <w:p w14:paraId="3D099F69" w14:textId="77777777" w:rsidR="00901AC7" w:rsidRPr="00901AC7" w:rsidRDefault="00901AC7" w:rsidP="00901AC7">
            <w:proofErr w:type="spellStart"/>
            <w:r w:rsidRPr="00901AC7">
              <w:t>LK_other</w:t>
            </w:r>
            <w:proofErr w:type="spellEnd"/>
          </w:p>
        </w:tc>
        <w:tc>
          <w:tcPr>
            <w:tcW w:w="0" w:type="auto"/>
            <w:vAlign w:val="center"/>
            <w:hideMark/>
          </w:tcPr>
          <w:p w14:paraId="35355709" w14:textId="77777777" w:rsidR="00901AC7" w:rsidRPr="00901AC7" w:rsidRDefault="00901AC7" w:rsidP="00901AC7">
            <w:r w:rsidRPr="00901AC7">
              <w:t>1</w:t>
            </w:r>
          </w:p>
        </w:tc>
        <w:tc>
          <w:tcPr>
            <w:tcW w:w="0" w:type="auto"/>
            <w:vAlign w:val="center"/>
            <w:hideMark/>
          </w:tcPr>
          <w:p w14:paraId="5A58D094" w14:textId="77777777" w:rsidR="00901AC7" w:rsidRPr="00901AC7" w:rsidRDefault="00901AC7" w:rsidP="00901AC7">
            <w:r w:rsidRPr="00901AC7">
              <w:t>0.26–0.35</w:t>
            </w:r>
          </w:p>
        </w:tc>
        <w:tc>
          <w:tcPr>
            <w:tcW w:w="0" w:type="auto"/>
            <w:vAlign w:val="center"/>
            <w:hideMark/>
          </w:tcPr>
          <w:p w14:paraId="1C46B594" w14:textId="77777777" w:rsidR="00901AC7" w:rsidRPr="00901AC7" w:rsidRDefault="00901AC7" w:rsidP="00901AC7">
            <w:r w:rsidRPr="00901AC7">
              <w:t>&lt; 0.05</w:t>
            </w:r>
          </w:p>
        </w:tc>
      </w:tr>
      <w:tr w:rsidR="00901AC7" w:rsidRPr="00901AC7" w14:paraId="61D9042A" w14:textId="77777777" w:rsidTr="00901AC7">
        <w:trPr>
          <w:tblCellSpacing w:w="15" w:type="dxa"/>
        </w:trPr>
        <w:tc>
          <w:tcPr>
            <w:tcW w:w="0" w:type="auto"/>
            <w:vAlign w:val="center"/>
            <w:hideMark/>
          </w:tcPr>
          <w:p w14:paraId="18D978D7" w14:textId="77777777" w:rsidR="00901AC7" w:rsidRPr="00901AC7" w:rsidRDefault="00901AC7" w:rsidP="00901AC7">
            <w:r w:rsidRPr="00901AC7">
              <w:t>alle</w:t>
            </w:r>
          </w:p>
        </w:tc>
        <w:tc>
          <w:tcPr>
            <w:tcW w:w="0" w:type="auto"/>
            <w:vAlign w:val="center"/>
            <w:hideMark/>
          </w:tcPr>
          <w:p w14:paraId="69FD9ABB" w14:textId="77777777" w:rsidR="00901AC7" w:rsidRPr="00901AC7" w:rsidRDefault="00901AC7" w:rsidP="00901AC7">
            <w:r w:rsidRPr="00901AC7">
              <w:t>≥2</w:t>
            </w:r>
          </w:p>
        </w:tc>
        <w:tc>
          <w:tcPr>
            <w:tcW w:w="0" w:type="auto"/>
            <w:vAlign w:val="center"/>
            <w:hideMark/>
          </w:tcPr>
          <w:p w14:paraId="4125F4D7" w14:textId="77777777" w:rsidR="00901AC7" w:rsidRPr="00901AC7" w:rsidRDefault="00901AC7" w:rsidP="00901AC7">
            <w:r w:rsidRPr="00901AC7">
              <w:t>≈ 0</w:t>
            </w:r>
          </w:p>
        </w:tc>
        <w:tc>
          <w:tcPr>
            <w:tcW w:w="0" w:type="auto"/>
            <w:vAlign w:val="center"/>
            <w:hideMark/>
          </w:tcPr>
          <w:p w14:paraId="682EAE13" w14:textId="77777777" w:rsidR="00901AC7" w:rsidRPr="00901AC7" w:rsidRDefault="00901AC7" w:rsidP="00901AC7">
            <w:proofErr w:type="spellStart"/>
            <w:r w:rsidRPr="00901AC7">
              <w:t>n.s</w:t>
            </w:r>
            <w:proofErr w:type="spellEnd"/>
            <w:r w:rsidRPr="00901AC7">
              <w:t>.</w:t>
            </w:r>
          </w:p>
        </w:tc>
      </w:tr>
    </w:tbl>
    <w:p w14:paraId="5D81A35C" w14:textId="77777777" w:rsidR="00901AC7" w:rsidRPr="00901AC7" w:rsidRDefault="00901AC7" w:rsidP="00901AC7">
      <w:r w:rsidRPr="00901AC7">
        <w:t>Damit gilt empirisch:</w:t>
      </w:r>
    </w:p>
    <w:p w14:paraId="5164F409" w14:textId="77777777" w:rsidR="00901AC7" w:rsidRPr="00901AC7" w:rsidRDefault="00901AC7" w:rsidP="00901AC7">
      <w:r w:rsidRPr="00901AC7">
        <w:rPr>
          <w:rFonts w:ascii="Cambria Math" w:hAnsi="Cambria Math" w:cs="Cambria Math"/>
        </w:rPr>
        <w:t>∥</w:t>
      </w:r>
      <w:r w:rsidRPr="00901AC7">
        <w:rPr>
          <w:rFonts w:cs="Calibri"/>
        </w:rPr>
        <w:t>Δ</w:t>
      </w:r>
      <w:r w:rsidRPr="00901AC7">
        <w:t>S(t)</w:t>
      </w:r>
      <w:r w:rsidRPr="00901AC7">
        <w:rPr>
          <w:rFonts w:ascii="Cambria Math" w:hAnsi="Cambria Math" w:cs="Cambria Math"/>
        </w:rPr>
        <w:t>∥⇒</w:t>
      </w:r>
      <w:r w:rsidRPr="00901AC7">
        <w:rPr>
          <w:rFonts w:cs="Calibri"/>
        </w:rPr>
        <w:t>Δ</w:t>
      </w:r>
      <w:r w:rsidRPr="00901AC7">
        <w:t>P(t+1).\|\Delta S(t)\| \</w:t>
      </w:r>
      <w:proofErr w:type="spellStart"/>
      <w:r w:rsidRPr="00901AC7">
        <w:t>Rightarrow</w:t>
      </w:r>
      <w:proofErr w:type="spellEnd"/>
      <w:r w:rsidRPr="00901AC7">
        <w:t xml:space="preserve"> \Delta P(t+1</w:t>
      </w:r>
      <w:proofErr w:type="gramStart"/>
      <w:r w:rsidRPr="00901AC7">
        <w:t>).</w:t>
      </w:r>
      <w:r w:rsidRPr="00901AC7">
        <w:rPr>
          <w:rFonts w:ascii="Cambria Math" w:hAnsi="Cambria Math" w:cs="Cambria Math"/>
        </w:rPr>
        <w:t>∥</w:t>
      </w:r>
      <w:proofErr w:type="gramEnd"/>
      <w:r w:rsidRPr="00901AC7">
        <w:rPr>
          <w:rFonts w:cs="Calibri"/>
        </w:rPr>
        <w:t>Δ</w:t>
      </w:r>
      <w:r w:rsidRPr="00901AC7">
        <w:t>S(t)</w:t>
      </w:r>
      <w:r w:rsidRPr="00901AC7">
        <w:rPr>
          <w:rFonts w:ascii="Cambria Math" w:hAnsi="Cambria Math" w:cs="Cambria Math"/>
        </w:rPr>
        <w:t>∥⇒</w:t>
      </w:r>
      <w:r w:rsidRPr="00901AC7">
        <w:t xml:space="preserve">ΔP(t+1). </w:t>
      </w:r>
    </w:p>
    <w:p w14:paraId="28F2E186" w14:textId="77777777" w:rsidR="00901AC7" w:rsidRPr="00901AC7" w:rsidRDefault="00901AC7" w:rsidP="00901AC7">
      <w:r w:rsidRPr="00901AC7">
        <w:rPr>
          <w:b/>
          <w:bCs/>
        </w:rPr>
        <w:t>Abbildung 6.x.2: Lag-Korrelation zwischen semantischer Bewegung und Performanz</w:t>
      </w:r>
      <w:r w:rsidRPr="00901AC7">
        <w:br/>
      </w:r>
      <w:r w:rsidRPr="00901AC7">
        <w:rPr>
          <w:i/>
          <w:iCs/>
        </w:rPr>
        <w:t>Die Grafik zeigt die Korrelationen für verschiedene Zeitverzögerungen. Der Peak bei Lag 1 verdeutlicht die zeitverzögerte Wirkung von Variation.</w:t>
      </w:r>
    </w:p>
    <w:p w14:paraId="08C2ACDF" w14:textId="77777777" w:rsidR="00901AC7" w:rsidRPr="00901AC7" w:rsidRDefault="00901AC7" w:rsidP="00901AC7">
      <w:r w:rsidRPr="00901AC7">
        <w:rPr>
          <w:b/>
          <w:bCs/>
        </w:rPr>
        <w:t>Abbildung 6.x.3: Scatterplot Lag 1</w:t>
      </w:r>
      <w:r w:rsidRPr="00901AC7">
        <w:br/>
      </w:r>
      <w:r w:rsidRPr="00901AC7">
        <w:rPr>
          <w:i/>
          <w:iCs/>
        </w:rPr>
        <w:t xml:space="preserve">Darstellung von </w:t>
      </w:r>
      <w:r w:rsidRPr="00901AC7">
        <w:rPr>
          <w:rFonts w:ascii="Cambria Math" w:hAnsi="Cambria Math" w:cs="Cambria Math"/>
          <w:i/>
          <w:iCs/>
        </w:rPr>
        <w:t>∥</w:t>
      </w:r>
      <w:r w:rsidRPr="00901AC7">
        <w:rPr>
          <w:rFonts w:cs="Calibri"/>
          <w:i/>
          <w:iCs/>
        </w:rPr>
        <w:t>Δ</w:t>
      </w:r>
      <w:r w:rsidRPr="00901AC7">
        <w:rPr>
          <w:i/>
          <w:iCs/>
        </w:rPr>
        <w:t>S(t)</w:t>
      </w:r>
      <w:r w:rsidRPr="00901AC7">
        <w:rPr>
          <w:rFonts w:ascii="Cambria Math" w:hAnsi="Cambria Math" w:cs="Cambria Math"/>
          <w:i/>
          <w:iCs/>
        </w:rPr>
        <w:t>∥</w:t>
      </w:r>
      <w:r w:rsidRPr="00901AC7">
        <w:rPr>
          <w:i/>
          <w:iCs/>
        </w:rPr>
        <w:t>\|\Delta S(t)\|</w:t>
      </w:r>
      <w:r w:rsidRPr="00901AC7">
        <w:rPr>
          <w:rFonts w:ascii="Cambria Math" w:hAnsi="Cambria Math" w:cs="Cambria Math"/>
          <w:i/>
          <w:iCs/>
        </w:rPr>
        <w:t>∥</w:t>
      </w:r>
      <w:r w:rsidRPr="00901AC7">
        <w:rPr>
          <w:rFonts w:cs="Calibri"/>
          <w:i/>
          <w:iCs/>
        </w:rPr>
        <w:t>Δ</w:t>
      </w:r>
      <w:r w:rsidRPr="00901AC7">
        <w:rPr>
          <w:i/>
          <w:iCs/>
        </w:rPr>
        <w:t>S(t)</w:t>
      </w:r>
      <w:r w:rsidRPr="00901AC7">
        <w:rPr>
          <w:rFonts w:ascii="Cambria Math" w:hAnsi="Cambria Math" w:cs="Cambria Math"/>
          <w:i/>
          <w:iCs/>
        </w:rPr>
        <w:t>∥</w:t>
      </w:r>
      <w:r w:rsidRPr="00901AC7">
        <w:rPr>
          <w:i/>
          <w:iCs/>
        </w:rPr>
        <w:t xml:space="preserve"> gegen ΔP(t+</w:t>
      </w:r>
      <w:proofErr w:type="gramStart"/>
      <w:r w:rsidRPr="00901AC7">
        <w:rPr>
          <w:i/>
          <w:iCs/>
        </w:rPr>
        <w:t>1)\</w:t>
      </w:r>
      <w:proofErr w:type="gramEnd"/>
      <w:r w:rsidRPr="00901AC7">
        <w:rPr>
          <w:i/>
          <w:iCs/>
        </w:rPr>
        <w:t>Delta P(t+1)ΔP(t+1). Die positive Tendenz bestätigt den Zusammenhang zwischen Variation und verzögerter Performanz.</w:t>
      </w:r>
    </w:p>
    <w:p w14:paraId="2F6E9CA9" w14:textId="77777777" w:rsidR="00901AC7" w:rsidRPr="00901AC7" w:rsidRDefault="00901AC7" w:rsidP="00901AC7">
      <w:r w:rsidRPr="00901AC7">
        <w:t>Die Robustheit dieses Effekts wurde durch Variation der Gewichtungsmatrix überprüft. Die Ergebnisse bleiben qualitativ stabil, was auf eine strukturelle Eigenschaft der Daten hinweist und Artefakte ausschließt.</w:t>
      </w:r>
    </w:p>
    <w:p w14:paraId="417CDB55" w14:textId="77777777" w:rsidR="00901AC7" w:rsidRPr="00901AC7" w:rsidRDefault="00901AC7" w:rsidP="00901AC7">
      <w:r w:rsidRPr="00901AC7">
        <w:t>Ein zusätzlicher Befund ergibt sich aus externen Bewertungen: Lehrkraft 1 wird überproportional häufig positiv genannt, obwohl keine höhere Performanz vorliegt. Dies lässt sich durch erhöhte Varianz erklären:</w:t>
      </w:r>
    </w:p>
    <w:p w14:paraId="6DF720D8" w14:textId="77777777" w:rsidR="00901AC7" w:rsidRPr="00901AC7" w:rsidRDefault="00901AC7" w:rsidP="00901AC7">
      <w:proofErr w:type="gramStart"/>
      <w:r w:rsidRPr="00901AC7">
        <w:t>Var(</w:t>
      </w:r>
      <w:proofErr w:type="gramEnd"/>
      <w:r w:rsidRPr="00901AC7">
        <w:t>V</w:t>
      </w:r>
      <w:r w:rsidRPr="00901AC7">
        <w:rPr>
          <w:rFonts w:ascii="Segoe UI Symbol" w:hAnsi="Segoe UI Symbol" w:cs="Segoe UI Symbol"/>
        </w:rPr>
        <w:t>⃗</w:t>
      </w:r>
      <w:r w:rsidRPr="00901AC7">
        <w:t>)</w:t>
      </w:r>
      <w:r w:rsidRPr="00901AC7">
        <w:rPr>
          <w:rFonts w:cs="Calibri"/>
        </w:rPr>
        <w:t>↑</w:t>
      </w:r>
      <w:r w:rsidRPr="00901AC7">
        <w:rPr>
          <w:rFonts w:ascii="Cambria Math" w:hAnsi="Cambria Math" w:cs="Cambria Math"/>
        </w:rPr>
        <w:t>⇒</w:t>
      </w:r>
      <w:r w:rsidRPr="00901AC7">
        <w:t>Salienz</w:t>
      </w:r>
      <w:r w:rsidRPr="00901AC7">
        <w:rPr>
          <w:rFonts w:cs="Calibri"/>
        </w:rPr>
        <w:t>↑</w:t>
      </w:r>
      <w:r w:rsidRPr="00901AC7">
        <w:t>.\</w:t>
      </w:r>
      <w:proofErr w:type="spellStart"/>
      <w:r w:rsidRPr="00901AC7">
        <w:t>text</w:t>
      </w:r>
      <w:proofErr w:type="spellEnd"/>
      <w:r w:rsidRPr="00901AC7">
        <w:t>{Var}(\</w:t>
      </w:r>
      <w:proofErr w:type="spellStart"/>
      <w:r w:rsidRPr="00901AC7">
        <w:t>vec</w:t>
      </w:r>
      <w:proofErr w:type="spellEnd"/>
      <w:r w:rsidRPr="00901AC7">
        <w:t>{V}) \</w:t>
      </w:r>
      <w:proofErr w:type="spellStart"/>
      <w:r w:rsidRPr="00901AC7">
        <w:t>uparrow</w:t>
      </w:r>
      <w:proofErr w:type="spellEnd"/>
      <w:r w:rsidRPr="00901AC7">
        <w:t xml:space="preserve"> \</w:t>
      </w:r>
      <w:proofErr w:type="spellStart"/>
      <w:r w:rsidRPr="00901AC7">
        <w:t>Rightarrow</w:t>
      </w:r>
      <w:proofErr w:type="spellEnd"/>
      <w:r w:rsidRPr="00901AC7">
        <w:t xml:space="preserve"> \</w:t>
      </w:r>
      <w:proofErr w:type="spellStart"/>
      <w:r w:rsidRPr="00901AC7">
        <w:t>text</w:t>
      </w:r>
      <w:proofErr w:type="spellEnd"/>
      <w:r w:rsidRPr="00901AC7">
        <w:t>{Salienz} \</w:t>
      </w:r>
      <w:proofErr w:type="spellStart"/>
      <w:r w:rsidRPr="00901AC7">
        <w:t>uparrow.Var</w:t>
      </w:r>
      <w:proofErr w:type="spellEnd"/>
      <w:r w:rsidRPr="00901AC7">
        <w:t>(V)↑</w:t>
      </w:r>
      <w:r w:rsidRPr="00901AC7">
        <w:rPr>
          <w:rFonts w:ascii="Cambria Math" w:hAnsi="Cambria Math" w:cs="Cambria Math"/>
        </w:rPr>
        <w:t>⇒</w:t>
      </w:r>
      <w:r w:rsidRPr="00901AC7">
        <w:t xml:space="preserve">Salienz↑. </w:t>
      </w:r>
    </w:p>
    <w:p w14:paraId="3CB3FDEC" w14:textId="77777777" w:rsidR="00901AC7" w:rsidRPr="00901AC7" w:rsidRDefault="00901AC7" w:rsidP="00901AC7">
      <w:r w:rsidRPr="00901AC7">
        <w:t>Damit zeigt sich eine Trennung zwischen systemischer Struktur und subjektiver Wahrnehmung.</w:t>
      </w:r>
    </w:p>
    <w:p w14:paraId="60211F86" w14:textId="77777777" w:rsidR="00901AC7" w:rsidRPr="00901AC7" w:rsidRDefault="00901AC7" w:rsidP="00901AC7">
      <w:r w:rsidRPr="00901AC7">
        <w:pict w14:anchorId="00035169">
          <v:rect id="_x0000_i1037" style="width:0;height:1.5pt" o:hralign="center" o:hrstd="t" o:hr="t" fillcolor="#a0a0a0" stroked="f"/>
        </w:pict>
      </w:r>
    </w:p>
    <w:p w14:paraId="71C33AE2" w14:textId="77777777" w:rsidR="00901AC7" w:rsidRPr="00901AC7" w:rsidRDefault="00901AC7" w:rsidP="00901AC7">
      <w:r w:rsidRPr="00901AC7">
        <w:rPr>
          <w:b/>
          <w:bCs/>
        </w:rPr>
        <w:t>6.x.x Literaturbasierte Einordnung und theoretische Erweiterung</w:t>
      </w:r>
    </w:p>
    <w:p w14:paraId="69B6DCD2" w14:textId="77777777" w:rsidR="00901AC7" w:rsidRPr="00901AC7" w:rsidRDefault="00901AC7" w:rsidP="00901AC7">
      <w:r w:rsidRPr="00901AC7">
        <w:t>Die gewonnenen Ergebnisse lassen sich im Kontext der internationalen Bildungsforschung verorten. Die Metaanalyse von Hattie [1] identifiziert zentrale Einflussfaktoren wie Feedback, Klarheit und Lehrer-Schüler-Beziehung. Diese Studien basieren jedoch auf aggregierten Effektstärken und betrachten primär stabile, unmittelbare Wirkungen.</w:t>
      </w:r>
    </w:p>
    <w:p w14:paraId="274253B6" w14:textId="77777777" w:rsidR="00901AC7" w:rsidRPr="00901AC7" w:rsidRDefault="00901AC7" w:rsidP="00901AC7">
      <w:r w:rsidRPr="00901AC7">
        <w:lastRenderedPageBreak/>
        <w:t>Die vorliegenden Daten erweitern diese Perspektive, indem sie zeigen:</w:t>
      </w:r>
    </w:p>
    <w:p w14:paraId="3692246A" w14:textId="77777777" w:rsidR="00901AC7" w:rsidRPr="00901AC7" w:rsidRDefault="00901AC7" w:rsidP="00901AC7">
      <w:r w:rsidRPr="00901AC7">
        <w:t>Variationt→Performanzt+1.\</w:t>
      </w:r>
      <w:proofErr w:type="spellStart"/>
      <w:proofErr w:type="gramStart"/>
      <w:r w:rsidRPr="00901AC7">
        <w:t>text</w:t>
      </w:r>
      <w:proofErr w:type="spellEnd"/>
      <w:r w:rsidRPr="00901AC7">
        <w:t>{</w:t>
      </w:r>
      <w:proofErr w:type="gramEnd"/>
      <w:r w:rsidRPr="00901AC7">
        <w:t>Variation}_t \</w:t>
      </w:r>
      <w:proofErr w:type="spellStart"/>
      <w:r w:rsidRPr="00901AC7">
        <w:t>rightarrow</w:t>
      </w:r>
      <w:proofErr w:type="spellEnd"/>
      <w:r w:rsidRPr="00901AC7">
        <w:t xml:space="preserve"> \</w:t>
      </w:r>
      <w:proofErr w:type="spellStart"/>
      <w:r w:rsidRPr="00901AC7">
        <w:t>text</w:t>
      </w:r>
      <w:proofErr w:type="spellEnd"/>
      <w:r w:rsidRPr="00901AC7">
        <w:t>{Performanz}_{t+1}.</w:t>
      </w:r>
      <w:proofErr w:type="spellStart"/>
      <w:r w:rsidRPr="00901AC7">
        <w:t>Variationt</w:t>
      </w:r>
      <w:proofErr w:type="spellEnd"/>
      <w:r w:rsidRPr="00901AC7">
        <w:t xml:space="preserve">​→Performanzt+1​. </w:t>
      </w:r>
    </w:p>
    <w:p w14:paraId="1F8BD24C" w14:textId="77777777" w:rsidR="00901AC7" w:rsidRPr="00901AC7" w:rsidRDefault="00901AC7" w:rsidP="00901AC7">
      <w:r w:rsidRPr="00901AC7">
        <w:t>Damit wird ein zeitlich verzögerter Wirkmechanismus sichtbar, der in klassischen Studien nicht explizit modelliert ist.</w:t>
      </w:r>
    </w:p>
    <w:p w14:paraId="520F74A4" w14:textId="77777777" w:rsidR="00901AC7" w:rsidRPr="00901AC7" w:rsidRDefault="00901AC7" w:rsidP="00901AC7">
      <w:r w:rsidRPr="00901AC7">
        <w:rPr>
          <w:b/>
          <w:bCs/>
        </w:rPr>
        <w:t>Tabelle 6.x.4: Vergleich Forschung vs.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140"/>
        <w:gridCol w:w="1444"/>
      </w:tblGrid>
      <w:tr w:rsidR="00901AC7" w:rsidRPr="00901AC7" w14:paraId="4EADFEF7" w14:textId="77777777" w:rsidTr="00901AC7">
        <w:trPr>
          <w:tblHeader/>
          <w:tblCellSpacing w:w="15" w:type="dxa"/>
        </w:trPr>
        <w:tc>
          <w:tcPr>
            <w:tcW w:w="0" w:type="auto"/>
            <w:vAlign w:val="center"/>
            <w:hideMark/>
          </w:tcPr>
          <w:p w14:paraId="35FA98E9" w14:textId="77777777" w:rsidR="00901AC7" w:rsidRPr="00901AC7" w:rsidRDefault="00901AC7" w:rsidP="00901AC7">
            <w:pPr>
              <w:rPr>
                <w:b/>
                <w:bCs/>
              </w:rPr>
            </w:pPr>
            <w:r w:rsidRPr="00901AC7">
              <w:rPr>
                <w:b/>
                <w:bCs/>
              </w:rPr>
              <w:t>Aspekt</w:t>
            </w:r>
          </w:p>
        </w:tc>
        <w:tc>
          <w:tcPr>
            <w:tcW w:w="0" w:type="auto"/>
            <w:vAlign w:val="center"/>
            <w:hideMark/>
          </w:tcPr>
          <w:p w14:paraId="69C8FA9C" w14:textId="77777777" w:rsidR="00901AC7" w:rsidRPr="00901AC7" w:rsidRDefault="00901AC7" w:rsidP="00901AC7">
            <w:pPr>
              <w:rPr>
                <w:b/>
                <w:bCs/>
              </w:rPr>
            </w:pPr>
            <w:r w:rsidRPr="00901AC7">
              <w:rPr>
                <w:b/>
                <w:bCs/>
              </w:rPr>
              <w:t>Klassische Forschung</w:t>
            </w:r>
          </w:p>
        </w:tc>
        <w:tc>
          <w:tcPr>
            <w:tcW w:w="0" w:type="auto"/>
            <w:vAlign w:val="center"/>
            <w:hideMark/>
          </w:tcPr>
          <w:p w14:paraId="5E4315F3" w14:textId="77777777" w:rsidR="00901AC7" w:rsidRPr="00901AC7" w:rsidRDefault="00901AC7" w:rsidP="00901AC7">
            <w:pPr>
              <w:rPr>
                <w:b/>
                <w:bCs/>
              </w:rPr>
            </w:pPr>
            <w:r w:rsidRPr="00901AC7">
              <w:rPr>
                <w:b/>
                <w:bCs/>
              </w:rPr>
              <w:t>FRZK</w:t>
            </w:r>
          </w:p>
        </w:tc>
      </w:tr>
      <w:tr w:rsidR="00901AC7" w:rsidRPr="00901AC7" w14:paraId="44FDAC7E" w14:textId="77777777" w:rsidTr="00901AC7">
        <w:trPr>
          <w:tblCellSpacing w:w="15" w:type="dxa"/>
        </w:trPr>
        <w:tc>
          <w:tcPr>
            <w:tcW w:w="0" w:type="auto"/>
            <w:vAlign w:val="center"/>
            <w:hideMark/>
          </w:tcPr>
          <w:p w14:paraId="041B34F5" w14:textId="77777777" w:rsidR="00901AC7" w:rsidRPr="00901AC7" w:rsidRDefault="00901AC7" w:rsidP="00901AC7">
            <w:r w:rsidRPr="00901AC7">
              <w:t>Fokus</w:t>
            </w:r>
          </w:p>
        </w:tc>
        <w:tc>
          <w:tcPr>
            <w:tcW w:w="0" w:type="auto"/>
            <w:vAlign w:val="center"/>
            <w:hideMark/>
          </w:tcPr>
          <w:p w14:paraId="22CB4BB6" w14:textId="77777777" w:rsidR="00901AC7" w:rsidRPr="00901AC7" w:rsidRDefault="00901AC7" w:rsidP="00901AC7">
            <w:r w:rsidRPr="00901AC7">
              <w:t>Mittelwerte</w:t>
            </w:r>
          </w:p>
        </w:tc>
        <w:tc>
          <w:tcPr>
            <w:tcW w:w="0" w:type="auto"/>
            <w:vAlign w:val="center"/>
            <w:hideMark/>
          </w:tcPr>
          <w:p w14:paraId="6C243B23" w14:textId="77777777" w:rsidR="00901AC7" w:rsidRPr="00901AC7" w:rsidRDefault="00901AC7" w:rsidP="00901AC7">
            <w:r w:rsidRPr="00901AC7">
              <w:t>Dynamik</w:t>
            </w:r>
          </w:p>
        </w:tc>
      </w:tr>
      <w:tr w:rsidR="00901AC7" w:rsidRPr="00901AC7" w14:paraId="4158DC9E" w14:textId="77777777" w:rsidTr="00901AC7">
        <w:trPr>
          <w:tblCellSpacing w:w="15" w:type="dxa"/>
        </w:trPr>
        <w:tc>
          <w:tcPr>
            <w:tcW w:w="0" w:type="auto"/>
            <w:vAlign w:val="center"/>
            <w:hideMark/>
          </w:tcPr>
          <w:p w14:paraId="52CF4480" w14:textId="77777777" w:rsidR="00901AC7" w:rsidRPr="00901AC7" w:rsidRDefault="00901AC7" w:rsidP="00901AC7">
            <w:r w:rsidRPr="00901AC7">
              <w:t>Modell</w:t>
            </w:r>
          </w:p>
        </w:tc>
        <w:tc>
          <w:tcPr>
            <w:tcW w:w="0" w:type="auto"/>
            <w:vAlign w:val="center"/>
            <w:hideMark/>
          </w:tcPr>
          <w:p w14:paraId="7483BD76" w14:textId="77777777" w:rsidR="00901AC7" w:rsidRPr="00901AC7" w:rsidRDefault="00901AC7" w:rsidP="00901AC7">
            <w:r w:rsidRPr="00901AC7">
              <w:t>linear</w:t>
            </w:r>
          </w:p>
        </w:tc>
        <w:tc>
          <w:tcPr>
            <w:tcW w:w="0" w:type="auto"/>
            <w:vAlign w:val="center"/>
            <w:hideMark/>
          </w:tcPr>
          <w:p w14:paraId="7D084556" w14:textId="77777777" w:rsidR="00901AC7" w:rsidRPr="00901AC7" w:rsidRDefault="00901AC7" w:rsidP="00901AC7">
            <w:r w:rsidRPr="00901AC7">
              <w:t>zeitverzögert</w:t>
            </w:r>
          </w:p>
        </w:tc>
      </w:tr>
      <w:tr w:rsidR="00901AC7" w:rsidRPr="00901AC7" w14:paraId="030E86B6" w14:textId="77777777" w:rsidTr="00901AC7">
        <w:trPr>
          <w:tblCellSpacing w:w="15" w:type="dxa"/>
        </w:trPr>
        <w:tc>
          <w:tcPr>
            <w:tcW w:w="0" w:type="auto"/>
            <w:vAlign w:val="center"/>
            <w:hideMark/>
          </w:tcPr>
          <w:p w14:paraId="0914744A" w14:textId="77777777" w:rsidR="00901AC7" w:rsidRPr="00901AC7" w:rsidRDefault="00901AC7" w:rsidP="00901AC7">
            <w:r w:rsidRPr="00901AC7">
              <w:t>Struktur</w:t>
            </w:r>
          </w:p>
        </w:tc>
        <w:tc>
          <w:tcPr>
            <w:tcW w:w="0" w:type="auto"/>
            <w:vAlign w:val="center"/>
            <w:hideMark/>
          </w:tcPr>
          <w:p w14:paraId="70BDFB05" w14:textId="77777777" w:rsidR="00901AC7" w:rsidRPr="00901AC7" w:rsidRDefault="00901AC7" w:rsidP="00901AC7">
            <w:r w:rsidRPr="00901AC7">
              <w:t>stabil</w:t>
            </w:r>
          </w:p>
        </w:tc>
        <w:tc>
          <w:tcPr>
            <w:tcW w:w="0" w:type="auto"/>
            <w:vAlign w:val="center"/>
            <w:hideMark/>
          </w:tcPr>
          <w:p w14:paraId="4353DB3D" w14:textId="77777777" w:rsidR="00901AC7" w:rsidRPr="00901AC7" w:rsidRDefault="00901AC7" w:rsidP="00901AC7">
            <w:r w:rsidRPr="00901AC7">
              <w:t>variabel</w:t>
            </w:r>
          </w:p>
        </w:tc>
      </w:tr>
      <w:tr w:rsidR="00901AC7" w:rsidRPr="00901AC7" w14:paraId="709C3912" w14:textId="77777777" w:rsidTr="00901AC7">
        <w:trPr>
          <w:tblCellSpacing w:w="15" w:type="dxa"/>
        </w:trPr>
        <w:tc>
          <w:tcPr>
            <w:tcW w:w="0" w:type="auto"/>
            <w:vAlign w:val="center"/>
            <w:hideMark/>
          </w:tcPr>
          <w:p w14:paraId="5F529589" w14:textId="77777777" w:rsidR="00901AC7" w:rsidRPr="00901AC7" w:rsidRDefault="00901AC7" w:rsidP="00901AC7">
            <w:r w:rsidRPr="00901AC7">
              <w:t>Ergebnis</w:t>
            </w:r>
          </w:p>
        </w:tc>
        <w:tc>
          <w:tcPr>
            <w:tcW w:w="0" w:type="auto"/>
            <w:vAlign w:val="center"/>
            <w:hideMark/>
          </w:tcPr>
          <w:p w14:paraId="7E3F830F" w14:textId="77777777" w:rsidR="00901AC7" w:rsidRPr="00901AC7" w:rsidRDefault="00901AC7" w:rsidP="00901AC7">
            <w:r w:rsidRPr="00901AC7">
              <w:t>„was wirkt“</w:t>
            </w:r>
          </w:p>
        </w:tc>
        <w:tc>
          <w:tcPr>
            <w:tcW w:w="0" w:type="auto"/>
            <w:vAlign w:val="center"/>
            <w:hideMark/>
          </w:tcPr>
          <w:p w14:paraId="6593C292" w14:textId="77777777" w:rsidR="00901AC7" w:rsidRPr="00901AC7" w:rsidRDefault="00901AC7" w:rsidP="00901AC7">
            <w:r w:rsidRPr="00901AC7">
              <w:t>„wie es wirkt“</w:t>
            </w:r>
          </w:p>
        </w:tc>
      </w:tr>
    </w:tbl>
    <w:p w14:paraId="3446662B" w14:textId="77777777" w:rsidR="00901AC7" w:rsidRPr="00901AC7" w:rsidRDefault="00901AC7" w:rsidP="00901AC7">
      <w:r w:rsidRPr="00901AC7">
        <w:rPr>
          <w:b/>
          <w:bCs/>
        </w:rPr>
        <w:t>Abbildung 6.x.4: Modellvergleich klassische Wirkung vs. FRZK-Dynamik</w:t>
      </w:r>
      <w:r w:rsidRPr="00901AC7">
        <w:br/>
      </w:r>
      <w:r w:rsidRPr="00901AC7">
        <w:rPr>
          <w:i/>
          <w:iCs/>
        </w:rPr>
        <w:t>Schema, das lineare Wirkmodelle und die zeitverzögerte Dynamik im FRZK gegenüberstellt.</w:t>
      </w:r>
    </w:p>
    <w:p w14:paraId="0BCA5891" w14:textId="77777777" w:rsidR="00901AC7" w:rsidRPr="00901AC7" w:rsidRDefault="00901AC7" w:rsidP="00901AC7">
      <w:r w:rsidRPr="00901AC7">
        <w:t>Motivationstheorien betonen die Rolle von Aktivierung für Lernen [2][3]. Das FRZK präzisiert diesen Zusammenhang:</w:t>
      </w:r>
    </w:p>
    <w:p w14:paraId="6CB45717" w14:textId="77777777" w:rsidR="00901AC7" w:rsidRPr="00901AC7" w:rsidRDefault="00901AC7" w:rsidP="00901AC7">
      <w:r w:rsidRPr="00901AC7">
        <w:t>Aktivierung=f(</w:t>
      </w:r>
      <w:r w:rsidRPr="00901AC7">
        <w:rPr>
          <w:rFonts w:ascii="Cambria Math" w:hAnsi="Cambria Math" w:cs="Cambria Math"/>
        </w:rPr>
        <w:t>∥</w:t>
      </w:r>
      <w:r w:rsidRPr="00901AC7">
        <w:rPr>
          <w:rFonts w:cs="Calibri"/>
        </w:rPr>
        <w:t>Δ</w:t>
      </w:r>
      <w:r w:rsidRPr="00901AC7">
        <w:t>S</w:t>
      </w:r>
      <w:r w:rsidRPr="00901AC7">
        <w:rPr>
          <w:rFonts w:ascii="Cambria Math" w:hAnsi="Cambria Math" w:cs="Cambria Math"/>
        </w:rPr>
        <w:t>∥</w:t>
      </w:r>
      <w:r w:rsidRPr="00901AC7">
        <w:t>).\</w:t>
      </w:r>
      <w:proofErr w:type="spellStart"/>
      <w:proofErr w:type="gramStart"/>
      <w:r w:rsidRPr="00901AC7">
        <w:t>text</w:t>
      </w:r>
      <w:proofErr w:type="spellEnd"/>
      <w:r w:rsidRPr="00901AC7">
        <w:t>{</w:t>
      </w:r>
      <w:proofErr w:type="gramEnd"/>
      <w:r w:rsidRPr="00901AC7">
        <w:t>Aktivierung} = f(\|\Delta S\|).Aktivierung=f(</w:t>
      </w:r>
      <w:r w:rsidRPr="00901AC7">
        <w:rPr>
          <w:rFonts w:ascii="Cambria Math" w:hAnsi="Cambria Math" w:cs="Cambria Math"/>
        </w:rPr>
        <w:t>∥</w:t>
      </w:r>
      <w:r w:rsidRPr="00901AC7">
        <w:rPr>
          <w:rFonts w:cs="Calibri"/>
        </w:rPr>
        <w:t>Δ</w:t>
      </w:r>
      <w:r w:rsidRPr="00901AC7">
        <w:t>S</w:t>
      </w:r>
      <w:r w:rsidRPr="00901AC7">
        <w:rPr>
          <w:rFonts w:ascii="Cambria Math" w:hAnsi="Cambria Math" w:cs="Cambria Math"/>
        </w:rPr>
        <w:t>∥</w:t>
      </w:r>
      <w:r w:rsidRPr="00901AC7">
        <w:t xml:space="preserve">). </w:t>
      </w:r>
    </w:p>
    <w:p w14:paraId="5D7DF1D5" w14:textId="77777777" w:rsidR="00901AC7" w:rsidRPr="00901AC7" w:rsidRDefault="00901AC7" w:rsidP="00901AC7">
      <w:r w:rsidRPr="00901AC7">
        <w:t>Damit wird Aktivierung als Folge semantischer Bewegung operationalisiert.</w:t>
      </w:r>
    </w:p>
    <w:p w14:paraId="43B3688C" w14:textId="77777777" w:rsidR="00901AC7" w:rsidRPr="00901AC7" w:rsidRDefault="00901AC7" w:rsidP="00901AC7">
      <w:r w:rsidRPr="00901AC7">
        <w:t xml:space="preserve">Konstruktivistische Ansätze (Piaget, </w:t>
      </w:r>
      <w:proofErr w:type="spellStart"/>
      <w:r w:rsidRPr="00901AC7">
        <w:t>Vygotsky</w:t>
      </w:r>
      <w:proofErr w:type="spellEnd"/>
      <w:r w:rsidRPr="00901AC7">
        <w:t>) beschreiben Lernen als Anpassungsprozess an Diskrepanzen [4][5]. Das FRZK quantifiziert diese Diskrepanzen und zeigt deren zeitliche Wirkung.</w:t>
      </w:r>
    </w:p>
    <w:p w14:paraId="54BE997A" w14:textId="77777777" w:rsidR="00901AC7" w:rsidRPr="00901AC7" w:rsidRDefault="00901AC7" w:rsidP="00901AC7">
      <w:r w:rsidRPr="00901AC7">
        <w:rPr>
          <w:b/>
          <w:bCs/>
        </w:rPr>
        <w:t>Abbildung 6.x.5: Semantische Bewegung als Aktivierungsmechanismus</w:t>
      </w:r>
      <w:r w:rsidRPr="00901AC7">
        <w:br/>
      </w:r>
      <w:r w:rsidRPr="00901AC7">
        <w:rPr>
          <w:i/>
          <w:iCs/>
        </w:rPr>
        <w:t>Visualisierung der Transformation von Variation zu Aktivierung und anschließendem Lernzuwachs.</w:t>
      </w:r>
    </w:p>
    <w:p w14:paraId="2F12B643" w14:textId="77777777" w:rsidR="00901AC7" w:rsidRPr="00901AC7" w:rsidRDefault="00901AC7" w:rsidP="00901AC7">
      <w:r w:rsidRPr="00901AC7">
        <w:t>Besonders relevant ist der Kontext der Nachhilfe. Trotz fehlender struktureller Stabilität bleibt der Zusammenhang bestehen:</w:t>
      </w:r>
    </w:p>
    <w:p w14:paraId="7BE6F31D" w14:textId="77777777" w:rsidR="00901AC7" w:rsidRPr="00901AC7" w:rsidRDefault="00901AC7" w:rsidP="00901AC7">
      <w:r w:rsidRPr="00901AC7">
        <w:rPr>
          <w:rFonts w:ascii="Cambria Math" w:hAnsi="Cambria Math" w:cs="Cambria Math"/>
        </w:rPr>
        <w:t>∥</w:t>
      </w:r>
      <w:r w:rsidRPr="00901AC7">
        <w:rPr>
          <w:rFonts w:cs="Calibri"/>
        </w:rPr>
        <w:t>Δ</w:t>
      </w:r>
      <w:r w:rsidRPr="00901AC7">
        <w:t>S(t)</w:t>
      </w:r>
      <w:r w:rsidRPr="00901AC7">
        <w:rPr>
          <w:rFonts w:ascii="Cambria Math" w:hAnsi="Cambria Math" w:cs="Cambria Math"/>
        </w:rPr>
        <w:t>∥⇒</w:t>
      </w:r>
      <w:r w:rsidRPr="00901AC7">
        <w:rPr>
          <w:rFonts w:cs="Calibri"/>
        </w:rPr>
        <w:t>Δ</w:t>
      </w:r>
      <w:r w:rsidRPr="00901AC7">
        <w:t>P(t+1).\|\Delta S(t)\| \</w:t>
      </w:r>
      <w:proofErr w:type="spellStart"/>
      <w:r w:rsidRPr="00901AC7">
        <w:t>Rightarrow</w:t>
      </w:r>
      <w:proofErr w:type="spellEnd"/>
      <w:r w:rsidRPr="00901AC7">
        <w:t xml:space="preserve"> \Delta P(t+1</w:t>
      </w:r>
      <w:proofErr w:type="gramStart"/>
      <w:r w:rsidRPr="00901AC7">
        <w:t>).</w:t>
      </w:r>
      <w:r w:rsidRPr="00901AC7">
        <w:rPr>
          <w:rFonts w:ascii="Cambria Math" w:hAnsi="Cambria Math" w:cs="Cambria Math"/>
        </w:rPr>
        <w:t>∥</w:t>
      </w:r>
      <w:proofErr w:type="gramEnd"/>
      <w:r w:rsidRPr="00901AC7">
        <w:rPr>
          <w:rFonts w:cs="Calibri"/>
        </w:rPr>
        <w:t>Δ</w:t>
      </w:r>
      <w:r w:rsidRPr="00901AC7">
        <w:t>S(t)</w:t>
      </w:r>
      <w:r w:rsidRPr="00901AC7">
        <w:rPr>
          <w:rFonts w:ascii="Cambria Math" w:hAnsi="Cambria Math" w:cs="Cambria Math"/>
        </w:rPr>
        <w:t>∥⇒</w:t>
      </w:r>
      <w:r w:rsidRPr="00901AC7">
        <w:t xml:space="preserve">ΔP(t+1). </w:t>
      </w:r>
    </w:p>
    <w:p w14:paraId="6609AA60" w14:textId="77777777" w:rsidR="00901AC7" w:rsidRPr="00901AC7" w:rsidRDefault="00901AC7" w:rsidP="00901AC7">
      <w:r w:rsidRPr="00901AC7">
        <w:t>Dies weist auf eine hohe Robustheit des zugrunde liegenden Mechanismus hin.</w:t>
      </w:r>
    </w:p>
    <w:p w14:paraId="1BDA150C" w14:textId="77777777" w:rsidR="00901AC7" w:rsidRPr="00901AC7" w:rsidRDefault="00901AC7" w:rsidP="00901AC7">
      <w:r w:rsidRPr="00901AC7">
        <w:rPr>
          <w:b/>
          <w:bCs/>
        </w:rPr>
        <w:t>Tabelle 6.x.5: Kontextvergleich Schule vs. Nachhilfe (theoretisch)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884"/>
        <w:gridCol w:w="942"/>
        <w:gridCol w:w="2042"/>
      </w:tblGrid>
      <w:tr w:rsidR="00901AC7" w:rsidRPr="00901AC7" w14:paraId="1BA70A8B" w14:textId="77777777" w:rsidTr="00901AC7">
        <w:trPr>
          <w:tblHeader/>
          <w:tblCellSpacing w:w="15" w:type="dxa"/>
        </w:trPr>
        <w:tc>
          <w:tcPr>
            <w:tcW w:w="0" w:type="auto"/>
            <w:vAlign w:val="center"/>
            <w:hideMark/>
          </w:tcPr>
          <w:p w14:paraId="18661D9E" w14:textId="77777777" w:rsidR="00901AC7" w:rsidRPr="00901AC7" w:rsidRDefault="00901AC7" w:rsidP="00901AC7">
            <w:pPr>
              <w:rPr>
                <w:b/>
                <w:bCs/>
              </w:rPr>
            </w:pPr>
            <w:r w:rsidRPr="00901AC7">
              <w:rPr>
                <w:b/>
                <w:bCs/>
              </w:rPr>
              <w:t>Kontext</w:t>
            </w:r>
          </w:p>
        </w:tc>
        <w:tc>
          <w:tcPr>
            <w:tcW w:w="0" w:type="auto"/>
            <w:vAlign w:val="center"/>
            <w:hideMark/>
          </w:tcPr>
          <w:p w14:paraId="208AE8FA" w14:textId="77777777" w:rsidR="00901AC7" w:rsidRPr="00901AC7" w:rsidRDefault="00901AC7" w:rsidP="00901AC7">
            <w:pPr>
              <w:rPr>
                <w:b/>
                <w:bCs/>
              </w:rPr>
            </w:pPr>
            <w:r w:rsidRPr="00901AC7">
              <w:rPr>
                <w:b/>
                <w:bCs/>
              </w:rPr>
              <w:t>Struktur</w:t>
            </w:r>
          </w:p>
        </w:tc>
        <w:tc>
          <w:tcPr>
            <w:tcW w:w="0" w:type="auto"/>
            <w:vAlign w:val="center"/>
            <w:hideMark/>
          </w:tcPr>
          <w:p w14:paraId="0C18899A" w14:textId="77777777" w:rsidR="00901AC7" w:rsidRPr="00901AC7" w:rsidRDefault="00901AC7" w:rsidP="00901AC7">
            <w:pPr>
              <w:rPr>
                <w:b/>
                <w:bCs/>
              </w:rPr>
            </w:pPr>
            <w:r w:rsidRPr="00901AC7">
              <w:rPr>
                <w:b/>
                <w:bCs/>
              </w:rPr>
              <w:t>Dynamik</w:t>
            </w:r>
          </w:p>
        </w:tc>
        <w:tc>
          <w:tcPr>
            <w:tcW w:w="0" w:type="auto"/>
            <w:vAlign w:val="center"/>
            <w:hideMark/>
          </w:tcPr>
          <w:p w14:paraId="24639710" w14:textId="77777777" w:rsidR="00901AC7" w:rsidRPr="00901AC7" w:rsidRDefault="00901AC7" w:rsidP="00901AC7">
            <w:pPr>
              <w:rPr>
                <w:b/>
                <w:bCs/>
              </w:rPr>
            </w:pPr>
            <w:r w:rsidRPr="00901AC7">
              <w:rPr>
                <w:b/>
                <w:bCs/>
              </w:rPr>
              <w:t>Wirkung</w:t>
            </w:r>
          </w:p>
        </w:tc>
      </w:tr>
      <w:tr w:rsidR="00901AC7" w:rsidRPr="00901AC7" w14:paraId="41D1C874" w14:textId="77777777" w:rsidTr="00901AC7">
        <w:trPr>
          <w:tblCellSpacing w:w="15" w:type="dxa"/>
        </w:trPr>
        <w:tc>
          <w:tcPr>
            <w:tcW w:w="0" w:type="auto"/>
            <w:vAlign w:val="center"/>
            <w:hideMark/>
          </w:tcPr>
          <w:p w14:paraId="724C4624" w14:textId="77777777" w:rsidR="00901AC7" w:rsidRPr="00901AC7" w:rsidRDefault="00901AC7" w:rsidP="00901AC7">
            <w:r w:rsidRPr="00901AC7">
              <w:t>Schule</w:t>
            </w:r>
          </w:p>
        </w:tc>
        <w:tc>
          <w:tcPr>
            <w:tcW w:w="0" w:type="auto"/>
            <w:vAlign w:val="center"/>
            <w:hideMark/>
          </w:tcPr>
          <w:p w14:paraId="732BD680" w14:textId="77777777" w:rsidR="00901AC7" w:rsidRPr="00901AC7" w:rsidRDefault="00901AC7" w:rsidP="00901AC7">
            <w:r w:rsidRPr="00901AC7">
              <w:t>stabil</w:t>
            </w:r>
          </w:p>
        </w:tc>
        <w:tc>
          <w:tcPr>
            <w:tcW w:w="0" w:type="auto"/>
            <w:vAlign w:val="center"/>
            <w:hideMark/>
          </w:tcPr>
          <w:p w14:paraId="73D0DD6A" w14:textId="77777777" w:rsidR="00901AC7" w:rsidRPr="00901AC7" w:rsidRDefault="00901AC7" w:rsidP="00901AC7">
            <w:r w:rsidRPr="00901AC7">
              <w:t>moderat</w:t>
            </w:r>
          </w:p>
        </w:tc>
        <w:tc>
          <w:tcPr>
            <w:tcW w:w="0" w:type="auto"/>
            <w:vAlign w:val="center"/>
            <w:hideMark/>
          </w:tcPr>
          <w:p w14:paraId="2ECB2185" w14:textId="77777777" w:rsidR="00901AC7" w:rsidRPr="00901AC7" w:rsidRDefault="00901AC7" w:rsidP="00901AC7">
            <w:r w:rsidRPr="00901AC7">
              <w:t>kontinuierlich</w:t>
            </w:r>
          </w:p>
        </w:tc>
      </w:tr>
      <w:tr w:rsidR="00901AC7" w:rsidRPr="00901AC7" w14:paraId="741C5AFE" w14:textId="77777777" w:rsidTr="00901AC7">
        <w:trPr>
          <w:tblCellSpacing w:w="15" w:type="dxa"/>
        </w:trPr>
        <w:tc>
          <w:tcPr>
            <w:tcW w:w="0" w:type="auto"/>
            <w:vAlign w:val="center"/>
            <w:hideMark/>
          </w:tcPr>
          <w:p w14:paraId="2803DB84" w14:textId="77777777" w:rsidR="00901AC7" w:rsidRPr="00901AC7" w:rsidRDefault="00901AC7" w:rsidP="00901AC7">
            <w:r w:rsidRPr="00901AC7">
              <w:t>Nachhilfe</w:t>
            </w:r>
          </w:p>
        </w:tc>
        <w:tc>
          <w:tcPr>
            <w:tcW w:w="0" w:type="auto"/>
            <w:vAlign w:val="center"/>
            <w:hideMark/>
          </w:tcPr>
          <w:p w14:paraId="37091478" w14:textId="77777777" w:rsidR="00901AC7" w:rsidRPr="00901AC7" w:rsidRDefault="00901AC7" w:rsidP="00901AC7">
            <w:r w:rsidRPr="00901AC7">
              <w:t>instabil</w:t>
            </w:r>
          </w:p>
        </w:tc>
        <w:tc>
          <w:tcPr>
            <w:tcW w:w="0" w:type="auto"/>
            <w:vAlign w:val="center"/>
            <w:hideMark/>
          </w:tcPr>
          <w:p w14:paraId="72631E4D" w14:textId="77777777" w:rsidR="00901AC7" w:rsidRPr="00901AC7" w:rsidRDefault="00901AC7" w:rsidP="00901AC7">
            <w:r w:rsidRPr="00901AC7">
              <w:t>hoch</w:t>
            </w:r>
          </w:p>
        </w:tc>
        <w:tc>
          <w:tcPr>
            <w:tcW w:w="0" w:type="auto"/>
            <w:vAlign w:val="center"/>
            <w:hideMark/>
          </w:tcPr>
          <w:p w14:paraId="5F8E6097" w14:textId="77777777" w:rsidR="00901AC7" w:rsidRPr="00901AC7" w:rsidRDefault="00901AC7" w:rsidP="00901AC7">
            <w:r w:rsidRPr="00901AC7">
              <w:t>punktuell, verzögert</w:t>
            </w:r>
          </w:p>
        </w:tc>
      </w:tr>
    </w:tbl>
    <w:p w14:paraId="7EDBAFD1" w14:textId="77777777" w:rsidR="00901AC7" w:rsidRPr="00901AC7" w:rsidRDefault="00901AC7" w:rsidP="00901AC7">
      <w:r w:rsidRPr="00901AC7">
        <w:t>Die Ergebnisse führen zu einer grundlegenden Verschiebung der Perspektive:</w:t>
      </w:r>
    </w:p>
    <w:p w14:paraId="4CF4D458" w14:textId="77777777" w:rsidR="00901AC7" w:rsidRPr="00901AC7" w:rsidRDefault="00901AC7" w:rsidP="00901AC7">
      <w:r w:rsidRPr="00901AC7">
        <w:t>Unterricht=Trajektorie im semantischen Raum.\</w:t>
      </w:r>
      <w:proofErr w:type="spellStart"/>
      <w:proofErr w:type="gramStart"/>
      <w:r w:rsidRPr="00901AC7">
        <w:t>text</w:t>
      </w:r>
      <w:proofErr w:type="spellEnd"/>
      <w:r w:rsidRPr="00901AC7">
        <w:t>{</w:t>
      </w:r>
      <w:proofErr w:type="gramEnd"/>
      <w:r w:rsidRPr="00901AC7">
        <w:t>Unterricht} = \</w:t>
      </w:r>
      <w:proofErr w:type="spellStart"/>
      <w:r w:rsidRPr="00901AC7">
        <w:t>text</w:t>
      </w:r>
      <w:proofErr w:type="spellEnd"/>
      <w:r w:rsidRPr="00901AC7">
        <w:t xml:space="preserve">{Trajektorie im semantischen Raum}.Unterricht=Trajektorie im semantischen Raum. </w:t>
      </w:r>
    </w:p>
    <w:p w14:paraId="678311B4" w14:textId="77777777" w:rsidR="00901AC7" w:rsidRPr="00901AC7" w:rsidRDefault="00901AC7" w:rsidP="00901AC7">
      <w:r w:rsidRPr="00901AC7">
        <w:t>Lernen entsteht nicht aus statischen Zuständen, sondern aus deren zeitlicher Organisation.</w:t>
      </w:r>
    </w:p>
    <w:p w14:paraId="2A4B0926" w14:textId="77777777" w:rsidR="00901AC7" w:rsidRPr="00901AC7" w:rsidRDefault="00901AC7" w:rsidP="00901AC7">
      <w:r w:rsidRPr="00901AC7">
        <w:pict w14:anchorId="1A56D102">
          <v:rect id="_x0000_i1038" style="width:0;height:1.5pt" o:hralign="center" o:hrstd="t" o:hr="t" fillcolor="#a0a0a0" stroked="f"/>
        </w:pict>
      </w:r>
    </w:p>
    <w:p w14:paraId="1BAAB9B8" w14:textId="77777777" w:rsidR="00901AC7" w:rsidRPr="00901AC7" w:rsidRDefault="00901AC7" w:rsidP="00901AC7">
      <w:r w:rsidRPr="00901AC7">
        <w:rPr>
          <w:b/>
          <w:bCs/>
        </w:rPr>
        <w:lastRenderedPageBreak/>
        <w:t>Quellenverzeichnis</w:t>
      </w:r>
    </w:p>
    <w:p w14:paraId="7FA3832F" w14:textId="77777777" w:rsidR="00901AC7" w:rsidRPr="00901AC7" w:rsidRDefault="00901AC7" w:rsidP="00901AC7">
      <w:r w:rsidRPr="00901AC7">
        <w:t xml:space="preserve">[1] Hattie, J. (2009). </w:t>
      </w:r>
      <w:r w:rsidRPr="00901AC7">
        <w:rPr>
          <w:i/>
          <w:iCs/>
        </w:rPr>
        <w:t>Visible Learning</w:t>
      </w:r>
      <w:r w:rsidRPr="00901AC7">
        <w:t>. Routledge.</w:t>
      </w:r>
      <w:r w:rsidRPr="00901AC7">
        <w:br/>
        <w:t xml:space="preserve">[2] OECD (2018). </w:t>
      </w:r>
      <w:r w:rsidRPr="00901AC7">
        <w:rPr>
          <w:i/>
          <w:iCs/>
        </w:rPr>
        <w:t xml:space="preserve">The Future </w:t>
      </w:r>
      <w:proofErr w:type="spellStart"/>
      <w:r w:rsidRPr="00901AC7">
        <w:rPr>
          <w:i/>
          <w:iCs/>
        </w:rPr>
        <w:t>of</w:t>
      </w:r>
      <w:proofErr w:type="spellEnd"/>
      <w:r w:rsidRPr="00901AC7">
        <w:rPr>
          <w:i/>
          <w:iCs/>
        </w:rPr>
        <w:t xml:space="preserve"> Education and Skills 2030</w:t>
      </w:r>
      <w:r w:rsidRPr="00901AC7">
        <w:t xml:space="preserve">. </w:t>
      </w:r>
      <w:proofErr w:type="gramStart"/>
      <w:r w:rsidRPr="00901AC7">
        <w:t>OECD Publishing</w:t>
      </w:r>
      <w:proofErr w:type="gramEnd"/>
      <w:r w:rsidRPr="00901AC7">
        <w:t>.</w:t>
      </w:r>
      <w:r w:rsidRPr="00901AC7">
        <w:br/>
        <w:t xml:space="preserve">[3] Dewey, J. (1938). </w:t>
      </w:r>
      <w:r w:rsidRPr="00901AC7">
        <w:rPr>
          <w:i/>
          <w:iCs/>
        </w:rPr>
        <w:t>Experience and Education</w:t>
      </w:r>
      <w:r w:rsidRPr="00901AC7">
        <w:t>.</w:t>
      </w:r>
      <w:r w:rsidRPr="00901AC7">
        <w:br/>
        <w:t xml:space="preserve">[4] Piaget, J. (1970). </w:t>
      </w:r>
      <w:proofErr w:type="spellStart"/>
      <w:r w:rsidRPr="00901AC7">
        <w:rPr>
          <w:i/>
          <w:iCs/>
        </w:rPr>
        <w:t>Psychology</w:t>
      </w:r>
      <w:proofErr w:type="spellEnd"/>
      <w:r w:rsidRPr="00901AC7">
        <w:rPr>
          <w:i/>
          <w:iCs/>
        </w:rPr>
        <w:t xml:space="preserve"> </w:t>
      </w:r>
      <w:proofErr w:type="spellStart"/>
      <w:r w:rsidRPr="00901AC7">
        <w:rPr>
          <w:i/>
          <w:iCs/>
        </w:rPr>
        <w:t>of</w:t>
      </w:r>
      <w:proofErr w:type="spellEnd"/>
      <w:r w:rsidRPr="00901AC7">
        <w:rPr>
          <w:i/>
          <w:iCs/>
        </w:rPr>
        <w:t xml:space="preserve"> </w:t>
      </w:r>
      <w:proofErr w:type="spellStart"/>
      <w:r w:rsidRPr="00901AC7">
        <w:rPr>
          <w:i/>
          <w:iCs/>
        </w:rPr>
        <w:t>Intelligence</w:t>
      </w:r>
      <w:proofErr w:type="spellEnd"/>
      <w:r w:rsidRPr="00901AC7">
        <w:t>.</w:t>
      </w:r>
      <w:r w:rsidRPr="00901AC7">
        <w:br/>
        <w:t xml:space="preserve">[5] </w:t>
      </w:r>
      <w:proofErr w:type="spellStart"/>
      <w:r w:rsidRPr="00901AC7">
        <w:t>Vygotsky</w:t>
      </w:r>
      <w:proofErr w:type="spellEnd"/>
      <w:r w:rsidRPr="00901AC7">
        <w:t xml:space="preserve">, L. (1978). </w:t>
      </w:r>
      <w:proofErr w:type="spellStart"/>
      <w:r w:rsidRPr="00901AC7">
        <w:rPr>
          <w:i/>
          <w:iCs/>
        </w:rPr>
        <w:t>Mind</w:t>
      </w:r>
      <w:proofErr w:type="spellEnd"/>
      <w:r w:rsidRPr="00901AC7">
        <w:rPr>
          <w:i/>
          <w:iCs/>
        </w:rPr>
        <w:t xml:space="preserve"> in Society</w:t>
      </w:r>
      <w:r w:rsidRPr="00901AC7">
        <w:t>.</w:t>
      </w:r>
    </w:p>
    <w:p w14:paraId="1D5F316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35736">
    <w:abstractNumId w:val="0"/>
  </w:num>
  <w:num w:numId="2" w16cid:durableId="1716926101">
    <w:abstractNumId w:val="1"/>
  </w:num>
  <w:num w:numId="3" w16cid:durableId="66875171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AC7"/>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1AC7"/>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53398"/>
  <w15:chartTrackingRefBased/>
  <w15:docId w15:val="{DFE1C395-C6D0-4474-A99C-79A99567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86966697">
      <w:bodyDiv w:val="1"/>
      <w:marLeft w:val="0"/>
      <w:marRight w:val="0"/>
      <w:marTop w:val="0"/>
      <w:marBottom w:val="0"/>
      <w:divBdr>
        <w:top w:val="none" w:sz="0" w:space="0" w:color="auto"/>
        <w:left w:val="none" w:sz="0" w:space="0" w:color="auto"/>
        <w:bottom w:val="none" w:sz="0" w:space="0" w:color="auto"/>
        <w:right w:val="none" w:sz="0" w:space="0" w:color="auto"/>
      </w:divBdr>
      <w:divsChild>
        <w:div w:id="1577009217">
          <w:marLeft w:val="0"/>
          <w:marRight w:val="0"/>
          <w:marTop w:val="0"/>
          <w:marBottom w:val="0"/>
          <w:divBdr>
            <w:top w:val="none" w:sz="0" w:space="0" w:color="auto"/>
            <w:left w:val="none" w:sz="0" w:space="0" w:color="auto"/>
            <w:bottom w:val="none" w:sz="0" w:space="0" w:color="auto"/>
            <w:right w:val="none" w:sz="0" w:space="0" w:color="auto"/>
          </w:divBdr>
          <w:divsChild>
            <w:div w:id="290749408">
              <w:marLeft w:val="0"/>
              <w:marRight w:val="0"/>
              <w:marTop w:val="0"/>
              <w:marBottom w:val="0"/>
              <w:divBdr>
                <w:top w:val="none" w:sz="0" w:space="0" w:color="auto"/>
                <w:left w:val="none" w:sz="0" w:space="0" w:color="auto"/>
                <w:bottom w:val="none" w:sz="0" w:space="0" w:color="auto"/>
                <w:right w:val="none" w:sz="0" w:space="0" w:color="auto"/>
              </w:divBdr>
            </w:div>
          </w:divsChild>
        </w:div>
        <w:div w:id="428703376">
          <w:marLeft w:val="0"/>
          <w:marRight w:val="0"/>
          <w:marTop w:val="0"/>
          <w:marBottom w:val="0"/>
          <w:divBdr>
            <w:top w:val="none" w:sz="0" w:space="0" w:color="auto"/>
            <w:left w:val="none" w:sz="0" w:space="0" w:color="auto"/>
            <w:bottom w:val="none" w:sz="0" w:space="0" w:color="auto"/>
            <w:right w:val="none" w:sz="0" w:space="0" w:color="auto"/>
          </w:divBdr>
          <w:divsChild>
            <w:div w:id="445806110">
              <w:marLeft w:val="0"/>
              <w:marRight w:val="0"/>
              <w:marTop w:val="0"/>
              <w:marBottom w:val="0"/>
              <w:divBdr>
                <w:top w:val="none" w:sz="0" w:space="0" w:color="auto"/>
                <w:left w:val="none" w:sz="0" w:space="0" w:color="auto"/>
                <w:bottom w:val="none" w:sz="0" w:space="0" w:color="auto"/>
                <w:right w:val="none" w:sz="0" w:space="0" w:color="auto"/>
              </w:divBdr>
            </w:div>
          </w:divsChild>
        </w:div>
        <w:div w:id="1525051864">
          <w:marLeft w:val="0"/>
          <w:marRight w:val="0"/>
          <w:marTop w:val="0"/>
          <w:marBottom w:val="0"/>
          <w:divBdr>
            <w:top w:val="none" w:sz="0" w:space="0" w:color="auto"/>
            <w:left w:val="none" w:sz="0" w:space="0" w:color="auto"/>
            <w:bottom w:val="none" w:sz="0" w:space="0" w:color="auto"/>
            <w:right w:val="none" w:sz="0" w:space="0" w:color="auto"/>
          </w:divBdr>
          <w:divsChild>
            <w:div w:id="1521622671">
              <w:marLeft w:val="0"/>
              <w:marRight w:val="0"/>
              <w:marTop w:val="0"/>
              <w:marBottom w:val="0"/>
              <w:divBdr>
                <w:top w:val="none" w:sz="0" w:space="0" w:color="auto"/>
                <w:left w:val="none" w:sz="0" w:space="0" w:color="auto"/>
                <w:bottom w:val="none" w:sz="0" w:space="0" w:color="auto"/>
                <w:right w:val="none" w:sz="0" w:space="0" w:color="auto"/>
              </w:divBdr>
            </w:div>
          </w:divsChild>
        </w:div>
        <w:div w:id="1515532242">
          <w:marLeft w:val="0"/>
          <w:marRight w:val="0"/>
          <w:marTop w:val="0"/>
          <w:marBottom w:val="0"/>
          <w:divBdr>
            <w:top w:val="none" w:sz="0" w:space="0" w:color="auto"/>
            <w:left w:val="none" w:sz="0" w:space="0" w:color="auto"/>
            <w:bottom w:val="none" w:sz="0" w:space="0" w:color="auto"/>
            <w:right w:val="none" w:sz="0" w:space="0" w:color="auto"/>
          </w:divBdr>
          <w:divsChild>
            <w:div w:id="962421539">
              <w:marLeft w:val="0"/>
              <w:marRight w:val="0"/>
              <w:marTop w:val="0"/>
              <w:marBottom w:val="0"/>
              <w:divBdr>
                <w:top w:val="none" w:sz="0" w:space="0" w:color="auto"/>
                <w:left w:val="none" w:sz="0" w:space="0" w:color="auto"/>
                <w:bottom w:val="none" w:sz="0" w:space="0" w:color="auto"/>
                <w:right w:val="none" w:sz="0" w:space="0" w:color="auto"/>
              </w:divBdr>
            </w:div>
          </w:divsChild>
        </w:div>
        <w:div w:id="1663504473">
          <w:marLeft w:val="0"/>
          <w:marRight w:val="0"/>
          <w:marTop w:val="0"/>
          <w:marBottom w:val="0"/>
          <w:divBdr>
            <w:top w:val="none" w:sz="0" w:space="0" w:color="auto"/>
            <w:left w:val="none" w:sz="0" w:space="0" w:color="auto"/>
            <w:bottom w:val="none" w:sz="0" w:space="0" w:color="auto"/>
            <w:right w:val="none" w:sz="0" w:space="0" w:color="auto"/>
          </w:divBdr>
          <w:divsChild>
            <w:div w:id="159832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71849520">
      <w:bodyDiv w:val="1"/>
      <w:marLeft w:val="0"/>
      <w:marRight w:val="0"/>
      <w:marTop w:val="0"/>
      <w:marBottom w:val="0"/>
      <w:divBdr>
        <w:top w:val="none" w:sz="0" w:space="0" w:color="auto"/>
        <w:left w:val="none" w:sz="0" w:space="0" w:color="auto"/>
        <w:bottom w:val="none" w:sz="0" w:space="0" w:color="auto"/>
        <w:right w:val="none" w:sz="0" w:space="0" w:color="auto"/>
      </w:divBdr>
      <w:divsChild>
        <w:div w:id="803230302">
          <w:marLeft w:val="0"/>
          <w:marRight w:val="0"/>
          <w:marTop w:val="0"/>
          <w:marBottom w:val="0"/>
          <w:divBdr>
            <w:top w:val="none" w:sz="0" w:space="0" w:color="auto"/>
            <w:left w:val="none" w:sz="0" w:space="0" w:color="auto"/>
            <w:bottom w:val="none" w:sz="0" w:space="0" w:color="auto"/>
            <w:right w:val="none" w:sz="0" w:space="0" w:color="auto"/>
          </w:divBdr>
          <w:divsChild>
            <w:div w:id="1062827658">
              <w:marLeft w:val="0"/>
              <w:marRight w:val="0"/>
              <w:marTop w:val="0"/>
              <w:marBottom w:val="0"/>
              <w:divBdr>
                <w:top w:val="none" w:sz="0" w:space="0" w:color="auto"/>
                <w:left w:val="none" w:sz="0" w:space="0" w:color="auto"/>
                <w:bottom w:val="none" w:sz="0" w:space="0" w:color="auto"/>
                <w:right w:val="none" w:sz="0" w:space="0" w:color="auto"/>
              </w:divBdr>
            </w:div>
          </w:divsChild>
        </w:div>
        <w:div w:id="1092773956">
          <w:marLeft w:val="0"/>
          <w:marRight w:val="0"/>
          <w:marTop w:val="0"/>
          <w:marBottom w:val="0"/>
          <w:divBdr>
            <w:top w:val="none" w:sz="0" w:space="0" w:color="auto"/>
            <w:left w:val="none" w:sz="0" w:space="0" w:color="auto"/>
            <w:bottom w:val="none" w:sz="0" w:space="0" w:color="auto"/>
            <w:right w:val="none" w:sz="0" w:space="0" w:color="auto"/>
          </w:divBdr>
          <w:divsChild>
            <w:div w:id="1035695894">
              <w:marLeft w:val="0"/>
              <w:marRight w:val="0"/>
              <w:marTop w:val="0"/>
              <w:marBottom w:val="0"/>
              <w:divBdr>
                <w:top w:val="none" w:sz="0" w:space="0" w:color="auto"/>
                <w:left w:val="none" w:sz="0" w:space="0" w:color="auto"/>
                <w:bottom w:val="none" w:sz="0" w:space="0" w:color="auto"/>
                <w:right w:val="none" w:sz="0" w:space="0" w:color="auto"/>
              </w:divBdr>
            </w:div>
          </w:divsChild>
        </w:div>
        <w:div w:id="253393733">
          <w:marLeft w:val="0"/>
          <w:marRight w:val="0"/>
          <w:marTop w:val="0"/>
          <w:marBottom w:val="0"/>
          <w:divBdr>
            <w:top w:val="none" w:sz="0" w:space="0" w:color="auto"/>
            <w:left w:val="none" w:sz="0" w:space="0" w:color="auto"/>
            <w:bottom w:val="none" w:sz="0" w:space="0" w:color="auto"/>
            <w:right w:val="none" w:sz="0" w:space="0" w:color="auto"/>
          </w:divBdr>
          <w:divsChild>
            <w:div w:id="1796672930">
              <w:marLeft w:val="0"/>
              <w:marRight w:val="0"/>
              <w:marTop w:val="0"/>
              <w:marBottom w:val="0"/>
              <w:divBdr>
                <w:top w:val="none" w:sz="0" w:space="0" w:color="auto"/>
                <w:left w:val="none" w:sz="0" w:space="0" w:color="auto"/>
                <w:bottom w:val="none" w:sz="0" w:space="0" w:color="auto"/>
                <w:right w:val="none" w:sz="0" w:space="0" w:color="auto"/>
              </w:divBdr>
            </w:div>
          </w:divsChild>
        </w:div>
        <w:div w:id="1642344918">
          <w:marLeft w:val="0"/>
          <w:marRight w:val="0"/>
          <w:marTop w:val="0"/>
          <w:marBottom w:val="0"/>
          <w:divBdr>
            <w:top w:val="none" w:sz="0" w:space="0" w:color="auto"/>
            <w:left w:val="none" w:sz="0" w:space="0" w:color="auto"/>
            <w:bottom w:val="none" w:sz="0" w:space="0" w:color="auto"/>
            <w:right w:val="none" w:sz="0" w:space="0" w:color="auto"/>
          </w:divBdr>
          <w:divsChild>
            <w:div w:id="907761085">
              <w:marLeft w:val="0"/>
              <w:marRight w:val="0"/>
              <w:marTop w:val="0"/>
              <w:marBottom w:val="0"/>
              <w:divBdr>
                <w:top w:val="none" w:sz="0" w:space="0" w:color="auto"/>
                <w:left w:val="none" w:sz="0" w:space="0" w:color="auto"/>
                <w:bottom w:val="none" w:sz="0" w:space="0" w:color="auto"/>
                <w:right w:val="none" w:sz="0" w:space="0" w:color="auto"/>
              </w:divBdr>
            </w:div>
          </w:divsChild>
        </w:div>
        <w:div w:id="1524511966">
          <w:marLeft w:val="0"/>
          <w:marRight w:val="0"/>
          <w:marTop w:val="0"/>
          <w:marBottom w:val="0"/>
          <w:divBdr>
            <w:top w:val="none" w:sz="0" w:space="0" w:color="auto"/>
            <w:left w:val="none" w:sz="0" w:space="0" w:color="auto"/>
            <w:bottom w:val="none" w:sz="0" w:space="0" w:color="auto"/>
            <w:right w:val="none" w:sz="0" w:space="0" w:color="auto"/>
          </w:divBdr>
          <w:divsChild>
            <w:div w:id="19874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950</Words>
  <Characters>5992</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2026-05-03T09:21:00Z</dcterms:created>
  <dcterms:modified xsi:type="dcterms:W3CDTF">2026-05-03T09:21:00Z</dcterms:modified>
</cp:coreProperties>
</file>