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9A9500" w14:textId="77777777" w:rsidR="0045277B" w:rsidRPr="0045277B" w:rsidRDefault="0045277B" w:rsidP="0045277B">
      <w:pPr>
        <w:pStyle w:val="berschrift2"/>
      </w:pPr>
      <w:r w:rsidRPr="0045277B">
        <w:t>6.X Operationalisierung und empirische Validierung von Orientierungsverlust im FRZK</w:t>
      </w:r>
    </w:p>
    <w:p w14:paraId="1A5305A2" w14:textId="77777777" w:rsidR="0045277B" w:rsidRPr="0045277B" w:rsidRDefault="0045277B" w:rsidP="0045277B">
      <w:pPr>
        <w:pStyle w:val="berschrift3"/>
      </w:pPr>
      <w:r w:rsidRPr="0045277B">
        <w:t>6.X.1 Kontextualisierung des Begriffs im Rahmen von Kapitel 6</w:t>
      </w:r>
    </w:p>
    <w:p w14:paraId="7E0BC927" w14:textId="77777777" w:rsidR="0045277B" w:rsidRPr="0045277B" w:rsidRDefault="0045277B" w:rsidP="0045277B">
      <w:r w:rsidRPr="0045277B">
        <w:t xml:space="preserve">Kapitel 6 verfolgt das Ziel, die in den vorhergehenden Kapiteln entwickelten theoretischen Konstrukte des FRZK (Kapitel 3) anhand realer Verlaufsdaten praktisch zu validieren. Während Kapitel 5 die statische Struktur des FRZK und seine semantischen Dimensionen expliziert, rückt Kapitel 6 die </w:t>
      </w:r>
      <w:r w:rsidRPr="0045277B">
        <w:rPr>
          <w:b/>
          <w:bCs/>
        </w:rPr>
        <w:t>zeitliche Dynamik individueller Lernprozesse</w:t>
      </w:r>
      <w:r w:rsidRPr="0045277B">
        <w:t xml:space="preserve"> in den Vordergrund. Innerhalb dieses dynamischen Fokus nimmt der Begriff des </w:t>
      </w:r>
      <w:r w:rsidRPr="0045277B">
        <w:rPr>
          <w:i/>
          <w:iCs/>
        </w:rPr>
        <w:t>Orientierungsverlustes</w:t>
      </w:r>
      <w:r w:rsidRPr="0045277B">
        <w:t xml:space="preserve"> eine zentrale Rolle ein.</w:t>
      </w:r>
    </w:p>
    <w:p w14:paraId="2530CAF1" w14:textId="77777777" w:rsidR="0045277B" w:rsidRPr="0045277B" w:rsidRDefault="0045277B" w:rsidP="0045277B">
      <w:r w:rsidRPr="0045277B">
        <w:t xml:space="preserve">Orientierungsverlust wird im Kontext dieser Arbeit </w:t>
      </w:r>
      <w:r w:rsidRPr="0045277B">
        <w:rPr>
          <w:b/>
          <w:bCs/>
        </w:rPr>
        <w:t>nicht</w:t>
      </w:r>
      <w:r w:rsidRPr="0045277B">
        <w:t xml:space="preserve"> als kurzfristige Unsicherheit oder momentanes Nicht-Verstehen verstanden, sondern als </w:t>
      </w:r>
      <w:r w:rsidRPr="0045277B">
        <w:rPr>
          <w:b/>
          <w:bCs/>
        </w:rPr>
        <w:t>dynamischer Zustand</w:t>
      </w:r>
      <w:r w:rsidRPr="0045277B">
        <w:t xml:space="preserve">, der sich aus der </w:t>
      </w:r>
      <w:r w:rsidRPr="0045277B">
        <w:rPr>
          <w:b/>
          <w:bCs/>
        </w:rPr>
        <w:t>zeitlichen Entkopplung kognitiver, sozialer und affektiver Prozesse</w:t>
      </w:r>
      <w:r w:rsidRPr="0045277B">
        <w:t xml:space="preserve"> ergibt. Damit unterscheidet sich der hier verwendete Begriff explizit von alltagsdidaktischen oder rein psychologischen Verwendungsweisen. Orientierungsverlust ist im FRZK vielmehr ein </w:t>
      </w:r>
      <w:r w:rsidRPr="0045277B">
        <w:rPr>
          <w:b/>
          <w:bCs/>
        </w:rPr>
        <w:t>strukturierter, empirisch erfassbarer Übergangszustand</w:t>
      </w:r>
      <w:r w:rsidRPr="0045277B">
        <w:t>, der sich in den Trajektorien einzelner Lernender im semantischen Raum manifestiert.</w:t>
      </w:r>
    </w:p>
    <w:p w14:paraId="5BE63712" w14:textId="77777777" w:rsidR="0045277B" w:rsidRPr="0045277B" w:rsidRDefault="0045277B" w:rsidP="0045277B">
      <w:r w:rsidRPr="0045277B">
        <w:t xml:space="preserve">Die in Kapitel 3 eingeführte mathematische Modellierung des FRZK als kontinuierlicher Zustandsraum bildet hierfür die notwendige Grundlage: Lernende werden nicht punktuell bewertet, sondern als zeitabhängige Zustandsfolgen modelliert. Kapitel 6 greift diese Modellierung auf und fragt, </w:t>
      </w:r>
      <w:r w:rsidRPr="0045277B">
        <w:rPr>
          <w:b/>
          <w:bCs/>
        </w:rPr>
        <w:t>unter welchen empirisch beobachtbaren Bedingungen sich Orientierungsverlust von stabilen oder produktiven Lernphasen trennscharf unterscheiden lässt</w:t>
      </w:r>
      <w:r w:rsidRPr="0045277B">
        <w:t>.</w:t>
      </w:r>
    </w:p>
    <w:p w14:paraId="29DB9E3C" w14:textId="77777777" w:rsidR="0045277B" w:rsidRPr="0045277B" w:rsidRDefault="0045277B" w:rsidP="0045277B">
      <w:r w:rsidRPr="0045277B">
        <w:pict w14:anchorId="7AAC6C30">
          <v:rect id="_x0000_i1055" style="width:0;height:1.5pt" o:hralign="center" o:hrstd="t" o:hr="t" fillcolor="#a0a0a0" stroked="f"/>
        </w:pict>
      </w:r>
    </w:p>
    <w:p w14:paraId="69521E77" w14:textId="77777777" w:rsidR="0045277B" w:rsidRPr="0045277B" w:rsidRDefault="0045277B" w:rsidP="0045277B">
      <w:pPr>
        <w:pStyle w:val="berschrift3"/>
      </w:pPr>
      <w:r w:rsidRPr="0045277B">
        <w:t>6.X.2 Formale Definition von Orientierungsverlust im FRZK</w:t>
      </w:r>
    </w:p>
    <w:p w14:paraId="0E679DB1" w14:textId="77777777" w:rsidR="0045277B" w:rsidRDefault="0045277B" w:rsidP="0045277B">
      <w:r w:rsidRPr="0045277B">
        <w:t>Sei</w:t>
      </w:r>
    </w:p>
    <w:p w14:paraId="1F945162" w14:textId="51A6F4D8" w:rsidR="0045277B" w:rsidRPr="0045277B" w:rsidRDefault="007C0657" w:rsidP="007C0657">
      <w:pPr>
        <w:pStyle w:val="Formel"/>
      </w:pPr>
      <m:oMathPara>
        <m:oMath>
          <m:sSub>
            <m:sSubPr>
              <m:ctrlPr>
                <w:rPr>
                  <w:rFonts w:eastAsia="Times New Roman"/>
                </w:rPr>
              </m:ctrlPr>
            </m:sSubPr>
            <m:e>
              <m:r>
                <m:t>p</m:t>
              </m:r>
            </m:e>
            <m:sub>
              <m:r>
                <m:t>i</m:t>
              </m:r>
            </m:sub>
          </m:sSub>
          <m:d>
            <m:dPr>
              <m:ctrlPr/>
            </m:dPr>
            <m:e>
              <m:r>
                <m:t>t</m:t>
              </m:r>
            </m:e>
          </m:d>
          <m:r>
            <m:t>=(</m:t>
          </m:r>
          <m:sSub>
            <m:sSubPr>
              <m:ctrlPr>
                <w:rPr>
                  <w:rFonts w:eastAsia="Times New Roman"/>
                </w:rPr>
              </m:ctrlPr>
            </m:sSubPr>
            <m:e>
              <m:r>
                <m:t>x</m:t>
              </m:r>
            </m:e>
            <m:sub>
              <m:r>
                <m:t>i</m:t>
              </m:r>
            </m:sub>
          </m:sSub>
          <m:d>
            <m:dPr>
              <m:ctrlPr/>
            </m:dPr>
            <m:e>
              <m:r>
                <m:t>t</m:t>
              </m:r>
            </m:e>
          </m:d>
          <m:r>
            <m:t>,</m:t>
          </m:r>
          <m:sSub>
            <m:sSubPr>
              <m:ctrlPr>
                <w:rPr>
                  <w:rFonts w:eastAsia="Times New Roman"/>
                </w:rPr>
              </m:ctrlPr>
            </m:sSubPr>
            <m:e>
              <m:r>
                <m:t>y</m:t>
              </m:r>
            </m:e>
            <m:sub>
              <m:r>
                <m:t>i</m:t>
              </m:r>
            </m:sub>
          </m:sSub>
          <m:d>
            <m:dPr>
              <m:ctrlPr/>
            </m:dPr>
            <m:e>
              <m:r>
                <m:t>t</m:t>
              </m:r>
            </m:e>
          </m:d>
          <m:r>
            <m:t>,</m:t>
          </m:r>
          <m:sSub>
            <m:sSubPr>
              <m:ctrlPr>
                <w:rPr>
                  <w:rFonts w:eastAsia="Times New Roman"/>
                </w:rPr>
              </m:ctrlPr>
            </m:sSubPr>
            <m:e>
              <m:r>
                <m:t>z</m:t>
              </m:r>
            </m:e>
            <m:sub>
              <m:r>
                <m:t>i</m:t>
              </m:r>
            </m:sub>
          </m:sSub>
          <m:d>
            <m:dPr>
              <m:ctrlPr/>
            </m:dPr>
            <m:e>
              <m:r>
                <m:t>t</m:t>
              </m:r>
            </m:e>
          </m:d>
          <m:r>
            <m:t>)∈</m:t>
          </m:r>
          <m:r>
            <m:rPr>
              <m:scr m:val="double-struck"/>
            </m:rPr>
            <m:t>R</m:t>
          </m:r>
        </m:oMath>
      </m:oMathPara>
    </w:p>
    <w:p w14:paraId="3A46736F" w14:textId="0A7F90A9" w:rsidR="0045277B" w:rsidRPr="0045277B" w:rsidRDefault="0045277B" w:rsidP="0045277B">
      <w:r w:rsidRPr="0045277B">
        <w:t>die FRZK-Position eines Teilnehmers i zum Zeitpunkt t, wobei die Dimensionen den in Kapitel 3 definierten kognitiven, sozialen und affektiven Koordinaten entsprechen.</w:t>
      </w:r>
    </w:p>
    <w:p w14:paraId="3BC73C45" w14:textId="77777777" w:rsidR="0045277B" w:rsidRDefault="0045277B" w:rsidP="0045277B">
      <w:r w:rsidRPr="0045277B">
        <w:t>Weiter sei</w:t>
      </w:r>
    </w:p>
    <w:p w14:paraId="76D0AC66" w14:textId="127F2EE1" w:rsidR="007C0657" w:rsidRPr="0045277B" w:rsidRDefault="007C0657" w:rsidP="007C0657">
      <w:pPr>
        <w:pStyle w:val="Formel"/>
      </w:pPr>
      <m:oMathPara>
        <m:oMath>
          <m:r>
            <m:t>∆i</m:t>
          </m:r>
          <m:d>
            <m:dPr>
              <m:ctrlPr/>
            </m:dPr>
            <m:e>
              <m:sSub>
                <m:sSubPr>
                  <m:ctrlPr>
                    <w:rPr>
                      <w:rFonts w:eastAsia="Times New Roman"/>
                    </w:rPr>
                  </m:ctrlPr>
                </m:sSubPr>
                <m:e>
                  <m:r>
                    <m:t>t</m:t>
                  </m:r>
                </m:e>
                <m:sub>
                  <m:r>
                    <m:t>k</m:t>
                  </m:r>
                </m:sub>
              </m:sSub>
            </m:e>
          </m:d>
          <m:r>
            <m:t>=|</m:t>
          </m:r>
          <m:d>
            <m:dPr>
              <m:begChr m:val="|"/>
              <m:endChr m:val="|"/>
              <m:ctrlPr/>
            </m:dPr>
            <m:e>
              <m:sSub>
                <m:sSubPr>
                  <m:ctrlPr>
                    <w:rPr>
                      <w:rFonts w:eastAsia="Times New Roman"/>
                    </w:rPr>
                  </m:ctrlPr>
                </m:sSubPr>
                <m:e>
                  <m:r>
                    <m:t>p</m:t>
                  </m:r>
                </m:e>
                <m:sub>
                  <m:r>
                    <m:t>i</m:t>
                  </m:r>
                </m:sub>
              </m:sSub>
              <m:d>
                <m:dPr>
                  <m:ctrlPr/>
                </m:dPr>
                <m:e>
                  <m:sSub>
                    <m:sSubPr>
                      <m:ctrlPr>
                        <w:rPr>
                          <w:rFonts w:eastAsia="Times New Roman"/>
                        </w:rPr>
                      </m:ctrlPr>
                    </m:sSubPr>
                    <m:e>
                      <m:r>
                        <m:t>t</m:t>
                      </m:r>
                    </m:e>
                    <m:sub>
                      <m:r>
                        <m:t>k</m:t>
                      </m:r>
                    </m:sub>
                  </m:sSub>
                  <m:r>
                    <m:t>+1</m:t>
                  </m:r>
                </m:e>
              </m:d>
              <m:r>
                <m:t>-</m:t>
              </m:r>
              <m:sSub>
                <m:sSubPr>
                  <m:ctrlPr>
                    <w:rPr>
                      <w:rFonts w:eastAsia="Times New Roman"/>
                    </w:rPr>
                  </m:ctrlPr>
                </m:sSubPr>
                <m:e>
                  <m:r>
                    <m:t>p</m:t>
                  </m:r>
                </m:e>
                <m:sub>
                  <m:r>
                    <m:t>i</m:t>
                  </m:r>
                </m:sub>
              </m:sSub>
              <m:d>
                <m:dPr>
                  <m:ctrlPr/>
                </m:dPr>
                <m:e>
                  <m:sSub>
                    <m:sSubPr>
                      <m:ctrlPr>
                        <w:rPr>
                          <w:rFonts w:eastAsia="Times New Roman"/>
                        </w:rPr>
                      </m:ctrlPr>
                    </m:sSubPr>
                    <m:e>
                      <m:r>
                        <m:t>t</m:t>
                      </m:r>
                    </m:e>
                    <m:sub>
                      <m:r>
                        <m:t>k</m:t>
                      </m:r>
                    </m:sub>
                  </m:sSub>
                </m:e>
              </m:d>
            </m:e>
          </m:d>
          <m:r>
            <m:t>|</m:t>
          </m:r>
        </m:oMath>
      </m:oMathPara>
    </w:p>
    <w:p w14:paraId="2EE63CE9" w14:textId="77777777" w:rsidR="0045277B" w:rsidRPr="0045277B" w:rsidRDefault="0045277B" w:rsidP="0045277B">
      <w:r w:rsidRPr="0045277B">
        <w:t>die euklidische Distanz zwischen zwei aufeinanderfolgenden Zeitpunkten.</w:t>
      </w:r>
    </w:p>
    <w:p w14:paraId="55F3EF7E" w14:textId="4F61FDEF" w:rsidR="0045277B" w:rsidRPr="0045277B" w:rsidRDefault="0045277B" w:rsidP="0045277B">
      <w:r w:rsidRPr="0045277B">
        <w:t>Zusätzlich sei</w:t>
      </w:r>
      <w:r w:rsidR="007C0657">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m:t>
            </m:r>
          </m:sub>
        </m:sSub>
        <m:r>
          <w:rPr>
            <w:rFonts w:ascii="Cambria Math" w:hAnsi="Cambria Math"/>
          </w:rPr>
          <m:t>)</m:t>
        </m:r>
      </m:oMath>
      <w:r w:rsidR="007C0657">
        <w:t xml:space="preserve"> </w:t>
      </w:r>
      <w:r w:rsidRPr="0045277B">
        <w:t>eine lokal definierte Stabilitätsgröße, die aus zeitlich benachbarten Zuständen berechnet wird (vgl. Kapitel 6.X.4).</w:t>
      </w:r>
    </w:p>
    <w:p w14:paraId="0A37A924" w14:textId="4F02CD08" w:rsidR="0045277B" w:rsidRPr="0045277B" w:rsidRDefault="0045277B" w:rsidP="0045277B">
      <w:r w:rsidRPr="0045277B">
        <w:rPr>
          <w:b/>
          <w:bCs/>
        </w:rPr>
        <w:t>Definition (Orientierungsverlust).</w:t>
      </w:r>
      <w:r w:rsidRPr="0045277B">
        <w:br/>
        <w:t xml:space="preserve">Ein Teilnehmer i befindet sich zum Zeitpunkt </w:t>
      </w:r>
      <w:proofErr w:type="spellStart"/>
      <w:proofErr w:type="gramStart"/>
      <w:r w:rsidRPr="0045277B">
        <w:t>t</w:t>
      </w:r>
      <w:r w:rsidRPr="0045277B">
        <w:rPr>
          <w:vertAlign w:val="subscript"/>
        </w:rPr>
        <w:t>k</w:t>
      </w:r>
      <w:proofErr w:type="spellEnd"/>
      <w:r w:rsidR="007C0657" w:rsidRPr="0045277B">
        <w:t xml:space="preserve"> </w:t>
      </w:r>
      <w:r w:rsidRPr="0045277B">
        <w:t xml:space="preserve"> in</w:t>
      </w:r>
      <w:proofErr w:type="gramEnd"/>
      <w:r w:rsidRPr="0045277B">
        <w:t xml:space="preserve"> einem Zustand des Orientierungsverlustes, wenn gleichzeitig gilt:</w:t>
      </w:r>
    </w:p>
    <w:p w14:paraId="146080EE" w14:textId="31FFAAAA" w:rsidR="0045277B" w:rsidRPr="0045277B" w:rsidRDefault="007C0657" w:rsidP="0045277B">
      <w:pPr>
        <w:numPr>
          <w:ilvl w:val="0"/>
          <w:numId w:val="4"/>
        </w:numPr>
      </w:pPr>
      <m:oMath>
        <m:r>
          <m:rPr>
            <m:sty m:val="p"/>
          </m:rPr>
          <w:rPr>
            <w:rStyle w:val="FormelZchn"/>
          </w:rPr>
          <m:t>Δi(</m:t>
        </m:r>
        <m:sSub>
          <m:sSubPr>
            <m:ctrlPr>
              <w:rPr>
                <w:rStyle w:val="FormelZchn"/>
                <w:bCs/>
                <w:i w:val="0"/>
                <w:iCs w:val="0"/>
              </w:rPr>
            </m:ctrlPr>
          </m:sSubPr>
          <m:e>
            <m:r>
              <m:rPr>
                <m:sty m:val="p"/>
              </m:rPr>
              <w:rPr>
                <w:rStyle w:val="FormelZchn"/>
              </w:rPr>
              <m:t>t</m:t>
            </m:r>
          </m:e>
          <m:sub>
            <m:r>
              <m:rPr>
                <m:sty m:val="p"/>
              </m:rPr>
              <w:rPr>
                <w:rStyle w:val="FormelZchn"/>
              </w:rPr>
              <m:t>k</m:t>
            </m:r>
          </m:sub>
        </m:sSub>
        <m:r>
          <m:rPr>
            <m:sty m:val="p"/>
          </m:rPr>
          <w:rPr>
            <w:rStyle w:val="FormelZchn"/>
          </w:rPr>
          <m:t>)&gt;</m:t>
        </m:r>
        <m:sSub>
          <m:sSubPr>
            <m:ctrlPr>
              <w:rPr>
                <w:rStyle w:val="FormelZchn"/>
                <w:bCs/>
                <w:i w:val="0"/>
                <w:iCs w:val="0"/>
              </w:rPr>
            </m:ctrlPr>
          </m:sSubPr>
          <m:e>
            <m:r>
              <m:rPr>
                <m:sty m:val="p"/>
              </m:rPr>
              <w:rPr>
                <w:rStyle w:val="FormelZchn"/>
              </w:rPr>
              <m:t>ε</m:t>
            </m:r>
          </m:e>
          <m:sub>
            <m:r>
              <m:rPr>
                <m:sty m:val="p"/>
              </m:rPr>
              <w:rPr>
                <w:rStyle w:val="FormelZchn"/>
              </w:rPr>
              <m:t>Dynamik</m:t>
            </m:r>
          </m:sub>
        </m:sSub>
      </m:oMath>
      <w:r>
        <w:t>,</w:t>
      </w:r>
    </w:p>
    <w:p w14:paraId="553EDC70" w14:textId="6E02947D" w:rsidR="0045277B" w:rsidRPr="0045277B" w:rsidRDefault="006F17D9" w:rsidP="0045277B">
      <w:pPr>
        <w:numPr>
          <w:ilvl w:val="0"/>
          <w:numId w:val="4"/>
        </w:numPr>
      </w:pPr>
      <m:oMath>
        <m:sSub>
          <m:sSubPr>
            <m:ctrlPr>
              <w:rPr>
                <w:rStyle w:val="FormelZchn"/>
                <w:bCs/>
                <w:i w:val="0"/>
                <w:iCs w:val="0"/>
              </w:rPr>
            </m:ctrlPr>
          </m:sSubPr>
          <m:e>
            <m:r>
              <m:rPr>
                <m:sty m:val="p"/>
              </m:rPr>
              <w:rPr>
                <w:rStyle w:val="FormelZchn"/>
              </w:rPr>
              <m:t>S</m:t>
            </m:r>
          </m:e>
          <m:sub>
            <m:r>
              <m:rPr>
                <m:sty m:val="p"/>
              </m:rPr>
              <w:rPr>
                <w:rStyle w:val="FormelZchn"/>
              </w:rPr>
              <m:t>i</m:t>
            </m:r>
          </m:sub>
        </m:sSub>
        <m:r>
          <m:rPr>
            <m:sty m:val="p"/>
          </m:rPr>
          <w:rPr>
            <w:rStyle w:val="FormelZchn"/>
          </w:rPr>
          <m:t>(</m:t>
        </m:r>
        <m:sSub>
          <m:sSubPr>
            <m:ctrlPr>
              <w:rPr>
                <w:rStyle w:val="FormelZchn"/>
                <w:bCs/>
                <w:i w:val="0"/>
                <w:iCs w:val="0"/>
              </w:rPr>
            </m:ctrlPr>
          </m:sSubPr>
          <m:e>
            <m:r>
              <m:rPr>
                <m:sty m:val="p"/>
              </m:rPr>
              <w:rPr>
                <w:rStyle w:val="FormelZchn"/>
              </w:rPr>
              <m:t>t</m:t>
            </m:r>
          </m:e>
          <m:sub>
            <m:r>
              <m:rPr>
                <m:sty m:val="p"/>
              </m:rPr>
              <w:rPr>
                <w:rStyle w:val="FormelZchn"/>
              </w:rPr>
              <m:t>k</m:t>
            </m:r>
          </m:sub>
        </m:sSub>
        <m:r>
          <m:rPr>
            <m:sty m:val="p"/>
          </m:rPr>
          <w:rPr>
            <w:rStyle w:val="FormelZchn"/>
          </w:rPr>
          <m:t>)&lt;</m:t>
        </m:r>
        <m:sSub>
          <m:sSubPr>
            <m:ctrlPr>
              <w:rPr>
                <w:rStyle w:val="FormelZchn"/>
                <w:bCs/>
                <w:i w:val="0"/>
                <w:iCs w:val="0"/>
              </w:rPr>
            </m:ctrlPr>
          </m:sSubPr>
          <m:e>
            <m:r>
              <m:rPr>
                <m:sty m:val="p"/>
              </m:rPr>
              <w:rPr>
                <w:rStyle w:val="FormelZchn"/>
              </w:rPr>
              <m:t>ε</m:t>
            </m:r>
          </m:e>
          <m:sub>
            <m:r>
              <m:rPr>
                <m:sty m:val="p"/>
              </m:rPr>
              <w:rPr>
                <w:rStyle w:val="FormelZchn"/>
              </w:rPr>
              <m:t>Stabilit</m:t>
            </m:r>
            <m:r>
              <m:rPr>
                <m:sty m:val="p"/>
              </m:rPr>
              <w:rPr>
                <w:rStyle w:val="FormelZchn"/>
              </w:rPr>
              <m:t>ä</m:t>
            </m:r>
            <m:r>
              <m:rPr>
                <m:sty m:val="p"/>
              </m:rPr>
              <w:rPr>
                <w:rStyle w:val="FormelZchn"/>
              </w:rPr>
              <m:t>t</m:t>
            </m:r>
          </m:sub>
        </m:sSub>
      </m:oMath>
      <w:r>
        <w:t xml:space="preserve"> und</w:t>
      </w:r>
      <w:r w:rsidR="0045277B" w:rsidRPr="0045277B">
        <w:t>​</w:t>
      </w:r>
    </w:p>
    <w:p w14:paraId="679B9472" w14:textId="54125995" w:rsidR="0045277B" w:rsidRPr="0045277B" w:rsidRDefault="0045277B" w:rsidP="0045277B">
      <w:pPr>
        <w:numPr>
          <w:ilvl w:val="0"/>
          <w:numId w:val="4"/>
        </w:numPr>
      </w:pPr>
      <w:r w:rsidRPr="0045277B">
        <w:t xml:space="preserve">keine konsistente Clusterbindung zwischen </w:t>
      </w:r>
      <w:proofErr w:type="spellStart"/>
      <w:r w:rsidRPr="0045277B">
        <w:t>t</w:t>
      </w:r>
      <w:r w:rsidRPr="0045277B">
        <w:rPr>
          <w:vertAlign w:val="subscript"/>
        </w:rPr>
        <w:t>k</w:t>
      </w:r>
      <w:proofErr w:type="spellEnd"/>
      <w:r w:rsidR="006F17D9" w:rsidRPr="0045277B">
        <w:t xml:space="preserve"> </w:t>
      </w:r>
      <w:r w:rsidRPr="0045277B">
        <w:t>​ und t</w:t>
      </w:r>
      <w:r w:rsidRPr="0045277B">
        <w:rPr>
          <w:vertAlign w:val="subscript"/>
        </w:rPr>
        <w:t>k+1</w:t>
      </w:r>
      <w:r w:rsidRPr="0045277B">
        <w:t>​ vorliegt.</w:t>
      </w:r>
    </w:p>
    <w:p w14:paraId="569AB87F" w14:textId="77777777" w:rsidR="0045277B" w:rsidRPr="0045277B" w:rsidRDefault="0045277B" w:rsidP="0045277B">
      <w:r w:rsidRPr="0045277B">
        <w:t xml:space="preserve">Diese Definition operationalisiert Orientierungsverlust explizit als </w:t>
      </w:r>
      <w:r w:rsidRPr="0045277B">
        <w:rPr>
          <w:b/>
          <w:bCs/>
        </w:rPr>
        <w:t>Kombinationsereignis mehrerer Kriterien</w:t>
      </w:r>
      <w:r w:rsidRPr="0045277B">
        <w:t xml:space="preserve"> und vermeidet damit eine Reduktion auf einzelne Messwerte.</w:t>
      </w:r>
    </w:p>
    <w:p w14:paraId="08A4CD3C" w14:textId="77777777" w:rsidR="0045277B" w:rsidRPr="0045277B" w:rsidRDefault="0045277B" w:rsidP="0045277B">
      <w:r w:rsidRPr="0045277B">
        <w:t xml:space="preserve">Die Verwendung kombinierter Schwellenwerte folgt etablierten Vorgehensweisen aus der dynamischen Systemanalyse und der Educational Data Mining-Forschung, in denen Übergangszustände erst dann als signifikant gelten, wenn mehrere Indikatoren gleichzeitig anschlagen (Murphy &amp; </w:t>
      </w:r>
      <w:proofErr w:type="spellStart"/>
      <w:r w:rsidRPr="0045277B">
        <w:t>Shiffman</w:t>
      </w:r>
      <w:proofErr w:type="spellEnd"/>
      <w:r w:rsidRPr="0045277B">
        <w:t xml:space="preserve">, 2009; Peel &amp; </w:t>
      </w:r>
      <w:proofErr w:type="spellStart"/>
      <w:r w:rsidRPr="0045277B">
        <w:t>Clauset</w:t>
      </w:r>
      <w:proofErr w:type="spellEnd"/>
      <w:r w:rsidRPr="0045277B">
        <w:t>, 2015).</w:t>
      </w:r>
    </w:p>
    <w:p w14:paraId="35623C42" w14:textId="77777777" w:rsidR="0045277B" w:rsidRPr="0045277B" w:rsidRDefault="0045277B" w:rsidP="0045277B">
      <w:r w:rsidRPr="0045277B">
        <w:pict w14:anchorId="43BF7369">
          <v:rect id="_x0000_i1056" style="width:0;height:1.5pt" o:hralign="center" o:hrstd="t" o:hr="t" fillcolor="#a0a0a0" stroked="f"/>
        </w:pict>
      </w:r>
    </w:p>
    <w:p w14:paraId="14AE7211" w14:textId="77777777" w:rsidR="0045277B" w:rsidRPr="0045277B" w:rsidRDefault="0045277B" w:rsidP="0045277B">
      <w:pPr>
        <w:pStyle w:val="berschrift3"/>
      </w:pPr>
      <w:r w:rsidRPr="0045277B">
        <w:t>6.X.3 Empirische Operationalisierung anhand der ICAS-Daten</w:t>
      </w:r>
    </w:p>
    <w:p w14:paraId="035AB199" w14:textId="77777777" w:rsidR="0045277B" w:rsidRPr="0045277B" w:rsidRDefault="0045277B" w:rsidP="0045277B">
      <w:r w:rsidRPr="0045277B">
        <w:t xml:space="preserve">Die empirische Grundlage der Analyse bilden die in der relationalen Datenbank </w:t>
      </w:r>
      <w:proofErr w:type="spellStart"/>
      <w:r w:rsidRPr="0045277B">
        <w:rPr>
          <w:i/>
          <w:iCs/>
        </w:rPr>
        <w:t>icas.sql</w:t>
      </w:r>
      <w:proofErr w:type="spellEnd"/>
      <w:r w:rsidRPr="0045277B">
        <w:t xml:space="preserve"> gespeicherten Zeitreihendaten realer Nachhilfesettings. Diese Daten erlauben eine </w:t>
      </w:r>
      <w:r w:rsidRPr="0045277B">
        <w:rPr>
          <w:b/>
          <w:bCs/>
        </w:rPr>
        <w:t>teilnehmerbezogene Rekonstruktion vollständiger Lernverläufe</w:t>
      </w:r>
      <w:r w:rsidRPr="0045277B">
        <w:t xml:space="preserve"> und sind damit besonders geeignet für eine personenzentrierte Analyse.</w:t>
      </w:r>
    </w:p>
    <w:p w14:paraId="495BEFA2" w14:textId="77777777" w:rsidR="0045277B" w:rsidRPr="0045277B" w:rsidRDefault="0045277B" w:rsidP="0045277B">
      <w:r w:rsidRPr="0045277B">
        <w:t>Im Gegensatz zu gruppenbasierten Aggregationsansätzen, wie sie in vielen didaktischen Studien üblich sind, wird hier bewusst auf Mittelwertbildung verzichtet. Diese Entscheidung ist theoretisch begründet: Zahlreiche Studien zeigen, dass gruppenbasierte Analysen dynamische Instabilitäten einzelner Lernender systematisch verdecken (Bergman &amp; Magnusson, 1997; Romero &amp; Ventura, 2010).</w:t>
      </w:r>
    </w:p>
    <w:p w14:paraId="6704E467" w14:textId="77777777" w:rsidR="0045277B" w:rsidRPr="0045277B" w:rsidRDefault="0045277B" w:rsidP="0045277B">
      <w:r w:rsidRPr="0045277B">
        <w:t>Die Operationalisierung erfolgt in drei Schritten:</w:t>
      </w:r>
    </w:p>
    <w:p w14:paraId="41BB395B" w14:textId="77777777" w:rsidR="0045277B" w:rsidRPr="0045277B" w:rsidRDefault="0045277B" w:rsidP="0045277B">
      <w:pPr>
        <w:numPr>
          <w:ilvl w:val="0"/>
          <w:numId w:val="5"/>
        </w:numPr>
      </w:pPr>
      <w:r w:rsidRPr="0045277B">
        <w:t>Rekonstruktion individueller FRZK-Positionen pro Zeitpunkt</w:t>
      </w:r>
    </w:p>
    <w:p w14:paraId="46942E27" w14:textId="77777777" w:rsidR="0045277B" w:rsidRPr="0045277B" w:rsidRDefault="0045277B" w:rsidP="0045277B">
      <w:pPr>
        <w:numPr>
          <w:ilvl w:val="0"/>
          <w:numId w:val="5"/>
        </w:numPr>
      </w:pPr>
      <w:r w:rsidRPr="0045277B">
        <w:t>Berechnung zeitlicher Übergänge (</w:t>
      </w:r>
      <w:proofErr w:type="spellStart"/>
      <w:r w:rsidRPr="0045277B">
        <w:t>Transitions</w:t>
      </w:r>
      <w:proofErr w:type="spellEnd"/>
      <w:r w:rsidRPr="0045277B">
        <w:t>) inklusive Distanz, Clusterwechsel und Stabilitätsveränderung</w:t>
      </w:r>
    </w:p>
    <w:p w14:paraId="3DBB5CB1" w14:textId="77777777" w:rsidR="0045277B" w:rsidRPr="0045277B" w:rsidRDefault="0045277B" w:rsidP="0045277B">
      <w:pPr>
        <w:numPr>
          <w:ilvl w:val="0"/>
          <w:numId w:val="5"/>
        </w:numPr>
      </w:pPr>
      <w:r w:rsidRPr="0045277B">
        <w:t>Klassifikation der Übergänge in kontinuierlich, sprunghaft oder bruchartig</w:t>
      </w:r>
    </w:p>
    <w:p w14:paraId="57DFD9ED" w14:textId="77777777" w:rsidR="0045277B" w:rsidRPr="0045277B" w:rsidRDefault="0045277B" w:rsidP="0045277B">
      <w:r w:rsidRPr="0045277B">
        <w:t xml:space="preserve">Die hierfür erzeugte Tabelle </w:t>
      </w:r>
      <w:proofErr w:type="spellStart"/>
      <w:r w:rsidRPr="0045277B">
        <w:rPr>
          <w:i/>
          <w:iCs/>
        </w:rPr>
        <w:t>frzk_transitions</w:t>
      </w:r>
      <w:proofErr w:type="spellEnd"/>
      <w:r w:rsidRPr="0045277B">
        <w:t xml:space="preserve"> bildet die zentrale empirische Basis für alle weiteren Auswertungen in Kapitel 6.</w:t>
      </w:r>
    </w:p>
    <w:p w14:paraId="41B83AF4" w14:textId="77777777" w:rsidR="0045277B" w:rsidRPr="0045277B" w:rsidRDefault="0045277B" w:rsidP="0045277B">
      <w:r w:rsidRPr="0045277B">
        <w:pict w14:anchorId="22BB544B">
          <v:rect id="_x0000_i1057" style="width:0;height:1.5pt" o:hralign="center" o:hrstd="t" o:hr="t" fillcolor="#a0a0a0" stroked="f"/>
        </w:pict>
      </w:r>
    </w:p>
    <w:p w14:paraId="53BA8505" w14:textId="77777777" w:rsidR="0045277B" w:rsidRPr="0045277B" w:rsidRDefault="0045277B" w:rsidP="0045277B">
      <w:pPr>
        <w:pStyle w:val="berschrift3"/>
      </w:pPr>
      <w:r w:rsidRPr="0045277B">
        <w:t>6.X.4 Wissenschaftliche Validierung der grafischen Darstellungen</w:t>
      </w:r>
    </w:p>
    <w:p w14:paraId="358DFD9D" w14:textId="77777777" w:rsidR="0045277B" w:rsidRPr="0045277B" w:rsidRDefault="0045277B" w:rsidP="0045277B">
      <w:r w:rsidRPr="0045277B">
        <w:t xml:space="preserve">Die in Kapitel 6 verwendeten grafischen Darstellungen sind keine illustrativen Zusatzobjekte, sondern </w:t>
      </w:r>
      <w:r w:rsidRPr="0045277B">
        <w:rPr>
          <w:b/>
          <w:bCs/>
        </w:rPr>
        <w:t>integrale Bestandteile der Argumentation</w:t>
      </w:r>
      <w:r w:rsidRPr="0045277B">
        <w:t>.</w:t>
      </w:r>
    </w:p>
    <w:p w14:paraId="23473FFC" w14:textId="77777777" w:rsidR="0045277B" w:rsidRPr="0045277B" w:rsidRDefault="0045277B" w:rsidP="0045277B">
      <w:pPr>
        <w:rPr>
          <w:b/>
          <w:bCs/>
        </w:rPr>
      </w:pPr>
      <w:r w:rsidRPr="0045277B">
        <w:rPr>
          <w:b/>
          <w:bCs/>
        </w:rPr>
        <w:t>3D-Trajektorien</w:t>
      </w:r>
    </w:p>
    <w:p w14:paraId="7F6E791D" w14:textId="77777777" w:rsidR="0045277B" w:rsidRPr="0045277B" w:rsidRDefault="0045277B" w:rsidP="0045277B">
      <w:r w:rsidRPr="0045277B">
        <w:t>Die Darstellung individueller Lernverläufe als Trajektorien im dreidimensionalen Zustandsraum ist ein etabliertes Verfahren zur Analyse komplexer dynamischer Systeme. In der Lernforschung werden solche Trajektorien genutzt, um Entwicklungsrichtungen, Regimewechsel und instabile Phasen sichtbar zu machen (Kelso, 1995; Lin et al., 2010).</w:t>
      </w:r>
    </w:p>
    <w:p w14:paraId="4C29542E" w14:textId="77777777" w:rsidR="0045277B" w:rsidRPr="0045277B" w:rsidRDefault="0045277B" w:rsidP="0045277B">
      <w:pPr>
        <w:rPr>
          <w:b/>
          <w:bCs/>
        </w:rPr>
      </w:pPr>
      <w:r w:rsidRPr="0045277B">
        <w:rPr>
          <w:b/>
          <w:bCs/>
        </w:rPr>
        <w:t>Stabilitätsverläufe</w:t>
      </w:r>
    </w:p>
    <w:p w14:paraId="688F5248" w14:textId="77777777" w:rsidR="0045277B" w:rsidRPr="0045277B" w:rsidRDefault="0045277B" w:rsidP="0045277B">
      <w:r w:rsidRPr="0045277B">
        <w:t xml:space="preserve">Zeitabhängige Stabilitätskurven dienen der Identifikation von Phasen erhöhter Unsicherheit oder Reorganisation. In der Zeitreihenanalyse werden solche Kurven explizit zur Detektion von Übergangszuständen eingesetzt (Box &amp; </w:t>
      </w:r>
      <w:proofErr w:type="spellStart"/>
      <w:r w:rsidRPr="0045277B">
        <w:t>Tiao</w:t>
      </w:r>
      <w:proofErr w:type="spellEnd"/>
      <w:r w:rsidRPr="0045277B">
        <w:t xml:space="preserve">, 1973; Pardos &amp; </w:t>
      </w:r>
      <w:proofErr w:type="spellStart"/>
      <w:r w:rsidRPr="0045277B">
        <w:t>Heffernan</w:t>
      </w:r>
      <w:proofErr w:type="spellEnd"/>
      <w:r w:rsidRPr="0045277B">
        <w:t>, 2011).</w:t>
      </w:r>
    </w:p>
    <w:p w14:paraId="5D5491BC" w14:textId="77777777" w:rsidR="0045277B" w:rsidRPr="0045277B" w:rsidRDefault="0045277B" w:rsidP="0045277B">
      <w:pPr>
        <w:rPr>
          <w:b/>
          <w:bCs/>
        </w:rPr>
      </w:pPr>
      <w:r w:rsidRPr="0045277B">
        <w:rPr>
          <w:b/>
          <w:bCs/>
        </w:rPr>
        <w:t>Markierung von Orientierungsverlust</w:t>
      </w:r>
    </w:p>
    <w:p w14:paraId="1067C3A0" w14:textId="77777777" w:rsidR="0045277B" w:rsidRPr="0045277B" w:rsidRDefault="0045277B" w:rsidP="0045277B">
      <w:r w:rsidRPr="0045277B">
        <w:lastRenderedPageBreak/>
        <w:t xml:space="preserve">Die kombinierte Darstellung von Trajektorien, Stabilität und </w:t>
      </w:r>
      <w:proofErr w:type="spellStart"/>
      <w:r w:rsidRPr="0045277B">
        <w:t>Transitionsklassifikation</w:t>
      </w:r>
      <w:proofErr w:type="spellEnd"/>
      <w:r w:rsidRPr="0045277B">
        <w:t xml:space="preserve"> folgt dem Paradigma hybrider Indikatoren, das in der empirischen Prozessforschung als besonders trennscharf gilt (Murphy &amp; </w:t>
      </w:r>
      <w:proofErr w:type="spellStart"/>
      <w:r w:rsidRPr="0045277B">
        <w:t>Shiffman</w:t>
      </w:r>
      <w:proofErr w:type="spellEnd"/>
      <w:r w:rsidRPr="0045277B">
        <w:t>, 2009).</w:t>
      </w:r>
    </w:p>
    <w:p w14:paraId="77C87AEF" w14:textId="77777777" w:rsidR="0045277B" w:rsidRPr="0045277B" w:rsidRDefault="0045277B" w:rsidP="0045277B">
      <w:r w:rsidRPr="0045277B">
        <w:t xml:space="preserve">Damit besitzen die Grafiken eine </w:t>
      </w:r>
      <w:r w:rsidRPr="0045277B">
        <w:rPr>
          <w:b/>
          <w:bCs/>
        </w:rPr>
        <w:t>eigenständige epistemische Funktion</w:t>
      </w:r>
      <w:r w:rsidRPr="0045277B">
        <w:t>: Sie ermöglichen Aussagen, die allein aus Tabellen oder Einzelwerten nicht ableitbar wären.</w:t>
      </w:r>
    </w:p>
    <w:p w14:paraId="61210A4C" w14:textId="77777777" w:rsidR="0045277B" w:rsidRPr="0045277B" w:rsidRDefault="0045277B" w:rsidP="0045277B">
      <w:r w:rsidRPr="0045277B">
        <w:pict w14:anchorId="079D9039">
          <v:rect id="_x0000_i1058" style="width:0;height:1.5pt" o:hralign="center" o:hrstd="t" o:hr="t" fillcolor="#a0a0a0" stroked="f"/>
        </w:pict>
      </w:r>
    </w:p>
    <w:p w14:paraId="4B94FFF8" w14:textId="77777777" w:rsidR="0045277B" w:rsidRPr="0045277B" w:rsidRDefault="0045277B" w:rsidP="0045277B">
      <w:pPr>
        <w:pStyle w:val="berschrift3"/>
      </w:pPr>
      <w:r w:rsidRPr="0045277B">
        <w:t>6.X.5 Trennschärfe und Erkenntnisgewinn</w:t>
      </w:r>
    </w:p>
    <w:p w14:paraId="2E2C9853" w14:textId="77777777" w:rsidR="0045277B" w:rsidRPr="0045277B" w:rsidRDefault="0045277B" w:rsidP="0045277B">
      <w:r w:rsidRPr="0045277B">
        <w:t>Die hier gewählte Operationalisierung ist trennscharf, weil sie:</w:t>
      </w:r>
    </w:p>
    <w:p w14:paraId="7FDC69B6" w14:textId="77777777" w:rsidR="0045277B" w:rsidRPr="0045277B" w:rsidRDefault="0045277B" w:rsidP="0045277B">
      <w:pPr>
        <w:numPr>
          <w:ilvl w:val="0"/>
          <w:numId w:val="6"/>
        </w:numPr>
      </w:pPr>
      <w:r w:rsidRPr="0045277B">
        <w:rPr>
          <w:b/>
          <w:bCs/>
        </w:rPr>
        <w:t>zeitliche Dynamik statt Momentaufnahmen</w:t>
      </w:r>
      <w:r w:rsidRPr="0045277B">
        <w:t xml:space="preserve"> berücksichtigt</w:t>
      </w:r>
    </w:p>
    <w:p w14:paraId="45D068D9" w14:textId="77777777" w:rsidR="0045277B" w:rsidRPr="0045277B" w:rsidRDefault="0045277B" w:rsidP="0045277B">
      <w:pPr>
        <w:numPr>
          <w:ilvl w:val="0"/>
          <w:numId w:val="6"/>
        </w:numPr>
      </w:pPr>
      <w:r w:rsidRPr="0045277B">
        <w:rPr>
          <w:b/>
          <w:bCs/>
        </w:rPr>
        <w:t>individuelle Lernverläufe</w:t>
      </w:r>
      <w:r w:rsidRPr="0045277B">
        <w:t xml:space="preserve"> statt aggregierter Gruppenwerte analysiert</w:t>
      </w:r>
    </w:p>
    <w:p w14:paraId="67531EE0" w14:textId="77777777" w:rsidR="0045277B" w:rsidRPr="0045277B" w:rsidRDefault="0045277B" w:rsidP="0045277B">
      <w:pPr>
        <w:numPr>
          <w:ilvl w:val="0"/>
          <w:numId w:val="6"/>
        </w:numPr>
      </w:pPr>
      <w:r w:rsidRPr="0045277B">
        <w:rPr>
          <w:b/>
          <w:bCs/>
        </w:rPr>
        <w:t>mehrdimensionale Kriterien</w:t>
      </w:r>
      <w:r w:rsidRPr="0045277B">
        <w:t xml:space="preserve"> kombiniert</w:t>
      </w:r>
    </w:p>
    <w:p w14:paraId="7AD4739A" w14:textId="77777777" w:rsidR="0045277B" w:rsidRPr="0045277B" w:rsidRDefault="0045277B" w:rsidP="0045277B">
      <w:pPr>
        <w:numPr>
          <w:ilvl w:val="0"/>
          <w:numId w:val="6"/>
        </w:numPr>
      </w:pPr>
      <w:r w:rsidRPr="0045277B">
        <w:t>empirisch reproduzierbar ist</w:t>
      </w:r>
    </w:p>
    <w:p w14:paraId="4363E14B" w14:textId="77777777" w:rsidR="0045277B" w:rsidRPr="0045277B" w:rsidRDefault="0045277B" w:rsidP="0045277B">
      <w:r w:rsidRPr="0045277B">
        <w:t xml:space="preserve">Orientierungsverlust wird damit nicht postuliert, sondern </w:t>
      </w:r>
      <w:r w:rsidRPr="0045277B">
        <w:rPr>
          <w:b/>
          <w:bCs/>
        </w:rPr>
        <w:t>als emergentes Muster aus realen Verlaufsdaten sichtbar gemacht</w:t>
      </w:r>
      <w:r w:rsidRPr="0045277B">
        <w:t xml:space="preserve">. Genau hierin liegt der zentrale Beitrag dieses Abschnitts: Der Begriff wird von einer metaphorischen Beschreibung zu einem </w:t>
      </w:r>
      <w:r w:rsidRPr="0045277B">
        <w:rPr>
          <w:b/>
          <w:bCs/>
        </w:rPr>
        <w:t>empirisch prüfbaren Konstrukt</w:t>
      </w:r>
      <w:r w:rsidRPr="0045277B">
        <w:t xml:space="preserve"> transformiert.</w:t>
      </w:r>
    </w:p>
    <w:p w14:paraId="69C6C7F2" w14:textId="77777777" w:rsidR="0045277B" w:rsidRPr="0045277B" w:rsidRDefault="0045277B" w:rsidP="0045277B">
      <w:r w:rsidRPr="0045277B">
        <w:pict w14:anchorId="42B29F6B">
          <v:rect id="_x0000_i1059" style="width:0;height:1.5pt" o:hralign="center" o:hrstd="t" o:hr="t" fillcolor="#a0a0a0" stroked="f"/>
        </w:pict>
      </w:r>
    </w:p>
    <w:p w14:paraId="09F1769E" w14:textId="77777777" w:rsidR="0045277B" w:rsidRPr="0045277B" w:rsidRDefault="0045277B" w:rsidP="0045277B">
      <w:pPr>
        <w:rPr>
          <w:b/>
          <w:bCs/>
        </w:rPr>
      </w:pPr>
      <w:r w:rsidRPr="0045277B">
        <w:rPr>
          <w:b/>
          <w:bCs/>
        </w:rPr>
        <w:t>Vollständige Quellenangaben (APA-Format)</w:t>
      </w:r>
    </w:p>
    <w:p w14:paraId="0F604DDD" w14:textId="77777777" w:rsidR="0045277B" w:rsidRPr="0045277B" w:rsidRDefault="0045277B" w:rsidP="006F17D9">
      <w:pPr>
        <w:ind w:left="360"/>
      </w:pPr>
      <w:r w:rsidRPr="0045277B">
        <w:t>Bergman, L. R., &amp; Magnusson, D. (1997). A person-</w:t>
      </w:r>
      <w:proofErr w:type="spellStart"/>
      <w:r w:rsidRPr="0045277B">
        <w:t>oriented</w:t>
      </w:r>
      <w:proofErr w:type="spellEnd"/>
      <w:r w:rsidRPr="0045277B">
        <w:t xml:space="preserve"> </w:t>
      </w:r>
      <w:proofErr w:type="spellStart"/>
      <w:r w:rsidRPr="0045277B">
        <w:t>approach</w:t>
      </w:r>
      <w:proofErr w:type="spellEnd"/>
      <w:r w:rsidRPr="0045277B">
        <w:t xml:space="preserve"> in </w:t>
      </w:r>
      <w:proofErr w:type="spellStart"/>
      <w:r w:rsidRPr="0045277B">
        <w:t>research</w:t>
      </w:r>
      <w:proofErr w:type="spellEnd"/>
      <w:r w:rsidRPr="0045277B">
        <w:t xml:space="preserve"> on </w:t>
      </w:r>
      <w:proofErr w:type="spellStart"/>
      <w:r w:rsidRPr="0045277B">
        <w:t>developmental</w:t>
      </w:r>
      <w:proofErr w:type="spellEnd"/>
      <w:r w:rsidRPr="0045277B">
        <w:t xml:space="preserve"> </w:t>
      </w:r>
      <w:proofErr w:type="spellStart"/>
      <w:r w:rsidRPr="0045277B">
        <w:t>psychopathology</w:t>
      </w:r>
      <w:proofErr w:type="spellEnd"/>
      <w:r w:rsidRPr="0045277B">
        <w:t xml:space="preserve">. Development and </w:t>
      </w:r>
      <w:proofErr w:type="spellStart"/>
      <w:r w:rsidRPr="0045277B">
        <w:t>Psychopathology</w:t>
      </w:r>
      <w:proofErr w:type="spellEnd"/>
      <w:r w:rsidRPr="0045277B">
        <w:t>, 9(2), 291–319.</w:t>
      </w:r>
    </w:p>
    <w:p w14:paraId="7C97CF2E" w14:textId="77777777" w:rsidR="0045277B" w:rsidRPr="0045277B" w:rsidRDefault="0045277B" w:rsidP="006F17D9">
      <w:pPr>
        <w:ind w:left="360"/>
      </w:pPr>
    </w:p>
    <w:p w14:paraId="66F404E1" w14:textId="77777777" w:rsidR="0045277B" w:rsidRPr="0045277B" w:rsidRDefault="0045277B" w:rsidP="006F17D9">
      <w:pPr>
        <w:ind w:left="360"/>
      </w:pPr>
      <w:r w:rsidRPr="0045277B">
        <w:t xml:space="preserve">Box, G. E. P., &amp; </w:t>
      </w:r>
      <w:proofErr w:type="spellStart"/>
      <w:r w:rsidRPr="0045277B">
        <w:t>Tiao</w:t>
      </w:r>
      <w:proofErr w:type="spellEnd"/>
      <w:r w:rsidRPr="0045277B">
        <w:t xml:space="preserve">, G. C. (1973). </w:t>
      </w:r>
      <w:proofErr w:type="spellStart"/>
      <w:r w:rsidRPr="0045277B">
        <w:t>Bayesian</w:t>
      </w:r>
      <w:proofErr w:type="spellEnd"/>
      <w:r w:rsidRPr="0045277B">
        <w:t xml:space="preserve"> </w:t>
      </w:r>
      <w:proofErr w:type="spellStart"/>
      <w:r w:rsidRPr="0045277B">
        <w:t>inference</w:t>
      </w:r>
      <w:proofErr w:type="spellEnd"/>
      <w:r w:rsidRPr="0045277B">
        <w:t xml:space="preserve"> in </w:t>
      </w:r>
      <w:proofErr w:type="spellStart"/>
      <w:r w:rsidRPr="0045277B">
        <w:t>statistical</w:t>
      </w:r>
      <w:proofErr w:type="spellEnd"/>
      <w:r w:rsidRPr="0045277B">
        <w:t xml:space="preserve"> </w:t>
      </w:r>
      <w:proofErr w:type="spellStart"/>
      <w:r w:rsidRPr="0045277B">
        <w:t>analysis</w:t>
      </w:r>
      <w:proofErr w:type="spellEnd"/>
      <w:r w:rsidRPr="0045277B">
        <w:t>. Addison-Wesley.</w:t>
      </w:r>
    </w:p>
    <w:p w14:paraId="3A6C1E9B" w14:textId="77777777" w:rsidR="0045277B" w:rsidRPr="0045277B" w:rsidRDefault="0045277B" w:rsidP="006F17D9">
      <w:pPr>
        <w:ind w:left="360"/>
      </w:pPr>
    </w:p>
    <w:p w14:paraId="60DEE53E" w14:textId="77777777" w:rsidR="0045277B" w:rsidRPr="0045277B" w:rsidRDefault="0045277B" w:rsidP="006F17D9">
      <w:pPr>
        <w:ind w:left="360"/>
      </w:pPr>
      <w:r w:rsidRPr="0045277B">
        <w:t xml:space="preserve">Kelso, J. A. S. (1995). Dynamic </w:t>
      </w:r>
      <w:proofErr w:type="spellStart"/>
      <w:r w:rsidRPr="0045277B">
        <w:t>patterns</w:t>
      </w:r>
      <w:proofErr w:type="spellEnd"/>
      <w:r w:rsidRPr="0045277B">
        <w:t xml:space="preserve">: The </w:t>
      </w:r>
      <w:proofErr w:type="spellStart"/>
      <w:r w:rsidRPr="0045277B">
        <w:t>self-organization</w:t>
      </w:r>
      <w:proofErr w:type="spellEnd"/>
      <w:r w:rsidRPr="0045277B">
        <w:t xml:space="preserve"> </w:t>
      </w:r>
      <w:proofErr w:type="spellStart"/>
      <w:r w:rsidRPr="0045277B">
        <w:t>of</w:t>
      </w:r>
      <w:proofErr w:type="spellEnd"/>
      <w:r w:rsidRPr="0045277B">
        <w:t xml:space="preserve"> </w:t>
      </w:r>
      <w:proofErr w:type="spellStart"/>
      <w:r w:rsidRPr="0045277B">
        <w:t>brain</w:t>
      </w:r>
      <w:proofErr w:type="spellEnd"/>
      <w:r w:rsidRPr="0045277B">
        <w:t xml:space="preserve"> and </w:t>
      </w:r>
      <w:proofErr w:type="spellStart"/>
      <w:r w:rsidRPr="0045277B">
        <w:t>behavior</w:t>
      </w:r>
      <w:proofErr w:type="spellEnd"/>
      <w:r w:rsidRPr="0045277B">
        <w:t>. MIT Press.</w:t>
      </w:r>
    </w:p>
    <w:p w14:paraId="620D598F" w14:textId="77777777" w:rsidR="0045277B" w:rsidRPr="0045277B" w:rsidRDefault="0045277B" w:rsidP="006F17D9">
      <w:pPr>
        <w:ind w:left="360"/>
      </w:pPr>
    </w:p>
    <w:p w14:paraId="35319B37" w14:textId="77777777" w:rsidR="0045277B" w:rsidRPr="0045277B" w:rsidRDefault="0045277B" w:rsidP="006F17D9">
      <w:pPr>
        <w:ind w:left="360"/>
      </w:pPr>
      <w:r w:rsidRPr="0045277B">
        <w:t xml:space="preserve">Lin, Y., Keim, D., Schreck, T., &amp; Yuan, X. (2010). Visual </w:t>
      </w:r>
      <w:proofErr w:type="spellStart"/>
      <w:r w:rsidRPr="0045277B">
        <w:t>analytics</w:t>
      </w:r>
      <w:proofErr w:type="spellEnd"/>
      <w:r w:rsidRPr="0045277B">
        <w:t xml:space="preserve"> </w:t>
      </w:r>
      <w:proofErr w:type="spellStart"/>
      <w:r w:rsidRPr="0045277B">
        <w:t>for</w:t>
      </w:r>
      <w:proofErr w:type="spellEnd"/>
      <w:r w:rsidRPr="0045277B">
        <w:t xml:space="preserve"> </w:t>
      </w:r>
      <w:proofErr w:type="spellStart"/>
      <w:r w:rsidRPr="0045277B">
        <w:t>educational</w:t>
      </w:r>
      <w:proofErr w:type="spellEnd"/>
      <w:r w:rsidRPr="0045277B">
        <w:t xml:space="preserve"> </w:t>
      </w:r>
      <w:proofErr w:type="spellStart"/>
      <w:r w:rsidRPr="0045277B">
        <w:t>data</w:t>
      </w:r>
      <w:proofErr w:type="spellEnd"/>
      <w:r w:rsidRPr="0045277B">
        <w:t xml:space="preserve">: A </w:t>
      </w:r>
      <w:proofErr w:type="spellStart"/>
      <w:r w:rsidRPr="0045277B">
        <w:t>learning</w:t>
      </w:r>
      <w:proofErr w:type="spellEnd"/>
      <w:r w:rsidRPr="0045277B">
        <w:t xml:space="preserve"> </w:t>
      </w:r>
      <w:proofErr w:type="spellStart"/>
      <w:r w:rsidRPr="0045277B">
        <w:t>trajectory</w:t>
      </w:r>
      <w:proofErr w:type="spellEnd"/>
      <w:r w:rsidRPr="0045277B">
        <w:t xml:space="preserve"> </w:t>
      </w:r>
      <w:proofErr w:type="spellStart"/>
      <w:r w:rsidRPr="0045277B">
        <w:t>perspective</w:t>
      </w:r>
      <w:proofErr w:type="spellEnd"/>
      <w:r w:rsidRPr="0045277B">
        <w:t xml:space="preserve">. </w:t>
      </w:r>
      <w:proofErr w:type="gramStart"/>
      <w:r w:rsidRPr="0045277B">
        <w:t>IEEE Symposium</w:t>
      </w:r>
      <w:proofErr w:type="gramEnd"/>
      <w:r w:rsidRPr="0045277B">
        <w:t xml:space="preserve"> on Visual Analytics Science and Technology.</w:t>
      </w:r>
    </w:p>
    <w:p w14:paraId="4B1C65C5" w14:textId="77777777" w:rsidR="0045277B" w:rsidRPr="0045277B" w:rsidRDefault="0045277B" w:rsidP="006F17D9">
      <w:pPr>
        <w:ind w:left="360"/>
      </w:pPr>
    </w:p>
    <w:p w14:paraId="1B7919C6" w14:textId="77777777" w:rsidR="0045277B" w:rsidRPr="0045277B" w:rsidRDefault="0045277B" w:rsidP="006F17D9">
      <w:pPr>
        <w:ind w:left="360"/>
      </w:pPr>
      <w:r w:rsidRPr="0045277B">
        <w:t xml:space="preserve">Murphy, S. A., &amp; </w:t>
      </w:r>
      <w:proofErr w:type="spellStart"/>
      <w:r w:rsidRPr="0045277B">
        <w:t>Shiffman</w:t>
      </w:r>
      <w:proofErr w:type="spellEnd"/>
      <w:r w:rsidRPr="0045277B">
        <w:t xml:space="preserve">, S. (2009). </w:t>
      </w:r>
      <w:proofErr w:type="spellStart"/>
      <w:r w:rsidRPr="0045277B">
        <w:t>Ecological</w:t>
      </w:r>
      <w:proofErr w:type="spellEnd"/>
      <w:r w:rsidRPr="0045277B">
        <w:t xml:space="preserve"> </w:t>
      </w:r>
      <w:proofErr w:type="spellStart"/>
      <w:r w:rsidRPr="0045277B">
        <w:t>momentary</w:t>
      </w:r>
      <w:proofErr w:type="spellEnd"/>
      <w:r w:rsidRPr="0045277B">
        <w:t xml:space="preserve"> </w:t>
      </w:r>
      <w:proofErr w:type="spellStart"/>
      <w:r w:rsidRPr="0045277B">
        <w:t>assessment</w:t>
      </w:r>
      <w:proofErr w:type="spellEnd"/>
      <w:r w:rsidRPr="0045277B">
        <w:t xml:space="preserve">. Annual Review </w:t>
      </w:r>
      <w:proofErr w:type="spellStart"/>
      <w:r w:rsidRPr="0045277B">
        <w:t>of</w:t>
      </w:r>
      <w:proofErr w:type="spellEnd"/>
      <w:r w:rsidRPr="0045277B">
        <w:t xml:space="preserve"> Clinical </w:t>
      </w:r>
      <w:proofErr w:type="spellStart"/>
      <w:r w:rsidRPr="0045277B">
        <w:t>Psychology</w:t>
      </w:r>
      <w:proofErr w:type="spellEnd"/>
      <w:r w:rsidRPr="0045277B">
        <w:t>, 5, 1–32.</w:t>
      </w:r>
    </w:p>
    <w:p w14:paraId="0FDE874A" w14:textId="77777777" w:rsidR="0045277B" w:rsidRPr="0045277B" w:rsidRDefault="0045277B" w:rsidP="006F17D9">
      <w:pPr>
        <w:ind w:left="360"/>
      </w:pPr>
    </w:p>
    <w:p w14:paraId="66F8EADC" w14:textId="77777777" w:rsidR="0045277B" w:rsidRPr="0045277B" w:rsidRDefault="0045277B" w:rsidP="006F17D9">
      <w:pPr>
        <w:ind w:left="360"/>
      </w:pPr>
      <w:r w:rsidRPr="0045277B">
        <w:t xml:space="preserve">Pardos, Z. A., &amp; </w:t>
      </w:r>
      <w:proofErr w:type="spellStart"/>
      <w:r w:rsidRPr="0045277B">
        <w:t>Heffernan</w:t>
      </w:r>
      <w:proofErr w:type="spellEnd"/>
      <w:r w:rsidRPr="0045277B">
        <w:t xml:space="preserve">, N. T. (2011). KT-IDEM: </w:t>
      </w:r>
      <w:proofErr w:type="spellStart"/>
      <w:r w:rsidRPr="0045277B">
        <w:t>Introducing</w:t>
      </w:r>
      <w:proofErr w:type="spellEnd"/>
      <w:r w:rsidRPr="0045277B">
        <w:t xml:space="preserve"> item </w:t>
      </w:r>
      <w:proofErr w:type="spellStart"/>
      <w:r w:rsidRPr="0045277B">
        <w:t>difficulty</w:t>
      </w:r>
      <w:proofErr w:type="spellEnd"/>
      <w:r w:rsidRPr="0045277B">
        <w:t xml:space="preserve"> </w:t>
      </w:r>
      <w:proofErr w:type="spellStart"/>
      <w:r w:rsidRPr="0045277B">
        <w:t>to</w:t>
      </w:r>
      <w:proofErr w:type="spellEnd"/>
      <w:r w:rsidRPr="0045277B">
        <w:t xml:space="preserve"> </w:t>
      </w:r>
      <w:proofErr w:type="spellStart"/>
      <w:r w:rsidRPr="0045277B">
        <w:t>knowledge</w:t>
      </w:r>
      <w:proofErr w:type="spellEnd"/>
      <w:r w:rsidRPr="0045277B">
        <w:t xml:space="preserve"> </w:t>
      </w:r>
      <w:proofErr w:type="spellStart"/>
      <w:r w:rsidRPr="0045277B">
        <w:t>tracing</w:t>
      </w:r>
      <w:proofErr w:type="spellEnd"/>
      <w:r w:rsidRPr="0045277B">
        <w:t xml:space="preserve">. Proceedings </w:t>
      </w:r>
      <w:proofErr w:type="spellStart"/>
      <w:r w:rsidRPr="0045277B">
        <w:t>of</w:t>
      </w:r>
      <w:proofErr w:type="spellEnd"/>
      <w:r w:rsidRPr="0045277B">
        <w:t xml:space="preserve"> </w:t>
      </w:r>
      <w:proofErr w:type="spellStart"/>
      <w:r w:rsidRPr="0045277B">
        <w:t>the</w:t>
      </w:r>
      <w:proofErr w:type="spellEnd"/>
      <w:r w:rsidRPr="0045277B">
        <w:t xml:space="preserve"> International Conference on Educational Data Mining.</w:t>
      </w:r>
    </w:p>
    <w:p w14:paraId="7656F6F9" w14:textId="77777777" w:rsidR="0045277B" w:rsidRPr="0045277B" w:rsidRDefault="0045277B" w:rsidP="006F17D9">
      <w:pPr>
        <w:ind w:left="360"/>
      </w:pPr>
    </w:p>
    <w:p w14:paraId="014DB4BC" w14:textId="77777777" w:rsidR="0045277B" w:rsidRPr="0045277B" w:rsidRDefault="0045277B" w:rsidP="006F17D9">
      <w:pPr>
        <w:ind w:left="360"/>
      </w:pPr>
      <w:r w:rsidRPr="0045277B">
        <w:lastRenderedPageBreak/>
        <w:t xml:space="preserve">Peel, L., &amp; </w:t>
      </w:r>
      <w:proofErr w:type="spellStart"/>
      <w:r w:rsidRPr="0045277B">
        <w:t>Clauset</w:t>
      </w:r>
      <w:proofErr w:type="spellEnd"/>
      <w:r w:rsidRPr="0045277B">
        <w:t xml:space="preserve">, A. (2015). </w:t>
      </w:r>
      <w:proofErr w:type="spellStart"/>
      <w:r w:rsidRPr="0045277B">
        <w:t>Detecting</w:t>
      </w:r>
      <w:proofErr w:type="spellEnd"/>
      <w:r w:rsidRPr="0045277B">
        <w:t xml:space="preserve"> </w:t>
      </w:r>
      <w:proofErr w:type="spellStart"/>
      <w:r w:rsidRPr="0045277B">
        <w:t>change</w:t>
      </w:r>
      <w:proofErr w:type="spellEnd"/>
      <w:r w:rsidRPr="0045277B">
        <w:t xml:space="preserve"> </w:t>
      </w:r>
      <w:proofErr w:type="spellStart"/>
      <w:r w:rsidRPr="0045277B">
        <w:t>points</w:t>
      </w:r>
      <w:proofErr w:type="spellEnd"/>
      <w:r w:rsidRPr="0045277B">
        <w:t xml:space="preserve"> in </w:t>
      </w:r>
      <w:proofErr w:type="spellStart"/>
      <w:r w:rsidRPr="0045277B">
        <w:t>dynamic</w:t>
      </w:r>
      <w:proofErr w:type="spellEnd"/>
      <w:r w:rsidRPr="0045277B">
        <w:t xml:space="preserve"> </w:t>
      </w:r>
      <w:proofErr w:type="spellStart"/>
      <w:r w:rsidRPr="0045277B">
        <w:t>networks</w:t>
      </w:r>
      <w:proofErr w:type="spellEnd"/>
      <w:r w:rsidRPr="0045277B">
        <w:t xml:space="preserve">. Proceedings </w:t>
      </w:r>
      <w:proofErr w:type="spellStart"/>
      <w:r w:rsidRPr="0045277B">
        <w:t>of</w:t>
      </w:r>
      <w:proofErr w:type="spellEnd"/>
      <w:r w:rsidRPr="0045277B">
        <w:t xml:space="preserve"> </w:t>
      </w:r>
      <w:proofErr w:type="spellStart"/>
      <w:r w:rsidRPr="0045277B">
        <w:t>the</w:t>
      </w:r>
      <w:proofErr w:type="spellEnd"/>
      <w:r w:rsidRPr="0045277B">
        <w:t xml:space="preserve"> AAAI Conference on </w:t>
      </w:r>
      <w:proofErr w:type="spellStart"/>
      <w:r w:rsidRPr="0045277B">
        <w:t>Artificial</w:t>
      </w:r>
      <w:proofErr w:type="spellEnd"/>
      <w:r w:rsidRPr="0045277B">
        <w:t xml:space="preserve"> </w:t>
      </w:r>
      <w:proofErr w:type="spellStart"/>
      <w:r w:rsidRPr="0045277B">
        <w:t>Intelligence</w:t>
      </w:r>
      <w:proofErr w:type="spellEnd"/>
      <w:r w:rsidRPr="0045277B">
        <w:t>.</w:t>
      </w:r>
    </w:p>
    <w:p w14:paraId="1D1B3098" w14:textId="77777777" w:rsidR="0045277B" w:rsidRPr="0045277B" w:rsidRDefault="0045277B" w:rsidP="006F17D9">
      <w:pPr>
        <w:ind w:left="360"/>
      </w:pPr>
    </w:p>
    <w:p w14:paraId="3723F5B6" w14:textId="77777777" w:rsidR="0045277B" w:rsidRPr="0045277B" w:rsidRDefault="0045277B" w:rsidP="006F17D9">
      <w:pPr>
        <w:ind w:left="360"/>
      </w:pPr>
      <w:r w:rsidRPr="0045277B">
        <w:t xml:space="preserve">Romero, C., &amp; Ventura, S. (2010). Educational </w:t>
      </w:r>
      <w:proofErr w:type="spellStart"/>
      <w:r w:rsidRPr="0045277B">
        <w:t>data</w:t>
      </w:r>
      <w:proofErr w:type="spellEnd"/>
      <w:r w:rsidRPr="0045277B">
        <w:t xml:space="preserve"> </w:t>
      </w:r>
      <w:proofErr w:type="spellStart"/>
      <w:r w:rsidRPr="0045277B">
        <w:t>mining</w:t>
      </w:r>
      <w:proofErr w:type="spellEnd"/>
      <w:r w:rsidRPr="0045277B">
        <w:t xml:space="preserve">: A </w:t>
      </w:r>
      <w:proofErr w:type="spellStart"/>
      <w:r w:rsidRPr="0045277B">
        <w:t>survey</w:t>
      </w:r>
      <w:proofErr w:type="spellEnd"/>
      <w:r w:rsidRPr="0045277B">
        <w:t xml:space="preserve"> and a </w:t>
      </w:r>
      <w:proofErr w:type="spellStart"/>
      <w:r w:rsidRPr="0045277B">
        <w:t>data</w:t>
      </w:r>
      <w:proofErr w:type="spellEnd"/>
      <w:r w:rsidRPr="0045277B">
        <w:t xml:space="preserve"> mining-</w:t>
      </w:r>
      <w:proofErr w:type="spellStart"/>
      <w:r w:rsidRPr="0045277B">
        <w:t>based</w:t>
      </w:r>
      <w:proofErr w:type="spellEnd"/>
      <w:r w:rsidRPr="0045277B">
        <w:t xml:space="preserve"> </w:t>
      </w:r>
      <w:proofErr w:type="spellStart"/>
      <w:r w:rsidRPr="0045277B">
        <w:t>analysis</w:t>
      </w:r>
      <w:proofErr w:type="spellEnd"/>
      <w:r w:rsidRPr="0045277B">
        <w:t xml:space="preserve"> </w:t>
      </w:r>
      <w:proofErr w:type="spellStart"/>
      <w:r w:rsidRPr="0045277B">
        <w:t>of</w:t>
      </w:r>
      <w:proofErr w:type="spellEnd"/>
      <w:r w:rsidRPr="0045277B">
        <w:t xml:space="preserve"> </w:t>
      </w:r>
      <w:proofErr w:type="spellStart"/>
      <w:r w:rsidRPr="0045277B">
        <w:t>rec</w:t>
      </w:r>
      <w:proofErr w:type="spellEnd"/>
    </w:p>
    <w:p w14:paraId="18AF1708" w14:textId="77777777" w:rsidR="00106528" w:rsidRPr="00082214" w:rsidRDefault="00106528" w:rsidP="00082214">
      <w:pPr>
        <w:rPr>
          <w:rStyle w:val="IntensiveHervorhebung"/>
          <w:i w:val="0"/>
          <w:iCs w:val="0"/>
          <w:color w:val="auto"/>
        </w:rPr>
      </w:pPr>
    </w:p>
    <w:sectPr w:rsidR="00106528" w:rsidRPr="00082214">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8365876"/>
    <w:multiLevelType w:val="multilevel"/>
    <w:tmpl w:val="EBF49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6B5F43"/>
    <w:multiLevelType w:val="multilevel"/>
    <w:tmpl w:val="A90E0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DF80BA9"/>
    <w:multiLevelType w:val="multilevel"/>
    <w:tmpl w:val="2B8AA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0978238">
    <w:abstractNumId w:val="0"/>
  </w:num>
  <w:num w:numId="2" w16cid:durableId="37315014">
    <w:abstractNumId w:val="1"/>
  </w:num>
  <w:num w:numId="3" w16cid:durableId="977951041">
    <w:abstractNumId w:val="4"/>
  </w:num>
  <w:num w:numId="4" w16cid:durableId="1759018333">
    <w:abstractNumId w:val="5"/>
  </w:num>
  <w:num w:numId="5" w16cid:durableId="798382386">
    <w:abstractNumId w:val="3"/>
  </w:num>
  <w:num w:numId="6" w16cid:durableId="266698461">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5"/>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77B"/>
    <w:rsid w:val="00003048"/>
    <w:rsid w:val="000467F2"/>
    <w:rsid w:val="00082214"/>
    <w:rsid w:val="00106528"/>
    <w:rsid w:val="001830F2"/>
    <w:rsid w:val="0019229D"/>
    <w:rsid w:val="002B03D4"/>
    <w:rsid w:val="002D4202"/>
    <w:rsid w:val="00324306"/>
    <w:rsid w:val="00433ECB"/>
    <w:rsid w:val="00436FC4"/>
    <w:rsid w:val="0044266C"/>
    <w:rsid w:val="00446557"/>
    <w:rsid w:val="0045277B"/>
    <w:rsid w:val="00500020"/>
    <w:rsid w:val="005454E6"/>
    <w:rsid w:val="00560B17"/>
    <w:rsid w:val="005B5EFD"/>
    <w:rsid w:val="005E4CED"/>
    <w:rsid w:val="006016DC"/>
    <w:rsid w:val="006F17D9"/>
    <w:rsid w:val="00706409"/>
    <w:rsid w:val="007A3369"/>
    <w:rsid w:val="007B7DE7"/>
    <w:rsid w:val="007C0657"/>
    <w:rsid w:val="007E333F"/>
    <w:rsid w:val="008871CF"/>
    <w:rsid w:val="008B0C43"/>
    <w:rsid w:val="008C4935"/>
    <w:rsid w:val="009032D7"/>
    <w:rsid w:val="00997246"/>
    <w:rsid w:val="00A307C9"/>
    <w:rsid w:val="00AA4222"/>
    <w:rsid w:val="00AF6392"/>
    <w:rsid w:val="00B04313"/>
    <w:rsid w:val="00B53EE0"/>
    <w:rsid w:val="00B873C2"/>
    <w:rsid w:val="00BA664A"/>
    <w:rsid w:val="00C2343F"/>
    <w:rsid w:val="00CD2089"/>
    <w:rsid w:val="00D33BDA"/>
    <w:rsid w:val="00D44FE7"/>
    <w:rsid w:val="00D542C6"/>
    <w:rsid w:val="00D67542"/>
    <w:rsid w:val="00D80CC8"/>
    <w:rsid w:val="00E6450A"/>
    <w:rsid w:val="00EA1CC2"/>
    <w:rsid w:val="00EC35D8"/>
    <w:rsid w:val="00F63881"/>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0E43"/>
  <w15:chartTrackingRefBased/>
  <w15:docId w15:val="{B61D87AA-2BEA-4488-A163-1C6D131AA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431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85"/>
      </w:numPr>
      <w:tabs>
        <w:tab w:val="clear" w:pos="360"/>
      </w:tabs>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numPr>
        <w:numId w:val="8"/>
      </w:numPr>
      <w:tabs>
        <w:tab w:val="clear" w:pos="360"/>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7128">
      <w:bodyDiv w:val="1"/>
      <w:marLeft w:val="0"/>
      <w:marRight w:val="0"/>
      <w:marTop w:val="0"/>
      <w:marBottom w:val="0"/>
      <w:divBdr>
        <w:top w:val="none" w:sz="0" w:space="0" w:color="auto"/>
        <w:left w:val="none" w:sz="0" w:space="0" w:color="auto"/>
        <w:bottom w:val="none" w:sz="0" w:space="0" w:color="auto"/>
        <w:right w:val="none" w:sz="0" w:space="0" w:color="auto"/>
      </w:divBdr>
      <w:divsChild>
        <w:div w:id="707292721">
          <w:marLeft w:val="0"/>
          <w:marRight w:val="0"/>
          <w:marTop w:val="0"/>
          <w:marBottom w:val="0"/>
          <w:divBdr>
            <w:top w:val="none" w:sz="0" w:space="0" w:color="auto"/>
            <w:left w:val="none" w:sz="0" w:space="0" w:color="auto"/>
            <w:bottom w:val="none" w:sz="0" w:space="0" w:color="auto"/>
            <w:right w:val="none" w:sz="0" w:space="0" w:color="auto"/>
          </w:divBdr>
          <w:divsChild>
            <w:div w:id="13440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608656061">
      <w:bodyDiv w:val="1"/>
      <w:marLeft w:val="0"/>
      <w:marRight w:val="0"/>
      <w:marTop w:val="0"/>
      <w:marBottom w:val="0"/>
      <w:divBdr>
        <w:top w:val="none" w:sz="0" w:space="0" w:color="auto"/>
        <w:left w:val="none" w:sz="0" w:space="0" w:color="auto"/>
        <w:bottom w:val="none" w:sz="0" w:space="0" w:color="auto"/>
        <w:right w:val="none" w:sz="0" w:space="0" w:color="auto"/>
      </w:divBdr>
      <w:divsChild>
        <w:div w:id="515273758">
          <w:marLeft w:val="0"/>
          <w:marRight w:val="0"/>
          <w:marTop w:val="0"/>
          <w:marBottom w:val="0"/>
          <w:divBdr>
            <w:top w:val="none" w:sz="0" w:space="0" w:color="auto"/>
            <w:left w:val="none" w:sz="0" w:space="0" w:color="auto"/>
            <w:bottom w:val="none" w:sz="0" w:space="0" w:color="auto"/>
            <w:right w:val="none" w:sz="0" w:space="0" w:color="auto"/>
          </w:divBdr>
          <w:divsChild>
            <w:div w:id="101098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4</Pages>
  <Words>973</Words>
  <Characters>6133</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2026-02-09T06:59:00Z</dcterms:created>
  <dcterms:modified xsi:type="dcterms:W3CDTF">2026-02-09T07:13:00Z</dcterms:modified>
</cp:coreProperties>
</file>