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EDFCD" w14:textId="77777777" w:rsidR="0062530E" w:rsidRPr="0062530E" w:rsidRDefault="0062530E" w:rsidP="0062530E">
      <w:pPr>
        <w:rPr>
          <w:b/>
          <w:bCs/>
        </w:rPr>
      </w:pPr>
      <w:r w:rsidRPr="0062530E">
        <w:rPr>
          <w:b/>
          <w:bCs/>
        </w:rPr>
        <w:t>6.11 Prognose und simulationsgestützte Interventionsmodellierung in der Lehrkraftperspektive</w:t>
      </w:r>
    </w:p>
    <w:p w14:paraId="2D8CC1AC" w14:textId="77777777" w:rsidR="0062530E" w:rsidRPr="0062530E" w:rsidRDefault="0062530E" w:rsidP="0062530E">
      <w:r w:rsidRPr="0062530E">
        <w:t xml:space="preserve">Die in den vorangegangenen Abschnitten entwickelte Auswertung der Lehrkraftperspektive im FRZK wird im Folgenden in eine prognostische Perspektive überführt. Ziel ist es, die funktionalen Zusammenhänge des Systems nicht nur deskriptiv zu erfassen, sondern deren Veränderbarkeit unter gezielten Interventionen zu modellieren. Diese Erweiterung entspricht der grundlegenden Anforderung empirischer Bildungsforschung, nicht nur erklärende, sondern auch vorhersagende Modelle zu entwickeln (Bortz &amp; Döring, Forschungsmethoden und Evaluation, </w:t>
      </w:r>
      <w:proofErr w:type="gramStart"/>
      <w:r w:rsidRPr="0062530E">
        <w:t>2006)[</w:t>
      </w:r>
      <w:proofErr w:type="gramEnd"/>
      <w:r w:rsidRPr="0062530E">
        <w:t>1].</w:t>
      </w:r>
    </w:p>
    <w:p w14:paraId="0BEEA340" w14:textId="77777777" w:rsidR="0062530E" w:rsidRPr="0062530E" w:rsidRDefault="0062530E" w:rsidP="0062530E">
      <w:r w:rsidRPr="0062530E">
        <w:pict w14:anchorId="67ED386F">
          <v:rect id="_x0000_i1091" style="width:0;height:1.5pt" o:hralign="center" o:hrstd="t" o:hr="t" fillcolor="#a0a0a0" stroked="f"/>
        </w:pict>
      </w:r>
    </w:p>
    <w:p w14:paraId="5CF997D4" w14:textId="77777777" w:rsidR="0062530E" w:rsidRPr="0062530E" w:rsidRDefault="0062530E" w:rsidP="0062530E">
      <w:pPr>
        <w:rPr>
          <w:b/>
          <w:bCs/>
        </w:rPr>
      </w:pPr>
      <w:r w:rsidRPr="0062530E">
        <w:rPr>
          <w:b/>
          <w:bCs/>
        </w:rPr>
        <w:t>6.11.1 Theoretischer Rahmen der Prognose</w:t>
      </w:r>
    </w:p>
    <w:p w14:paraId="6E428817" w14:textId="77777777" w:rsidR="0062530E" w:rsidRPr="0062530E" w:rsidRDefault="0062530E" w:rsidP="0062530E">
      <w:r w:rsidRPr="0062530E">
        <w:t>Die Prognose basiert auf der Annahme, dass Unterricht als dynamisches System beschrieben werden kann, dessen Zustände durch Transformationen im Zustandsraum S</w:t>
      </w:r>
      <w:r w:rsidRPr="0062530E">
        <w:rPr>
          <w:rFonts w:ascii="Cambria Math" w:hAnsi="Cambria Math" w:cs="Cambria Math"/>
        </w:rPr>
        <w:t>⊂</w:t>
      </w:r>
      <w:r w:rsidRPr="0062530E">
        <w:t>R7\</w:t>
      </w:r>
      <w:proofErr w:type="spellStart"/>
      <w:r w:rsidRPr="0062530E">
        <w:t>mathcal</w:t>
      </w:r>
      <w:proofErr w:type="spellEnd"/>
      <w:r w:rsidRPr="0062530E">
        <w:t>{S} \</w:t>
      </w:r>
      <w:proofErr w:type="spellStart"/>
      <w:r w:rsidRPr="0062530E">
        <w:t>subset</w:t>
      </w:r>
      <w:proofErr w:type="spellEnd"/>
      <w:r w:rsidRPr="0062530E">
        <w:t xml:space="preserve"> \</w:t>
      </w:r>
      <w:proofErr w:type="spellStart"/>
      <w:r w:rsidRPr="0062530E">
        <w:t>mathbb</w:t>
      </w:r>
      <w:proofErr w:type="spellEnd"/>
      <w:r w:rsidRPr="0062530E">
        <w:t>{R}^7S</w:t>
      </w:r>
      <w:r w:rsidRPr="0062530E">
        <w:rPr>
          <w:rFonts w:ascii="Cambria Math" w:hAnsi="Cambria Math" w:cs="Cambria Math"/>
        </w:rPr>
        <w:t>⊂</w:t>
      </w:r>
      <w:r w:rsidRPr="0062530E">
        <w:t xml:space="preserve">R7 entstehen (vgl. Kapitel 6.8). Diese Perspektive ist anschlussfähig an systemtheoretische und dynamische Modelle von Unterricht, die Lernprozesse als zeitabhängige Zustandsveränderungen verstehen (Seidel &amp; </w:t>
      </w:r>
      <w:proofErr w:type="spellStart"/>
      <w:r w:rsidRPr="0062530E">
        <w:t>Shavelson</w:t>
      </w:r>
      <w:proofErr w:type="spellEnd"/>
      <w:r w:rsidRPr="0062530E">
        <w:t xml:space="preserve">, Teaching </w:t>
      </w:r>
      <w:proofErr w:type="spellStart"/>
      <w:r w:rsidRPr="0062530E">
        <w:t>Effectiveness</w:t>
      </w:r>
      <w:proofErr w:type="spellEnd"/>
      <w:r w:rsidRPr="0062530E">
        <w:t xml:space="preserve"> Research, </w:t>
      </w:r>
      <w:proofErr w:type="gramStart"/>
      <w:r w:rsidRPr="0062530E">
        <w:t>2007)[</w:t>
      </w:r>
      <w:proofErr w:type="gramEnd"/>
      <w:r w:rsidRPr="0062530E">
        <w:t>2].</w:t>
      </w:r>
    </w:p>
    <w:p w14:paraId="096BBFAA" w14:textId="77777777" w:rsidR="0062530E" w:rsidRPr="0062530E" w:rsidRDefault="0062530E" w:rsidP="0062530E">
      <w:r w:rsidRPr="0062530E">
        <w:t xml:space="preserve">Zugleich folgt die Modellierung der Idee, dass Unterrichtsqualität nicht durch isolierte Merkmale bestimmt wird, sondern durch das Zusammenspiel mehrerer Dimensionen, insbesondere kognitive Aktivierung, Klassenführung und soziale Unterstützung (Klieme et al., PISA-Konsortium Deutschland, </w:t>
      </w:r>
      <w:proofErr w:type="gramStart"/>
      <w:r w:rsidRPr="0062530E">
        <w:t>2006)[</w:t>
      </w:r>
      <w:proofErr w:type="gramEnd"/>
      <w:r w:rsidRPr="0062530E">
        <w:t>3]. Diese drei Basisdimensionen lassen sich im FRZK direkt auf die Komponenten des Zustandsvektors abbilden.</w:t>
      </w:r>
    </w:p>
    <w:p w14:paraId="05A4800E" w14:textId="77777777" w:rsidR="0062530E" w:rsidRPr="0062530E" w:rsidRDefault="0062530E" w:rsidP="0062530E">
      <w:r w:rsidRPr="0062530E">
        <w:pict w14:anchorId="129AFB94">
          <v:rect id="_x0000_i1092" style="width:0;height:1.5pt" o:hralign="center" o:hrstd="t" o:hr="t" fillcolor="#a0a0a0" stroked="f"/>
        </w:pict>
      </w:r>
    </w:p>
    <w:p w14:paraId="12D13B68" w14:textId="77777777" w:rsidR="0062530E" w:rsidRPr="0062530E" w:rsidRDefault="0062530E" w:rsidP="0062530E">
      <w:pPr>
        <w:rPr>
          <w:b/>
          <w:bCs/>
        </w:rPr>
      </w:pPr>
      <w:r w:rsidRPr="0062530E">
        <w:rPr>
          <w:b/>
          <w:bCs/>
        </w:rPr>
        <w:t>6.11.2 Empirische Ausgangslage</w:t>
      </w:r>
    </w:p>
    <w:p w14:paraId="7FE0BF99" w14:textId="77777777" w:rsidR="0062530E" w:rsidRPr="0062530E" w:rsidRDefault="0062530E" w:rsidP="0062530E">
      <w:r w:rsidRPr="0062530E">
        <w:t>Die Analyse der drei Datensätze (alle Lehrkräfte, Lehrkraft 1, übrige Lehrkräfte) zeigt:</w:t>
      </w:r>
    </w:p>
    <w:p w14:paraId="6C2340F9" w14:textId="77777777" w:rsidR="0062530E" w:rsidRPr="0062530E" w:rsidRDefault="0062530E" w:rsidP="0062530E">
      <w:r w:rsidRPr="0062530E">
        <w:t>SˉL1≈</w:t>
      </w:r>
      <w:proofErr w:type="gramStart"/>
      <w:r w:rsidRPr="0062530E">
        <w:t>Sˉothers(</w:t>
      </w:r>
      <w:proofErr w:type="gramEnd"/>
      <w:r w:rsidRPr="0062530E">
        <w:t>6.11.1)\bar{S}_{L1} \</w:t>
      </w:r>
      <w:proofErr w:type="spellStart"/>
      <w:r w:rsidRPr="0062530E">
        <w:t>approx</w:t>
      </w:r>
      <w:proofErr w:type="spellEnd"/>
      <w:r w:rsidRPr="0062530E">
        <w:t xml:space="preserve"> \bar{S}_{</w:t>
      </w:r>
      <w:proofErr w:type="spellStart"/>
      <w:r w:rsidRPr="0062530E">
        <w:t>others</w:t>
      </w:r>
      <w:proofErr w:type="spellEnd"/>
      <w:r w:rsidRPr="0062530E">
        <w:t>} \tag{6.11.1}SˉL1​≈</w:t>
      </w:r>
      <w:proofErr w:type="spellStart"/>
      <w:r w:rsidRPr="0062530E">
        <w:t>Sˉothers</w:t>
      </w:r>
      <w:proofErr w:type="spellEnd"/>
      <w:r w:rsidRPr="0062530E">
        <w:t xml:space="preserve">​(6.11.1) </w:t>
      </w:r>
    </w:p>
    <w:p w14:paraId="1F807BFB" w14:textId="77777777" w:rsidR="0062530E" w:rsidRPr="0062530E" w:rsidRDefault="0062530E" w:rsidP="0062530E">
      <w:r w:rsidRPr="0062530E">
        <w:t>Das Leistungsniveau ist somit vergleichbar. Gleichzeitig ergibt sich jedoch:</w:t>
      </w:r>
    </w:p>
    <w:p w14:paraId="1F2118D6" w14:textId="77777777" w:rsidR="0062530E" w:rsidRPr="0062530E" w:rsidRDefault="0062530E" w:rsidP="0062530E">
      <w:r w:rsidRPr="0062530E">
        <w:t>xsozialL1&lt;</w:t>
      </w:r>
      <w:proofErr w:type="spellStart"/>
      <w:proofErr w:type="gramStart"/>
      <w:r w:rsidRPr="0062530E">
        <w:t>xsozialothers</w:t>
      </w:r>
      <w:proofErr w:type="spellEnd"/>
      <w:r w:rsidRPr="0062530E">
        <w:t>(</w:t>
      </w:r>
      <w:proofErr w:type="gramEnd"/>
      <w:r w:rsidRPr="0062530E">
        <w:t>6.11.2)x_{\</w:t>
      </w:r>
      <w:proofErr w:type="spellStart"/>
      <w:r w:rsidRPr="0062530E">
        <w:t>text</w:t>
      </w:r>
      <w:proofErr w:type="spellEnd"/>
      <w:r w:rsidRPr="0062530E">
        <w:t>{sozial}}^{L1} &lt; x_{\</w:t>
      </w:r>
      <w:proofErr w:type="spellStart"/>
      <w:r w:rsidRPr="0062530E">
        <w:t>text</w:t>
      </w:r>
      <w:proofErr w:type="spellEnd"/>
      <w:r w:rsidRPr="0062530E">
        <w:t>{sozial}}^{</w:t>
      </w:r>
      <w:proofErr w:type="spellStart"/>
      <w:r w:rsidRPr="0062530E">
        <w:t>others</w:t>
      </w:r>
      <w:proofErr w:type="spellEnd"/>
      <w:r w:rsidRPr="0062530E">
        <w:t>} \tag{6.11.2}xsozialL1​&lt;</w:t>
      </w:r>
      <w:proofErr w:type="spellStart"/>
      <w:r w:rsidRPr="0062530E">
        <w:t>xsozialothers</w:t>
      </w:r>
      <w:proofErr w:type="spellEnd"/>
      <w:r w:rsidRPr="0062530E">
        <w:t xml:space="preserve">​(6.11.2) </w:t>
      </w:r>
    </w:p>
    <w:p w14:paraId="53C29C9D" w14:textId="77777777" w:rsidR="0062530E" w:rsidRPr="0062530E" w:rsidRDefault="0062530E" w:rsidP="0062530E">
      <w:r w:rsidRPr="0062530E">
        <w:t>sowie:</w:t>
      </w:r>
    </w:p>
    <w:p w14:paraId="6BFF08D3" w14:textId="77777777" w:rsidR="0062530E" w:rsidRPr="0062530E" w:rsidRDefault="0062530E" w:rsidP="0062530E">
      <w:proofErr w:type="gramStart"/>
      <w:r w:rsidRPr="0062530E">
        <w:t>Var(</w:t>
      </w:r>
      <w:proofErr w:type="gramEnd"/>
      <w:r w:rsidRPr="0062530E">
        <w:t>SL1)&gt;Var(</w:t>
      </w:r>
      <w:proofErr w:type="spellStart"/>
      <w:r w:rsidRPr="0062530E">
        <w:t>Sothers</w:t>
      </w:r>
      <w:proofErr w:type="spellEnd"/>
      <w:r w:rsidRPr="0062530E">
        <w:t>)(6.11.3)\</w:t>
      </w:r>
      <w:proofErr w:type="spellStart"/>
      <w:r w:rsidRPr="0062530E">
        <w:t>text</w:t>
      </w:r>
      <w:proofErr w:type="spellEnd"/>
      <w:r w:rsidRPr="0062530E">
        <w:t>{Var}(S_{L1}) &gt; \</w:t>
      </w:r>
      <w:proofErr w:type="spellStart"/>
      <w:r w:rsidRPr="0062530E">
        <w:t>text</w:t>
      </w:r>
      <w:proofErr w:type="spellEnd"/>
      <w:r w:rsidRPr="0062530E">
        <w:t>{Var}(S_{</w:t>
      </w:r>
      <w:proofErr w:type="spellStart"/>
      <w:r w:rsidRPr="0062530E">
        <w:t>others</w:t>
      </w:r>
      <w:proofErr w:type="spellEnd"/>
      <w:r w:rsidRPr="0062530E">
        <w:t>}) \tag{6.11.3}Var(SL1​)&gt;Var(</w:t>
      </w:r>
      <w:proofErr w:type="spellStart"/>
      <w:r w:rsidRPr="0062530E">
        <w:t>Sothers</w:t>
      </w:r>
      <w:proofErr w:type="spellEnd"/>
      <w:r w:rsidRPr="0062530E">
        <w:t xml:space="preserve">​)(6.11.3) </w:t>
      </w:r>
    </w:p>
    <w:p w14:paraId="32028608" w14:textId="77777777" w:rsidR="0062530E" w:rsidRPr="0062530E" w:rsidRDefault="0062530E" w:rsidP="0062530E">
      <w:r w:rsidRPr="0062530E">
        <w:t xml:space="preserve">Diese Struktur entspricht empirischen Befunden, wonach Unterricht trotz vergleichbarer Leistungsniveaus in seiner Stabilität und sozialen Einbettung deutlich variieren kann (Helmke, Unterrichtsqualität und Lehrerprofessionalität, </w:t>
      </w:r>
      <w:proofErr w:type="gramStart"/>
      <w:r w:rsidRPr="0062530E">
        <w:t>2012)[</w:t>
      </w:r>
      <w:proofErr w:type="gramEnd"/>
      <w:r w:rsidRPr="0062530E">
        <w:t>4].</w:t>
      </w:r>
    </w:p>
    <w:p w14:paraId="25DCB2A8" w14:textId="77777777" w:rsidR="0062530E" w:rsidRPr="0062530E" w:rsidRDefault="0062530E" w:rsidP="0062530E">
      <w:r w:rsidRPr="0062530E">
        <w:pict w14:anchorId="5EB21CE7">
          <v:rect id="_x0000_i1093" style="width:0;height:1.5pt" o:hralign="center" o:hrstd="t" o:hr="t" fillcolor="#a0a0a0" stroked="f"/>
        </w:pict>
      </w:r>
    </w:p>
    <w:p w14:paraId="1EBE9107" w14:textId="77777777" w:rsidR="0062530E" w:rsidRPr="0062530E" w:rsidRDefault="0062530E" w:rsidP="0062530E">
      <w:pPr>
        <w:rPr>
          <w:b/>
          <w:bCs/>
        </w:rPr>
      </w:pPr>
      <w:r w:rsidRPr="0062530E">
        <w:rPr>
          <w:b/>
          <w:bCs/>
        </w:rPr>
        <w:t>6.11.3 Modellannahme: Sozialdimension als stabilisierender Faktor</w:t>
      </w:r>
    </w:p>
    <w:p w14:paraId="0FCE83A6" w14:textId="77777777" w:rsidR="0062530E" w:rsidRPr="0062530E" w:rsidRDefault="0062530E" w:rsidP="0062530E">
      <w:r w:rsidRPr="0062530E">
        <w:t>Zahlreiche Studien zeigen, dass soziale Unterstützung im Unterricht nicht nur das Wohlbefinden der Lernenden beeinflusst, sondern auch die Stabilität von Lernprozessen erhöht (</w:t>
      </w:r>
      <w:proofErr w:type="spellStart"/>
      <w:r w:rsidRPr="0062530E">
        <w:t>Lipowsky</w:t>
      </w:r>
      <w:proofErr w:type="spellEnd"/>
      <w:r w:rsidRPr="0062530E">
        <w:t xml:space="preserve">, Unterrichtsqualität und Lehrerhandeln, </w:t>
      </w:r>
      <w:proofErr w:type="gramStart"/>
      <w:r w:rsidRPr="0062530E">
        <w:t>2009)[</w:t>
      </w:r>
      <w:proofErr w:type="gramEnd"/>
      <w:r w:rsidRPr="0062530E">
        <w:t xml:space="preserve">5]. Auch Hattie weist der </w:t>
      </w:r>
      <w:r w:rsidRPr="0062530E">
        <w:lastRenderedPageBreak/>
        <w:t xml:space="preserve">Lehrer-Schüler-Beziehung eine hohe Effektstärke für Lernerfolg zu (Hattie, Visible Learning, </w:t>
      </w:r>
      <w:proofErr w:type="gramStart"/>
      <w:r w:rsidRPr="0062530E">
        <w:t>2009)[</w:t>
      </w:r>
      <w:proofErr w:type="gramEnd"/>
      <w:r w:rsidRPr="0062530E">
        <w:t>6].</w:t>
      </w:r>
    </w:p>
    <w:p w14:paraId="009D4370" w14:textId="77777777" w:rsidR="0062530E" w:rsidRPr="0062530E" w:rsidRDefault="0062530E" w:rsidP="0062530E">
      <w:r w:rsidRPr="0062530E">
        <w:t xml:space="preserve">Im FRZK wird diese Wirkung formal durch die </w:t>
      </w:r>
      <w:proofErr w:type="spellStart"/>
      <w:r w:rsidRPr="0062530E">
        <w:t>Relationierungsfunktion</w:t>
      </w:r>
      <w:proofErr w:type="spellEnd"/>
      <w:r w:rsidRPr="0062530E">
        <w:t xml:space="preserve"> RRR beschrieben, die die Kopplung zwischen Systemelementen erhöht. Daraus ergibt sich die zentrale Modellannahme:</w:t>
      </w:r>
    </w:p>
    <w:p w14:paraId="2C30C1C8" w14:textId="77777777" w:rsidR="0062530E" w:rsidRPr="0062530E" w:rsidRDefault="0062530E" w:rsidP="0062530E">
      <w:r w:rsidRPr="0062530E">
        <w:t>∂Var(S)∂</w:t>
      </w:r>
      <w:proofErr w:type="spellStart"/>
      <w:r w:rsidRPr="0062530E">
        <w:t>xsozial</w:t>
      </w:r>
      <w:proofErr w:type="spellEnd"/>
      <w:r w:rsidRPr="0062530E">
        <w:t>&lt;0(</w:t>
      </w:r>
      <w:proofErr w:type="gramStart"/>
      <w:r w:rsidRPr="0062530E">
        <w:t>6.11.4)\</w:t>
      </w:r>
      <w:proofErr w:type="spellStart"/>
      <w:proofErr w:type="gramEnd"/>
      <w:r w:rsidRPr="0062530E">
        <w:t>frac</w:t>
      </w:r>
      <w:proofErr w:type="spellEnd"/>
      <w:r w:rsidRPr="0062530E">
        <w:t>{\partial \</w:t>
      </w:r>
      <w:proofErr w:type="spellStart"/>
      <w:r w:rsidRPr="0062530E">
        <w:t>text</w:t>
      </w:r>
      <w:proofErr w:type="spellEnd"/>
      <w:r w:rsidRPr="0062530E">
        <w:t>{Var}(S)}{\partial x_{\</w:t>
      </w:r>
      <w:proofErr w:type="spellStart"/>
      <w:r w:rsidRPr="0062530E">
        <w:t>text</w:t>
      </w:r>
      <w:proofErr w:type="spellEnd"/>
      <w:r w:rsidRPr="0062530E">
        <w:t>{sozial}}} &lt; 0 \tag{6.11.4}∂</w:t>
      </w:r>
      <w:proofErr w:type="spellStart"/>
      <w:r w:rsidRPr="0062530E">
        <w:t>xsozial</w:t>
      </w:r>
      <w:proofErr w:type="spellEnd"/>
      <w:r w:rsidRPr="0062530E">
        <w:t xml:space="preserve">​∂Var(S)​&lt;0(6.11.4) </w:t>
      </w:r>
    </w:p>
    <w:p w14:paraId="6586E1EF" w14:textId="77777777" w:rsidR="0062530E" w:rsidRPr="0062530E" w:rsidRDefault="0062530E" w:rsidP="0062530E">
      <w:r w:rsidRPr="0062530E">
        <w:rPr>
          <w:rFonts w:ascii="Segoe UI Emoji" w:hAnsi="Segoe UI Emoji" w:cs="Segoe UI Emoji"/>
        </w:rPr>
        <w:t>👉</w:t>
      </w:r>
      <w:r w:rsidRPr="0062530E">
        <w:t xml:space="preserve"> Eine Erhöhung der Sozialdimension reduziert die Streuung der Zustände.</w:t>
      </w:r>
    </w:p>
    <w:p w14:paraId="02966FB9" w14:textId="77777777" w:rsidR="0062530E" w:rsidRPr="0062530E" w:rsidRDefault="0062530E" w:rsidP="0062530E">
      <w:r w:rsidRPr="0062530E">
        <w:pict w14:anchorId="720BB656">
          <v:rect id="_x0000_i1094" style="width:0;height:1.5pt" o:hralign="center" o:hrstd="t" o:hr="t" fillcolor="#a0a0a0" stroked="f"/>
        </w:pict>
      </w:r>
    </w:p>
    <w:p w14:paraId="6048B890" w14:textId="77777777" w:rsidR="0062530E" w:rsidRPr="0062530E" w:rsidRDefault="0062530E" w:rsidP="0062530E">
      <w:pPr>
        <w:rPr>
          <w:b/>
          <w:bCs/>
        </w:rPr>
      </w:pPr>
      <w:r w:rsidRPr="0062530E">
        <w:rPr>
          <w:b/>
          <w:bCs/>
        </w:rPr>
        <w:t>6.11.4 Simulationsmodell</w:t>
      </w:r>
    </w:p>
    <w:p w14:paraId="60DD5A88" w14:textId="77777777" w:rsidR="0062530E" w:rsidRPr="0062530E" w:rsidRDefault="0062530E" w:rsidP="0062530E">
      <w:r w:rsidRPr="0062530E">
        <w:t>Auf Basis der realen Daten wird ein Interventionsoperator definiert:</w:t>
      </w:r>
    </w:p>
    <w:p w14:paraId="26E70BAB" w14:textId="77777777" w:rsidR="0062530E" w:rsidRPr="0062530E" w:rsidRDefault="0062530E" w:rsidP="0062530E">
      <w:r w:rsidRPr="0062530E">
        <w:t>S′=</w:t>
      </w:r>
      <w:proofErr w:type="spellStart"/>
      <w:r w:rsidRPr="0062530E">
        <w:t>S+Δs</w:t>
      </w:r>
      <w:r w:rsidRPr="0062530E">
        <w:rPr>
          <w:rFonts w:ascii="Cambria Math" w:hAnsi="Cambria Math" w:cs="Cambria Math"/>
        </w:rPr>
        <w:t>⋅</w:t>
      </w:r>
      <w:proofErr w:type="gramStart"/>
      <w:r w:rsidRPr="0062530E">
        <w:t>es</w:t>
      </w:r>
      <w:proofErr w:type="spellEnd"/>
      <w:r w:rsidRPr="0062530E">
        <w:t>(</w:t>
      </w:r>
      <w:proofErr w:type="gramEnd"/>
      <w:r w:rsidRPr="0062530E">
        <w:t>6.11.5)S' = S + \</w:t>
      </w:r>
      <w:proofErr w:type="spellStart"/>
      <w:r w:rsidRPr="0062530E">
        <w:t>Delta_s</w:t>
      </w:r>
      <w:proofErr w:type="spellEnd"/>
      <w:r w:rsidRPr="0062530E">
        <w:t xml:space="preserve"> \</w:t>
      </w:r>
      <w:proofErr w:type="spellStart"/>
      <w:r w:rsidRPr="0062530E">
        <w:t>cdot</w:t>
      </w:r>
      <w:proofErr w:type="spellEnd"/>
      <w:r w:rsidRPr="0062530E">
        <w:t xml:space="preserve"> </w:t>
      </w:r>
      <w:proofErr w:type="spellStart"/>
      <w:r w:rsidRPr="0062530E">
        <w:t>e_s</w:t>
      </w:r>
      <w:proofErr w:type="spellEnd"/>
      <w:r w:rsidRPr="0062530E">
        <w:t xml:space="preserve"> \tag{6.11.5}S′=S+Δs​</w:t>
      </w:r>
      <w:r w:rsidRPr="0062530E">
        <w:rPr>
          <w:rFonts w:ascii="Cambria Math" w:hAnsi="Cambria Math" w:cs="Cambria Math"/>
        </w:rPr>
        <w:t>⋅</w:t>
      </w:r>
      <w:r w:rsidRPr="0062530E">
        <w:t xml:space="preserve">es​(6.11.5) </w:t>
      </w:r>
    </w:p>
    <w:p w14:paraId="08B7670E" w14:textId="77777777" w:rsidR="0062530E" w:rsidRPr="0062530E" w:rsidRDefault="0062530E" w:rsidP="0062530E">
      <w:r w:rsidRPr="0062530E">
        <w:t xml:space="preserve">mit </w:t>
      </w:r>
      <w:proofErr w:type="spellStart"/>
      <w:r w:rsidRPr="0062530E">
        <w:t>Δs</w:t>
      </w:r>
      <w:proofErr w:type="spellEnd"/>
      <w:r w:rsidRPr="0062530E">
        <w:t>&gt;0\</w:t>
      </w:r>
      <w:proofErr w:type="spellStart"/>
      <w:r w:rsidRPr="0062530E">
        <w:t>Delta_s</w:t>
      </w:r>
      <w:proofErr w:type="spellEnd"/>
      <w:r w:rsidRPr="0062530E">
        <w:t xml:space="preserve"> &gt; 0Δs​&gt;0.</w:t>
      </w:r>
    </w:p>
    <w:p w14:paraId="7EF945F2" w14:textId="77777777" w:rsidR="0062530E" w:rsidRPr="0062530E" w:rsidRDefault="0062530E" w:rsidP="0062530E">
      <w:r w:rsidRPr="0062530E">
        <w:t>Zusätzlich wird für zentrale Dimensionen eine Stabilisierung modelliert:</w:t>
      </w:r>
    </w:p>
    <w:p w14:paraId="3BFD4828" w14:textId="77777777" w:rsidR="0062530E" w:rsidRPr="0062530E" w:rsidRDefault="0062530E" w:rsidP="0062530E">
      <w:proofErr w:type="spellStart"/>
      <w:r w:rsidRPr="0062530E">
        <w:t>xj</w:t>
      </w:r>
      <w:proofErr w:type="spellEnd"/>
      <w:r w:rsidRPr="0062530E">
        <w:t>′=</w:t>
      </w:r>
      <w:proofErr w:type="spellStart"/>
      <w:r w:rsidRPr="0062530E">
        <w:t>xˉj+λ</w:t>
      </w:r>
      <w:proofErr w:type="spellEnd"/>
      <w:r w:rsidRPr="0062530E">
        <w:t>(</w:t>
      </w:r>
      <w:proofErr w:type="spellStart"/>
      <w:r w:rsidRPr="0062530E">
        <w:t>xj−</w:t>
      </w:r>
      <w:proofErr w:type="gramStart"/>
      <w:r w:rsidRPr="0062530E">
        <w:t>xˉj</w:t>
      </w:r>
      <w:proofErr w:type="spellEnd"/>
      <w:r w:rsidRPr="0062530E">
        <w:t>)(</w:t>
      </w:r>
      <w:proofErr w:type="gramEnd"/>
      <w:r w:rsidRPr="0062530E">
        <w:t>6.11.6)</w:t>
      </w:r>
      <w:proofErr w:type="spellStart"/>
      <w:r w:rsidRPr="0062530E">
        <w:t>x_j</w:t>
      </w:r>
      <w:proofErr w:type="spellEnd"/>
      <w:r w:rsidRPr="0062530E">
        <w:t>' = \bar{x}_j + \</w:t>
      </w:r>
      <w:proofErr w:type="spellStart"/>
      <w:r w:rsidRPr="0062530E">
        <w:t>lambda</w:t>
      </w:r>
      <w:proofErr w:type="spellEnd"/>
      <w:r w:rsidRPr="0062530E">
        <w:t xml:space="preserve"> (</w:t>
      </w:r>
      <w:proofErr w:type="spellStart"/>
      <w:r w:rsidRPr="0062530E">
        <w:t>x_j</w:t>
      </w:r>
      <w:proofErr w:type="spellEnd"/>
      <w:r w:rsidRPr="0062530E">
        <w:t xml:space="preserve"> - \bar{x}_j) \tag{6.11.6}</w:t>
      </w:r>
      <w:proofErr w:type="spellStart"/>
      <w:r w:rsidRPr="0062530E">
        <w:t>xj</w:t>
      </w:r>
      <w:proofErr w:type="spellEnd"/>
      <w:r w:rsidRPr="0062530E">
        <w:t>′​=</w:t>
      </w:r>
      <w:proofErr w:type="spellStart"/>
      <w:r w:rsidRPr="0062530E">
        <w:t>xˉj</w:t>
      </w:r>
      <w:proofErr w:type="spellEnd"/>
      <w:r w:rsidRPr="0062530E">
        <w:t>​+λ(</w:t>
      </w:r>
      <w:proofErr w:type="spellStart"/>
      <w:r w:rsidRPr="0062530E">
        <w:t>xj</w:t>
      </w:r>
      <w:proofErr w:type="spellEnd"/>
      <w:r w:rsidRPr="0062530E">
        <w:t>​−</w:t>
      </w:r>
      <w:proofErr w:type="spellStart"/>
      <w:r w:rsidRPr="0062530E">
        <w:t>xˉj</w:t>
      </w:r>
      <w:proofErr w:type="spellEnd"/>
      <w:r w:rsidRPr="0062530E">
        <w:t xml:space="preserve">​)(6.11.6) </w:t>
      </w:r>
    </w:p>
    <w:p w14:paraId="7EC5E817" w14:textId="77777777" w:rsidR="0062530E" w:rsidRPr="0062530E" w:rsidRDefault="0062530E" w:rsidP="0062530E">
      <w:r w:rsidRPr="0062530E">
        <w:t>mit 0&lt;λ&lt;10 &lt; \</w:t>
      </w:r>
      <w:proofErr w:type="spellStart"/>
      <w:r w:rsidRPr="0062530E">
        <w:t>lambda</w:t>
      </w:r>
      <w:proofErr w:type="spellEnd"/>
      <w:r w:rsidRPr="0062530E">
        <w:t xml:space="preserve"> &lt; 10&lt;λ&lt;1.</w:t>
      </w:r>
    </w:p>
    <w:p w14:paraId="0965B817" w14:textId="77777777" w:rsidR="0062530E" w:rsidRPr="0062530E" w:rsidRDefault="0062530E" w:rsidP="0062530E">
      <w:r w:rsidRPr="0062530E">
        <w:t xml:space="preserve">Diese Modellierung entspricht der Reduktion von Varianz bei gleichbleibendem Mittelwert, wie sie auch in Evaluationsstudien zur Unterrichtsqualität beobachtet wird (Helmke, </w:t>
      </w:r>
      <w:proofErr w:type="gramStart"/>
      <w:r w:rsidRPr="0062530E">
        <w:t>2012)[</w:t>
      </w:r>
      <w:proofErr w:type="gramEnd"/>
      <w:r w:rsidRPr="0062530E">
        <w:t>4].</w:t>
      </w:r>
    </w:p>
    <w:p w14:paraId="1E53F60B" w14:textId="77777777" w:rsidR="0062530E" w:rsidRPr="0062530E" w:rsidRDefault="0062530E" w:rsidP="0062530E">
      <w:r w:rsidRPr="0062530E">
        <w:pict w14:anchorId="465EFB13">
          <v:rect id="_x0000_i1095" style="width:0;height:1.5pt" o:hralign="center" o:hrstd="t" o:hr="t" fillcolor="#a0a0a0" stroked="f"/>
        </w:pict>
      </w:r>
    </w:p>
    <w:p w14:paraId="1612B381" w14:textId="77777777" w:rsidR="0062530E" w:rsidRPr="0062530E" w:rsidRDefault="0062530E" w:rsidP="0062530E">
      <w:pPr>
        <w:rPr>
          <w:b/>
          <w:bCs/>
        </w:rPr>
      </w:pPr>
      <w:r w:rsidRPr="0062530E">
        <w:rPr>
          <w:b/>
          <w:bCs/>
        </w:rPr>
        <w:t>6.11.5 Simulationsergebnisse</w:t>
      </w:r>
    </w:p>
    <w:p w14:paraId="667D157B" w14:textId="77777777" w:rsidR="0062530E" w:rsidRPr="0062530E" w:rsidRDefault="0062530E" w:rsidP="0062530E">
      <w:r w:rsidRPr="0062530E">
        <w:t>Die simulationsgestützte Analyse ergibt: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449"/>
      </w:tblGrid>
      <w:tr w:rsidR="0062530E" w:rsidRPr="0062530E" w14:paraId="51C130ED" w14:textId="77777777" w:rsidTr="0062530E">
        <w:trPr>
          <w:tblHeader/>
          <w:tblCellSpacing w:w="15" w:type="dxa"/>
        </w:trPr>
        <w:tc>
          <w:tcPr>
            <w:tcW w:w="0" w:type="auto"/>
            <w:vAlign w:val="center"/>
            <w:hideMark/>
          </w:tcPr>
          <w:p w14:paraId="67AE03AC" w14:textId="77777777" w:rsidR="0062530E" w:rsidRPr="0062530E" w:rsidRDefault="0062530E" w:rsidP="0062530E">
            <w:pPr>
              <w:rPr>
                <w:b/>
                <w:bCs/>
              </w:rPr>
            </w:pPr>
            <w:r w:rsidRPr="0062530E">
              <w:rPr>
                <w:b/>
                <w:bCs/>
              </w:rPr>
              <w:t>Szenario</w:t>
            </w:r>
          </w:p>
        </w:tc>
        <w:tc>
          <w:tcPr>
            <w:tcW w:w="0" w:type="auto"/>
            <w:vAlign w:val="center"/>
            <w:hideMark/>
          </w:tcPr>
          <w:p w14:paraId="19CFBE38" w14:textId="77777777" w:rsidR="0062530E" w:rsidRPr="0062530E" w:rsidRDefault="0062530E" w:rsidP="0062530E">
            <w:pPr>
              <w:rPr>
                <w:b/>
                <w:bCs/>
              </w:rPr>
            </w:pPr>
            <w:r w:rsidRPr="0062530E">
              <w:rPr>
                <w:b/>
                <w:bCs/>
              </w:rPr>
              <w:t>Kohärenz CCC</w:t>
            </w:r>
          </w:p>
        </w:tc>
      </w:tr>
      <w:tr w:rsidR="0062530E" w:rsidRPr="0062530E" w14:paraId="0358C469" w14:textId="77777777" w:rsidTr="0062530E">
        <w:trPr>
          <w:tblCellSpacing w:w="15" w:type="dxa"/>
        </w:trPr>
        <w:tc>
          <w:tcPr>
            <w:tcW w:w="0" w:type="auto"/>
            <w:vAlign w:val="center"/>
            <w:hideMark/>
          </w:tcPr>
          <w:p w14:paraId="7B7ED1FB" w14:textId="77777777" w:rsidR="0062530E" w:rsidRPr="0062530E" w:rsidRDefault="0062530E" w:rsidP="0062530E">
            <w:r w:rsidRPr="0062530E">
              <w:t>Ist-Zustand</w:t>
            </w:r>
          </w:p>
        </w:tc>
        <w:tc>
          <w:tcPr>
            <w:tcW w:w="0" w:type="auto"/>
            <w:vAlign w:val="center"/>
            <w:hideMark/>
          </w:tcPr>
          <w:p w14:paraId="4B4A7AE0" w14:textId="77777777" w:rsidR="0062530E" w:rsidRPr="0062530E" w:rsidRDefault="0062530E" w:rsidP="0062530E">
            <w:r w:rsidRPr="0062530E">
              <w:t>0.9343</w:t>
            </w:r>
          </w:p>
        </w:tc>
      </w:tr>
      <w:tr w:rsidR="0062530E" w:rsidRPr="0062530E" w14:paraId="7FAEF936" w14:textId="77777777" w:rsidTr="0062530E">
        <w:trPr>
          <w:tblCellSpacing w:w="15" w:type="dxa"/>
        </w:trPr>
        <w:tc>
          <w:tcPr>
            <w:tcW w:w="0" w:type="auto"/>
            <w:vAlign w:val="center"/>
            <w:hideMark/>
          </w:tcPr>
          <w:p w14:paraId="7F73AC3C" w14:textId="77777777" w:rsidR="0062530E" w:rsidRPr="0062530E" w:rsidRDefault="0062530E" w:rsidP="0062530E">
            <w:r w:rsidRPr="0062530E">
              <w:t>+ Sozialdimension</w:t>
            </w:r>
          </w:p>
        </w:tc>
        <w:tc>
          <w:tcPr>
            <w:tcW w:w="0" w:type="auto"/>
            <w:vAlign w:val="center"/>
            <w:hideMark/>
          </w:tcPr>
          <w:p w14:paraId="13A36D90" w14:textId="77777777" w:rsidR="0062530E" w:rsidRPr="0062530E" w:rsidRDefault="0062530E" w:rsidP="0062530E">
            <w:r w:rsidRPr="0062530E">
              <w:t>0.9374</w:t>
            </w:r>
          </w:p>
        </w:tc>
      </w:tr>
      <w:tr w:rsidR="0062530E" w:rsidRPr="0062530E" w14:paraId="65E191B8" w14:textId="77777777" w:rsidTr="0062530E">
        <w:trPr>
          <w:tblCellSpacing w:w="15" w:type="dxa"/>
        </w:trPr>
        <w:tc>
          <w:tcPr>
            <w:tcW w:w="0" w:type="auto"/>
            <w:vAlign w:val="center"/>
            <w:hideMark/>
          </w:tcPr>
          <w:p w14:paraId="769B8CE4" w14:textId="77777777" w:rsidR="0062530E" w:rsidRPr="0062530E" w:rsidRDefault="0062530E" w:rsidP="0062530E">
            <w:r w:rsidRPr="0062530E">
              <w:t>+ Sozial + Stabilisierung</w:t>
            </w:r>
          </w:p>
        </w:tc>
        <w:tc>
          <w:tcPr>
            <w:tcW w:w="0" w:type="auto"/>
            <w:vAlign w:val="center"/>
            <w:hideMark/>
          </w:tcPr>
          <w:p w14:paraId="487905D5" w14:textId="77777777" w:rsidR="0062530E" w:rsidRPr="0062530E" w:rsidRDefault="0062530E" w:rsidP="0062530E">
            <w:r w:rsidRPr="0062530E">
              <w:t>0.9459</w:t>
            </w:r>
          </w:p>
        </w:tc>
      </w:tr>
    </w:tbl>
    <w:p w14:paraId="19A03BC7" w14:textId="77777777" w:rsidR="0062530E" w:rsidRPr="0062530E" w:rsidRDefault="0062530E" w:rsidP="0062530E">
      <w:r w:rsidRPr="0062530E">
        <w:t>Die Ergebnisse zeigen:</w:t>
      </w:r>
    </w:p>
    <w:p w14:paraId="33220567" w14:textId="77777777" w:rsidR="0062530E" w:rsidRPr="0062530E" w:rsidRDefault="0062530E" w:rsidP="0062530E">
      <w:pPr>
        <w:numPr>
          <w:ilvl w:val="0"/>
          <w:numId w:val="4"/>
        </w:numPr>
      </w:pPr>
      <w:r w:rsidRPr="0062530E">
        <w:t xml:space="preserve">Bereits eine isolierte Erhöhung der Sozialdimension führt zu einem messbaren Kohärenzgewinn </w:t>
      </w:r>
    </w:p>
    <w:p w14:paraId="3B361E87" w14:textId="77777777" w:rsidR="0062530E" w:rsidRPr="0062530E" w:rsidRDefault="0062530E" w:rsidP="0062530E">
      <w:pPr>
        <w:numPr>
          <w:ilvl w:val="0"/>
          <w:numId w:val="4"/>
        </w:numPr>
      </w:pPr>
      <w:r w:rsidRPr="0062530E">
        <w:t xml:space="preserve">Die Kombination mit Stabilisierungseffekten verstärkt diesen Effekt deutlich </w:t>
      </w:r>
    </w:p>
    <w:p w14:paraId="263E0047" w14:textId="77777777" w:rsidR="0062530E" w:rsidRPr="0062530E" w:rsidRDefault="0062530E" w:rsidP="0062530E">
      <w:r w:rsidRPr="0062530E">
        <w:t xml:space="preserve">Diese Resultate sind konsistent mit Befunden, wonach Unterrichtsqualität insbesondere durch die Kombination von kognitiver Aktivierung und sozialer Unterstützung maximiert wird (Baumert et al., COACTIV-Studie, </w:t>
      </w:r>
      <w:proofErr w:type="gramStart"/>
      <w:r w:rsidRPr="0062530E">
        <w:t>2010)[</w:t>
      </w:r>
      <w:proofErr w:type="gramEnd"/>
      <w:r w:rsidRPr="0062530E">
        <w:t>7].</w:t>
      </w:r>
    </w:p>
    <w:p w14:paraId="339D7877" w14:textId="77777777" w:rsidR="0062530E" w:rsidRPr="0062530E" w:rsidRDefault="0062530E" w:rsidP="0062530E">
      <w:r w:rsidRPr="0062530E">
        <w:pict w14:anchorId="44D2EF3A">
          <v:rect id="_x0000_i1096" style="width:0;height:1.5pt" o:hralign="center" o:hrstd="t" o:hr="t" fillcolor="#a0a0a0" stroked="f"/>
        </w:pict>
      </w:r>
    </w:p>
    <w:p w14:paraId="3B232A73" w14:textId="77777777" w:rsidR="0062530E" w:rsidRPr="0062530E" w:rsidRDefault="0062530E" w:rsidP="0062530E">
      <w:pPr>
        <w:rPr>
          <w:b/>
          <w:bCs/>
        </w:rPr>
      </w:pPr>
      <w:r w:rsidRPr="0062530E">
        <w:rPr>
          <w:b/>
          <w:bCs/>
        </w:rPr>
        <w:t>6.11.6 Interpretation im Kontext der Unterrichtsforschung</w:t>
      </w:r>
    </w:p>
    <w:p w14:paraId="4F20409D" w14:textId="77777777" w:rsidR="0062530E" w:rsidRPr="0062530E" w:rsidRDefault="0062530E" w:rsidP="0062530E">
      <w:r w:rsidRPr="0062530E">
        <w:t>Die Simulation bestätigt drei zentrale Annahmen der Unterrichtsforschung:</w:t>
      </w:r>
    </w:p>
    <w:p w14:paraId="235BA1C7" w14:textId="77777777" w:rsidR="0062530E" w:rsidRPr="0062530E" w:rsidRDefault="0062530E" w:rsidP="0062530E">
      <w:pPr>
        <w:rPr>
          <w:b/>
          <w:bCs/>
        </w:rPr>
      </w:pPr>
      <w:r w:rsidRPr="0062530E">
        <w:rPr>
          <w:b/>
          <w:bCs/>
        </w:rPr>
        <w:lastRenderedPageBreak/>
        <w:t>(1) Multidimensionalität von Unterrichtsqualität</w:t>
      </w:r>
    </w:p>
    <w:p w14:paraId="0D5A0180" w14:textId="77777777" w:rsidR="0062530E" w:rsidRPr="0062530E" w:rsidRDefault="0062530E" w:rsidP="0062530E">
      <w:r w:rsidRPr="0062530E">
        <w:t xml:space="preserve">Unterrichtsqualität entsteht nicht durch einzelne Faktoren, sondern durch deren Zusammenspiel (Klieme et al., </w:t>
      </w:r>
      <w:proofErr w:type="gramStart"/>
      <w:r w:rsidRPr="0062530E">
        <w:t>2006)[</w:t>
      </w:r>
      <w:proofErr w:type="gramEnd"/>
      <w:r w:rsidRPr="0062530E">
        <w:t>3].</w:t>
      </w:r>
    </w:p>
    <w:p w14:paraId="50F83370" w14:textId="77777777" w:rsidR="0062530E" w:rsidRPr="0062530E" w:rsidRDefault="0062530E" w:rsidP="0062530E">
      <w:pPr>
        <w:rPr>
          <w:b/>
          <w:bCs/>
        </w:rPr>
      </w:pPr>
      <w:r w:rsidRPr="0062530E">
        <w:rPr>
          <w:b/>
          <w:bCs/>
        </w:rPr>
        <w:t>(2) Bedeutung sozialer Unterstützung</w:t>
      </w:r>
    </w:p>
    <w:p w14:paraId="5CDA2268" w14:textId="77777777" w:rsidR="0062530E" w:rsidRPr="0062530E" w:rsidRDefault="0062530E" w:rsidP="0062530E">
      <w:r w:rsidRPr="0062530E">
        <w:t>Soziale Einbettung wirkt als Stabilitätsfaktor für Lernprozesse (</w:t>
      </w:r>
      <w:proofErr w:type="spellStart"/>
      <w:r w:rsidRPr="0062530E">
        <w:t>Lipowsky</w:t>
      </w:r>
      <w:proofErr w:type="spellEnd"/>
      <w:r w:rsidRPr="0062530E">
        <w:t xml:space="preserve">, </w:t>
      </w:r>
      <w:proofErr w:type="gramStart"/>
      <w:r w:rsidRPr="0062530E">
        <w:t>2009)[</w:t>
      </w:r>
      <w:proofErr w:type="gramEnd"/>
      <w:r w:rsidRPr="0062530E">
        <w:t>5].</w:t>
      </w:r>
    </w:p>
    <w:p w14:paraId="3766DE00" w14:textId="77777777" w:rsidR="0062530E" w:rsidRPr="0062530E" w:rsidRDefault="0062530E" w:rsidP="0062530E">
      <w:pPr>
        <w:rPr>
          <w:b/>
          <w:bCs/>
        </w:rPr>
      </w:pPr>
      <w:r w:rsidRPr="0062530E">
        <w:rPr>
          <w:b/>
          <w:bCs/>
        </w:rPr>
        <w:t>(3) Relevanz von Stabilität</w:t>
      </w:r>
    </w:p>
    <w:p w14:paraId="005F8743" w14:textId="77777777" w:rsidR="0062530E" w:rsidRPr="0062530E" w:rsidRDefault="0062530E" w:rsidP="0062530E">
      <w:r w:rsidRPr="0062530E">
        <w:t xml:space="preserve">Nicht nur das Niveau, sondern die Konsistenz von Unterricht bestimmt dessen Qualität (Helmke, </w:t>
      </w:r>
      <w:proofErr w:type="gramStart"/>
      <w:r w:rsidRPr="0062530E">
        <w:t>2012)[</w:t>
      </w:r>
      <w:proofErr w:type="gramEnd"/>
      <w:r w:rsidRPr="0062530E">
        <w:t>4].</w:t>
      </w:r>
    </w:p>
    <w:p w14:paraId="6BD4BFF9" w14:textId="77777777" w:rsidR="0062530E" w:rsidRPr="0062530E" w:rsidRDefault="0062530E" w:rsidP="0062530E">
      <w:r w:rsidRPr="0062530E">
        <w:pict w14:anchorId="6B30706A">
          <v:rect id="_x0000_i1097" style="width:0;height:1.5pt" o:hralign="center" o:hrstd="t" o:hr="t" fillcolor="#a0a0a0" stroked="f"/>
        </w:pict>
      </w:r>
    </w:p>
    <w:p w14:paraId="5BD59ADC" w14:textId="77777777" w:rsidR="0062530E" w:rsidRPr="0062530E" w:rsidRDefault="0062530E" w:rsidP="0062530E">
      <w:pPr>
        <w:rPr>
          <w:b/>
          <w:bCs/>
        </w:rPr>
      </w:pPr>
      <w:r w:rsidRPr="0062530E">
        <w:rPr>
          <w:b/>
          <w:bCs/>
        </w:rPr>
        <w:t>6.11.7 Didaktische Implikationen</w:t>
      </w:r>
    </w:p>
    <w:p w14:paraId="2CA2C543" w14:textId="77777777" w:rsidR="0062530E" w:rsidRPr="0062530E" w:rsidRDefault="0062530E" w:rsidP="0062530E">
      <w:r w:rsidRPr="0062530E">
        <w:t>Aus der Modelllogik ergeben sich konkrete Handlungsperspektiven:</w:t>
      </w:r>
    </w:p>
    <w:p w14:paraId="7B765EEC" w14:textId="77777777" w:rsidR="0062530E" w:rsidRPr="0062530E" w:rsidRDefault="0062530E" w:rsidP="0062530E">
      <w:pPr>
        <w:rPr>
          <w:b/>
          <w:bCs/>
        </w:rPr>
      </w:pPr>
      <w:r w:rsidRPr="0062530E">
        <w:rPr>
          <w:b/>
          <w:bCs/>
        </w:rPr>
        <w:t>(1) Verbreiterung der Interaktion</w:t>
      </w:r>
    </w:p>
    <w:p w14:paraId="07247DCC" w14:textId="77777777" w:rsidR="0062530E" w:rsidRPr="0062530E" w:rsidRDefault="0062530E" w:rsidP="0062530E">
      <w:r w:rsidRPr="0062530E">
        <w:t>Ziel:</w:t>
      </w:r>
    </w:p>
    <w:p w14:paraId="1DFAAA8B" w14:textId="77777777" w:rsidR="0062530E" w:rsidRPr="0062530E" w:rsidRDefault="0062530E" w:rsidP="0062530E">
      <w:proofErr w:type="spellStart"/>
      <w:r w:rsidRPr="0062530E">
        <w:t>xsozial↑x</w:t>
      </w:r>
      <w:proofErr w:type="spellEnd"/>
      <w:r w:rsidRPr="0062530E">
        <w:t>_{\</w:t>
      </w:r>
      <w:proofErr w:type="spellStart"/>
      <w:r w:rsidRPr="0062530E">
        <w:t>text</w:t>
      </w:r>
      <w:proofErr w:type="spellEnd"/>
      <w:r w:rsidRPr="0062530E">
        <w:t>{sozial}} \</w:t>
      </w:r>
      <w:proofErr w:type="spellStart"/>
      <w:r w:rsidRPr="0062530E">
        <w:t>uparrowxsozial</w:t>
      </w:r>
      <w:proofErr w:type="spellEnd"/>
      <w:r w:rsidRPr="0062530E">
        <w:t xml:space="preserve">​↑ </w:t>
      </w:r>
    </w:p>
    <w:p w14:paraId="346D4926" w14:textId="77777777" w:rsidR="0062530E" w:rsidRPr="0062530E" w:rsidRDefault="0062530E" w:rsidP="0062530E">
      <w:r w:rsidRPr="0062530E">
        <w:t>Dies entspricht dem Konzept der sozialen Unterstützung im Unterricht [5].</w:t>
      </w:r>
    </w:p>
    <w:p w14:paraId="5F9C088D" w14:textId="77777777" w:rsidR="0062530E" w:rsidRPr="0062530E" w:rsidRDefault="0062530E" w:rsidP="0062530E">
      <w:r w:rsidRPr="0062530E">
        <w:pict w14:anchorId="3C558560">
          <v:rect id="_x0000_i1098" style="width:0;height:1.5pt" o:hralign="center" o:hrstd="t" o:hr="t" fillcolor="#a0a0a0" stroked="f"/>
        </w:pict>
      </w:r>
    </w:p>
    <w:p w14:paraId="0000E996" w14:textId="77777777" w:rsidR="0062530E" w:rsidRPr="0062530E" w:rsidRDefault="0062530E" w:rsidP="0062530E">
      <w:pPr>
        <w:rPr>
          <w:b/>
          <w:bCs/>
        </w:rPr>
      </w:pPr>
      <w:r w:rsidRPr="0062530E">
        <w:rPr>
          <w:b/>
          <w:bCs/>
        </w:rPr>
        <w:t>(2) Erhöhung der Schüler-Schüler-Interaktion</w:t>
      </w:r>
    </w:p>
    <w:p w14:paraId="3E0DC33C" w14:textId="77777777" w:rsidR="0062530E" w:rsidRPr="0062530E" w:rsidRDefault="0062530E" w:rsidP="0062530E">
      <w:r w:rsidRPr="0062530E">
        <w:t xml:space="preserve">Dies stärkt die relationale Struktur des Systems und entspricht konstruktivistischen Lernmodellen (Reusser, Konstruktivistische Didaktik, </w:t>
      </w:r>
      <w:proofErr w:type="gramStart"/>
      <w:r w:rsidRPr="0062530E">
        <w:t>2006)[</w:t>
      </w:r>
      <w:proofErr w:type="gramEnd"/>
      <w:r w:rsidRPr="0062530E">
        <w:t>8].</w:t>
      </w:r>
    </w:p>
    <w:p w14:paraId="3107A0ED" w14:textId="77777777" w:rsidR="0062530E" w:rsidRPr="0062530E" w:rsidRDefault="0062530E" w:rsidP="0062530E">
      <w:r w:rsidRPr="0062530E">
        <w:pict w14:anchorId="37EA78E3">
          <v:rect id="_x0000_i1099" style="width:0;height:1.5pt" o:hralign="center" o:hrstd="t" o:hr="t" fillcolor="#a0a0a0" stroked="f"/>
        </w:pict>
      </w:r>
    </w:p>
    <w:p w14:paraId="0CB57A58" w14:textId="77777777" w:rsidR="0062530E" w:rsidRPr="0062530E" w:rsidRDefault="0062530E" w:rsidP="0062530E">
      <w:pPr>
        <w:rPr>
          <w:b/>
          <w:bCs/>
        </w:rPr>
      </w:pPr>
      <w:r w:rsidRPr="0062530E">
        <w:rPr>
          <w:b/>
          <w:bCs/>
        </w:rPr>
        <w:t>(3) Stabilisierung durch Struktur</w:t>
      </w:r>
    </w:p>
    <w:p w14:paraId="29233812" w14:textId="77777777" w:rsidR="0062530E" w:rsidRPr="0062530E" w:rsidRDefault="0062530E" w:rsidP="0062530E">
      <w:r w:rsidRPr="0062530E">
        <w:t xml:space="preserve">Reduktion unnötiger Varianz durch klare Unterrichtsführung entspricht der Dimension der Klassenführung (Helmke, </w:t>
      </w:r>
      <w:proofErr w:type="gramStart"/>
      <w:r w:rsidRPr="0062530E">
        <w:t>2012)[</w:t>
      </w:r>
      <w:proofErr w:type="gramEnd"/>
      <w:r w:rsidRPr="0062530E">
        <w:t>4].</w:t>
      </w:r>
    </w:p>
    <w:p w14:paraId="472AC38F" w14:textId="77777777" w:rsidR="0062530E" w:rsidRPr="0062530E" w:rsidRDefault="0062530E" w:rsidP="0062530E">
      <w:r w:rsidRPr="0062530E">
        <w:pict w14:anchorId="392C5B1B">
          <v:rect id="_x0000_i1100" style="width:0;height:1.5pt" o:hralign="center" o:hrstd="t" o:hr="t" fillcolor="#a0a0a0" stroked="f"/>
        </w:pict>
      </w:r>
    </w:p>
    <w:p w14:paraId="4E9D278E" w14:textId="77777777" w:rsidR="0062530E" w:rsidRPr="0062530E" w:rsidRDefault="0062530E" w:rsidP="0062530E">
      <w:pPr>
        <w:rPr>
          <w:b/>
          <w:bCs/>
        </w:rPr>
      </w:pPr>
      <w:r w:rsidRPr="0062530E">
        <w:rPr>
          <w:b/>
          <w:bCs/>
        </w:rPr>
        <w:t>6.11.8 Gesamtfazit</w:t>
      </w:r>
    </w:p>
    <w:p w14:paraId="7E034DEC" w14:textId="77777777" w:rsidR="0062530E" w:rsidRPr="0062530E" w:rsidRDefault="0062530E" w:rsidP="0062530E">
      <w:r w:rsidRPr="0062530E">
        <w:t>Die simulationsgestützte Prognose zeigt:</w:t>
      </w:r>
    </w:p>
    <w:p w14:paraId="5FD140AE" w14:textId="77777777" w:rsidR="0062530E" w:rsidRPr="0062530E" w:rsidRDefault="0062530E" w:rsidP="0062530E">
      <w:r w:rsidRPr="0062530E">
        <w:t>Unterrichtsqualität im FRZK ist nicht primär durch das Leistungsniveau bestimmt, sondern durch die Stabilität und die soziale Einbettung des Systems.</w:t>
      </w:r>
    </w:p>
    <w:p w14:paraId="79AB4D6A" w14:textId="77777777" w:rsidR="0062530E" w:rsidRPr="0062530E" w:rsidRDefault="0062530E" w:rsidP="0062530E">
      <w:r w:rsidRPr="0062530E">
        <w:t>Formal ergibt sich:</w:t>
      </w:r>
    </w:p>
    <w:p w14:paraId="3BC5E587" w14:textId="77777777" w:rsidR="0062530E" w:rsidRPr="0062530E" w:rsidRDefault="0062530E" w:rsidP="0062530E">
      <w:r w:rsidRPr="0062530E">
        <w:t>C(S′)&gt;C(S)(</w:t>
      </w:r>
      <w:proofErr w:type="gramStart"/>
      <w:r w:rsidRPr="0062530E">
        <w:t>6.11.7)C</w:t>
      </w:r>
      <w:proofErr w:type="gramEnd"/>
      <w:r w:rsidRPr="0062530E">
        <w:t xml:space="preserve">(S') &gt; C(S) \tag{6.11.7}C(S′)&gt;C(S)(6.11.7) </w:t>
      </w:r>
    </w:p>
    <w:p w14:paraId="32033600" w14:textId="77777777" w:rsidR="0062530E" w:rsidRPr="0062530E" w:rsidRDefault="0062530E" w:rsidP="0062530E">
      <w:r w:rsidRPr="0062530E">
        <w:t>für:</w:t>
      </w:r>
    </w:p>
    <w:p w14:paraId="403B5C31" w14:textId="77777777" w:rsidR="0062530E" w:rsidRPr="0062530E" w:rsidRDefault="0062530E" w:rsidP="0062530E">
      <w:proofErr w:type="spellStart"/>
      <w:r w:rsidRPr="0062530E">
        <w:t>Δxsozial</w:t>
      </w:r>
      <w:proofErr w:type="spellEnd"/>
      <w:r w:rsidRPr="0062530E">
        <w:t>&gt;0\Delta x_{\</w:t>
      </w:r>
      <w:proofErr w:type="spellStart"/>
      <w:r w:rsidRPr="0062530E">
        <w:t>text</w:t>
      </w:r>
      <w:proofErr w:type="spellEnd"/>
      <w:r w:rsidRPr="0062530E">
        <w:t xml:space="preserve">{sozial}} &gt; 0Δxsozial​&gt;0 </w:t>
      </w:r>
    </w:p>
    <w:p w14:paraId="404C9480" w14:textId="77777777" w:rsidR="0062530E" w:rsidRPr="0062530E" w:rsidRDefault="0062530E" w:rsidP="0062530E">
      <w:r w:rsidRPr="0062530E">
        <w:t xml:space="preserve">Damit wird die Lehrkraftperspektive von einer diagnostischen zu einer </w:t>
      </w:r>
      <w:r w:rsidRPr="0062530E">
        <w:rPr>
          <w:b/>
          <w:bCs/>
        </w:rPr>
        <w:t>handlungsleitenden Modellstruktur</w:t>
      </w:r>
      <w:r w:rsidRPr="0062530E">
        <w:t xml:space="preserve"> erweitert.</w:t>
      </w:r>
    </w:p>
    <w:p w14:paraId="54E9BE07" w14:textId="77777777" w:rsidR="0062530E" w:rsidRPr="0062530E" w:rsidRDefault="0062530E" w:rsidP="0062530E">
      <w:r w:rsidRPr="0062530E">
        <w:pict w14:anchorId="75AFEEF3">
          <v:rect id="_x0000_i1101" style="width:0;height:1.5pt" o:hralign="center" o:hrstd="t" o:hr="t" fillcolor="#a0a0a0" stroked="f"/>
        </w:pict>
      </w:r>
    </w:p>
    <w:p w14:paraId="262BEFFB" w14:textId="77777777" w:rsidR="0062530E" w:rsidRPr="0062530E" w:rsidRDefault="0062530E" w:rsidP="0062530E">
      <w:pPr>
        <w:rPr>
          <w:b/>
          <w:bCs/>
        </w:rPr>
      </w:pPr>
      <w:r w:rsidRPr="0062530E">
        <w:rPr>
          <w:b/>
          <w:bCs/>
        </w:rPr>
        <w:t>Literaturverzeichnis</w:t>
      </w:r>
    </w:p>
    <w:p w14:paraId="7EA23710" w14:textId="77777777" w:rsidR="0062530E" w:rsidRPr="0062530E" w:rsidRDefault="0062530E" w:rsidP="0062530E">
      <w:r w:rsidRPr="0062530E">
        <w:lastRenderedPageBreak/>
        <w:t xml:space="preserve">[1] Bortz, J., Döring, N. (2006): </w:t>
      </w:r>
      <w:r w:rsidRPr="0062530E">
        <w:rPr>
          <w:i/>
          <w:iCs/>
        </w:rPr>
        <w:t>Forschungsmethoden und Evaluation</w:t>
      </w:r>
      <w:r w:rsidRPr="0062530E">
        <w:t>.</w:t>
      </w:r>
      <w:r w:rsidRPr="0062530E">
        <w:br/>
        <w:t xml:space="preserve">[2] Seidel, T., </w:t>
      </w:r>
      <w:proofErr w:type="spellStart"/>
      <w:r w:rsidRPr="0062530E">
        <w:t>Shavelson</w:t>
      </w:r>
      <w:proofErr w:type="spellEnd"/>
      <w:r w:rsidRPr="0062530E">
        <w:t xml:space="preserve">, R. (2007): Teaching </w:t>
      </w:r>
      <w:proofErr w:type="spellStart"/>
      <w:r w:rsidRPr="0062530E">
        <w:t>Effectiveness</w:t>
      </w:r>
      <w:proofErr w:type="spellEnd"/>
      <w:r w:rsidRPr="0062530E">
        <w:t xml:space="preserve"> Research.</w:t>
      </w:r>
      <w:r w:rsidRPr="0062530E">
        <w:br/>
        <w:t xml:space="preserve">[3] Klieme, E. et al. (2006): </w:t>
      </w:r>
      <w:r w:rsidRPr="0062530E">
        <w:rPr>
          <w:i/>
          <w:iCs/>
        </w:rPr>
        <w:t>PISA-Konsortium Deutschland</w:t>
      </w:r>
      <w:r w:rsidRPr="0062530E">
        <w:t>.</w:t>
      </w:r>
      <w:r w:rsidRPr="0062530E">
        <w:br/>
        <w:t xml:space="preserve">[4] Helmke, A. (2012): </w:t>
      </w:r>
      <w:r w:rsidRPr="0062530E">
        <w:rPr>
          <w:i/>
          <w:iCs/>
        </w:rPr>
        <w:t>Unterrichtsqualität und Lehrerprofessionalität</w:t>
      </w:r>
      <w:r w:rsidRPr="0062530E">
        <w:t>.</w:t>
      </w:r>
      <w:r w:rsidRPr="0062530E">
        <w:br/>
        <w:t xml:space="preserve">[5] </w:t>
      </w:r>
      <w:proofErr w:type="spellStart"/>
      <w:r w:rsidRPr="0062530E">
        <w:t>Lipowsky</w:t>
      </w:r>
      <w:proofErr w:type="spellEnd"/>
      <w:r w:rsidRPr="0062530E">
        <w:t>, F. (2009): Unterrichtsqualität und Lehrerhandeln.</w:t>
      </w:r>
      <w:r w:rsidRPr="0062530E">
        <w:br/>
        <w:t xml:space="preserve">[6] Hattie, J. (2009): </w:t>
      </w:r>
      <w:r w:rsidRPr="0062530E">
        <w:rPr>
          <w:i/>
          <w:iCs/>
        </w:rPr>
        <w:t>Visible Learning</w:t>
      </w:r>
      <w:r w:rsidRPr="0062530E">
        <w:t>.</w:t>
      </w:r>
      <w:r w:rsidRPr="0062530E">
        <w:br/>
        <w:t xml:space="preserve">[7] Baumert, J. et al. (2010): </w:t>
      </w:r>
      <w:r w:rsidRPr="0062530E">
        <w:rPr>
          <w:i/>
          <w:iCs/>
        </w:rPr>
        <w:t>COACTIV-Studie</w:t>
      </w:r>
      <w:r w:rsidRPr="0062530E">
        <w:t>.</w:t>
      </w:r>
      <w:r w:rsidRPr="0062530E">
        <w:br/>
        <w:t xml:space="preserve">[8] Reusser, K. (2006): </w:t>
      </w:r>
      <w:r w:rsidRPr="0062530E">
        <w:rPr>
          <w:i/>
          <w:iCs/>
        </w:rPr>
        <w:t>Konstruktivistische Didaktik</w:t>
      </w:r>
      <w:r w:rsidRPr="0062530E">
        <w:t>.</w:t>
      </w:r>
    </w:p>
    <w:p w14:paraId="7EB3F6A0"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3912C3"/>
    <w:multiLevelType w:val="multilevel"/>
    <w:tmpl w:val="FC32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33662">
    <w:abstractNumId w:val="0"/>
  </w:num>
  <w:num w:numId="2" w16cid:durableId="361518799">
    <w:abstractNumId w:val="1"/>
  </w:num>
  <w:num w:numId="3" w16cid:durableId="339544862">
    <w:abstractNumId w:val="3"/>
  </w:num>
  <w:num w:numId="4" w16cid:durableId="1761870105">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30E"/>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62530E"/>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E38E"/>
  <w15:chartTrackingRefBased/>
  <w15:docId w15:val="{2CB1A766-F444-4618-9949-BFCAFCD0F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09376657">
      <w:bodyDiv w:val="1"/>
      <w:marLeft w:val="0"/>
      <w:marRight w:val="0"/>
      <w:marTop w:val="0"/>
      <w:marBottom w:val="0"/>
      <w:divBdr>
        <w:top w:val="none" w:sz="0" w:space="0" w:color="auto"/>
        <w:left w:val="none" w:sz="0" w:space="0" w:color="auto"/>
        <w:bottom w:val="none" w:sz="0" w:space="0" w:color="auto"/>
        <w:right w:val="none" w:sz="0" w:space="0" w:color="auto"/>
      </w:divBdr>
      <w:divsChild>
        <w:div w:id="316954143">
          <w:marLeft w:val="0"/>
          <w:marRight w:val="0"/>
          <w:marTop w:val="0"/>
          <w:marBottom w:val="0"/>
          <w:divBdr>
            <w:top w:val="none" w:sz="0" w:space="0" w:color="auto"/>
            <w:left w:val="none" w:sz="0" w:space="0" w:color="auto"/>
            <w:bottom w:val="none" w:sz="0" w:space="0" w:color="auto"/>
            <w:right w:val="none" w:sz="0" w:space="0" w:color="auto"/>
          </w:divBdr>
          <w:divsChild>
            <w:div w:id="1848715684">
              <w:marLeft w:val="0"/>
              <w:marRight w:val="0"/>
              <w:marTop w:val="0"/>
              <w:marBottom w:val="0"/>
              <w:divBdr>
                <w:top w:val="none" w:sz="0" w:space="0" w:color="auto"/>
                <w:left w:val="none" w:sz="0" w:space="0" w:color="auto"/>
                <w:bottom w:val="none" w:sz="0" w:space="0" w:color="auto"/>
                <w:right w:val="none" w:sz="0" w:space="0" w:color="auto"/>
              </w:divBdr>
            </w:div>
          </w:divsChild>
        </w:div>
        <w:div w:id="1271661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383506">
      <w:bodyDiv w:val="1"/>
      <w:marLeft w:val="0"/>
      <w:marRight w:val="0"/>
      <w:marTop w:val="0"/>
      <w:marBottom w:val="0"/>
      <w:divBdr>
        <w:top w:val="none" w:sz="0" w:space="0" w:color="auto"/>
        <w:left w:val="none" w:sz="0" w:space="0" w:color="auto"/>
        <w:bottom w:val="none" w:sz="0" w:space="0" w:color="auto"/>
        <w:right w:val="none" w:sz="0" w:space="0" w:color="auto"/>
      </w:divBdr>
      <w:divsChild>
        <w:div w:id="1990741553">
          <w:marLeft w:val="0"/>
          <w:marRight w:val="0"/>
          <w:marTop w:val="0"/>
          <w:marBottom w:val="0"/>
          <w:divBdr>
            <w:top w:val="none" w:sz="0" w:space="0" w:color="auto"/>
            <w:left w:val="none" w:sz="0" w:space="0" w:color="auto"/>
            <w:bottom w:val="none" w:sz="0" w:space="0" w:color="auto"/>
            <w:right w:val="none" w:sz="0" w:space="0" w:color="auto"/>
          </w:divBdr>
          <w:divsChild>
            <w:div w:id="193927940">
              <w:marLeft w:val="0"/>
              <w:marRight w:val="0"/>
              <w:marTop w:val="0"/>
              <w:marBottom w:val="0"/>
              <w:divBdr>
                <w:top w:val="none" w:sz="0" w:space="0" w:color="auto"/>
                <w:left w:val="none" w:sz="0" w:space="0" w:color="auto"/>
                <w:bottom w:val="none" w:sz="0" w:space="0" w:color="auto"/>
                <w:right w:val="none" w:sz="0" w:space="0" w:color="auto"/>
              </w:divBdr>
            </w:div>
          </w:divsChild>
        </w:div>
        <w:div w:id="1611743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Pages>
  <Words>886</Words>
  <Characters>5588</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2026-04-12T08:30:00Z</dcterms:created>
  <dcterms:modified xsi:type="dcterms:W3CDTF">2026-04-12T08:31:00Z</dcterms:modified>
</cp:coreProperties>
</file>