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019CB" w14:textId="77777777" w:rsidR="00C764ED" w:rsidRPr="00C764ED" w:rsidRDefault="00C764ED" w:rsidP="00C764ED">
      <w:pPr>
        <w:rPr>
          <w:b/>
          <w:bCs/>
        </w:rPr>
      </w:pPr>
      <w:r w:rsidRPr="00C764ED">
        <w:rPr>
          <w:b/>
          <w:bCs/>
        </w:rPr>
        <w:t>6.x.7 Individuelle Bindungsdynamiken und Präferenzbildung gegenüber Lehrkraft 1</w:t>
      </w:r>
    </w:p>
    <w:p w14:paraId="233A5DCF" w14:textId="77777777" w:rsidR="00C764ED" w:rsidRPr="00C764ED" w:rsidRDefault="00C764ED" w:rsidP="00C764ED">
      <w:r w:rsidRPr="00C764ED">
        <w:t xml:space="preserve">Die Analyse der Korrelationsstruktur des FRZK-Zustandsraums zeigt, dass die beobachtete Präferenz von Teilnehmenden für Lehrkraft 1 nicht als einfacher </w:t>
      </w:r>
      <w:proofErr w:type="spellStart"/>
      <w:r w:rsidRPr="00C764ED">
        <w:t>Mittelwertseffekt</w:t>
      </w:r>
      <w:proofErr w:type="spellEnd"/>
      <w:r w:rsidRPr="00C764ED">
        <w:t xml:space="preserve"> interpretiert werden kann, sondern als Folge einer strukturell veränderten Systemdynamik. Während die Mittelwerte der sieben semantischen Dimensionen zwischen Lehrkraft 1 und den übrigen Lehrkräften nahezu identisch sind, unterscheiden sich die Systeme signifikant in der Dichte und Stabilität ihrer Korrelationsordnung. Diese Differenz ist im Rahmen der Theorie dynamischer Systeme von zentraler Bedeutung, da stabile Zustände nicht durch isolierte Variablen, sondern durch die </w:t>
      </w:r>
      <w:r w:rsidRPr="00C764ED">
        <w:rPr>
          <w:b/>
          <w:bCs/>
        </w:rPr>
        <w:t>Kopplungsstruktur des Gesamtsystems</w:t>
      </w:r>
      <w:r w:rsidRPr="00C764ED">
        <w:t xml:space="preserve"> bestimmt werden (Hermann Haken, </w:t>
      </w:r>
      <w:proofErr w:type="spellStart"/>
      <w:r w:rsidRPr="00C764ED">
        <w:rPr>
          <w:i/>
          <w:iCs/>
        </w:rPr>
        <w:t>Synergetics</w:t>
      </w:r>
      <w:proofErr w:type="spellEnd"/>
      <w:r w:rsidRPr="00C764ED">
        <w:t xml:space="preserve">, </w:t>
      </w:r>
      <w:proofErr w:type="gramStart"/>
      <w:r w:rsidRPr="00C764ED">
        <w:t>1983)[</w:t>
      </w:r>
      <w:proofErr w:type="gramEnd"/>
      <w:r w:rsidRPr="00C764ED">
        <w:t>1].</w:t>
      </w:r>
    </w:p>
    <w:p w14:paraId="112D989B" w14:textId="77777777" w:rsidR="00C764ED" w:rsidRPr="00C764ED" w:rsidRDefault="00C764ED" w:rsidP="00C764ED">
      <w:r w:rsidRPr="00C764ED">
        <w:t>Formal lässt sich die globale Kohärenz eines Systems durch die mittlere absolute Korrelation definieren:</w:t>
      </w:r>
    </w:p>
    <w:p w14:paraId="1D4433F3" w14:textId="77777777" w:rsidR="00C764ED" w:rsidRPr="00C764ED" w:rsidRDefault="00C764ED" w:rsidP="00C764ED">
      <w:r w:rsidRPr="00C764ED">
        <w:t>C=1(</w:t>
      </w:r>
      <w:proofErr w:type="gramStart"/>
      <w:r w:rsidRPr="00C764ED">
        <w:t>72)∑</w:t>
      </w:r>
      <w:proofErr w:type="gramEnd"/>
      <w:r w:rsidRPr="00C764ED">
        <w:t>j&lt;</w:t>
      </w:r>
      <w:proofErr w:type="spellStart"/>
      <w:r w:rsidRPr="00C764ED">
        <w:t>k</w:t>
      </w:r>
      <w:r w:rsidRPr="00C764ED">
        <w:rPr>
          <w:rFonts w:ascii="Cambria Math" w:hAnsi="Cambria Math" w:cs="Cambria Math"/>
        </w:rPr>
        <w:t>∣</w:t>
      </w:r>
      <w:r w:rsidRPr="00C764ED">
        <w:rPr>
          <w:rFonts w:cs="Calibri"/>
        </w:rPr>
        <w:t>ρ</w:t>
      </w:r>
      <w:r w:rsidRPr="00C764ED">
        <w:t>jk</w:t>
      </w:r>
      <w:r w:rsidRPr="00C764ED">
        <w:rPr>
          <w:rFonts w:ascii="Cambria Math" w:hAnsi="Cambria Math" w:cs="Cambria Math"/>
        </w:rPr>
        <w:t>∣</w:t>
      </w:r>
      <w:r w:rsidRPr="00C764ED">
        <w:t>C</w:t>
      </w:r>
      <w:proofErr w:type="spellEnd"/>
      <w:r w:rsidRPr="00C764ED">
        <w:t xml:space="preserve"> = \</w:t>
      </w:r>
      <w:proofErr w:type="spellStart"/>
      <w:r w:rsidRPr="00C764ED">
        <w:t>frac</w:t>
      </w:r>
      <w:proofErr w:type="spellEnd"/>
      <w:r w:rsidRPr="00C764ED">
        <w:t>{1}{\</w:t>
      </w:r>
      <w:proofErr w:type="spellStart"/>
      <w:r w:rsidRPr="00C764ED">
        <w:t>binom</w:t>
      </w:r>
      <w:proofErr w:type="spellEnd"/>
      <w:r w:rsidRPr="00C764ED">
        <w:t>{7}{2}} \</w:t>
      </w:r>
      <w:proofErr w:type="spellStart"/>
      <w:r w:rsidRPr="00C764ED">
        <w:t>sum</w:t>
      </w:r>
      <w:proofErr w:type="spellEnd"/>
      <w:r w:rsidRPr="00C764ED">
        <w:t>_{j&lt;k} |\</w:t>
      </w:r>
      <w:proofErr w:type="spellStart"/>
      <w:r w:rsidRPr="00C764ED">
        <w:t>rho</w:t>
      </w:r>
      <w:proofErr w:type="spellEnd"/>
      <w:r w:rsidRPr="00C764ED">
        <w:t>_{</w:t>
      </w:r>
      <w:proofErr w:type="spellStart"/>
      <w:r w:rsidRPr="00C764ED">
        <w:t>jk</w:t>
      </w:r>
      <w:proofErr w:type="spellEnd"/>
      <w:r w:rsidRPr="00C764ED">
        <w:t>}|C=(27​)1​j&lt;k∑​</w:t>
      </w:r>
      <w:r w:rsidRPr="00C764ED">
        <w:rPr>
          <w:rFonts w:ascii="Cambria Math" w:hAnsi="Cambria Math" w:cs="Cambria Math"/>
        </w:rPr>
        <w:t>∣</w:t>
      </w:r>
      <w:proofErr w:type="spellStart"/>
      <w:r w:rsidRPr="00C764ED">
        <w:rPr>
          <w:rFonts w:cs="Calibri"/>
        </w:rPr>
        <w:t>ρ</w:t>
      </w:r>
      <w:r w:rsidRPr="00C764ED">
        <w:t>jk</w:t>
      </w:r>
      <w:proofErr w:type="spellEnd"/>
      <w:r w:rsidRPr="00C764ED">
        <w:t>​</w:t>
      </w:r>
      <w:r w:rsidRPr="00C764ED">
        <w:rPr>
          <w:rFonts w:ascii="Cambria Math" w:hAnsi="Cambria Math" w:cs="Cambria Math"/>
        </w:rPr>
        <w:t>∣</w:t>
      </w:r>
      <w:r w:rsidRPr="00C764ED">
        <w:t xml:space="preserve"> </w:t>
      </w:r>
    </w:p>
    <w:p w14:paraId="5C89A93F" w14:textId="77777777" w:rsidR="00C764ED" w:rsidRPr="00C764ED" w:rsidRDefault="00C764ED" w:rsidP="00C764ED">
      <w:r w:rsidRPr="00C764ED">
        <w:t>Empirisch ergibt sich:</w:t>
      </w:r>
    </w:p>
    <w:p w14:paraId="282ECA07" w14:textId="77777777" w:rsidR="00C764ED" w:rsidRPr="00C764ED" w:rsidRDefault="00C764ED" w:rsidP="00C764ED">
      <w:r w:rsidRPr="00C764ED">
        <w:t>CLK1=0,475810&gt;C¬LK1=0,</w:t>
      </w:r>
      <w:proofErr w:type="gramStart"/>
      <w:r w:rsidRPr="00C764ED">
        <w:t>309624,C</w:t>
      </w:r>
      <w:proofErr w:type="gramEnd"/>
      <w:r w:rsidRPr="00C764ED">
        <w:t>_{\</w:t>
      </w:r>
      <w:proofErr w:type="spellStart"/>
      <w:r w:rsidRPr="00C764ED">
        <w:t>text</w:t>
      </w:r>
      <w:proofErr w:type="spellEnd"/>
      <w:r w:rsidRPr="00C764ED">
        <w:t>{LK1}} = 0{,}475810 \</w:t>
      </w:r>
      <w:proofErr w:type="spellStart"/>
      <w:r w:rsidRPr="00C764ED">
        <w:t>quad</w:t>
      </w:r>
      <w:proofErr w:type="spellEnd"/>
      <w:r w:rsidRPr="00C764ED">
        <w:t xml:space="preserve"> &gt; \</w:t>
      </w:r>
      <w:proofErr w:type="spellStart"/>
      <w:r w:rsidRPr="00C764ED">
        <w:t>quad</w:t>
      </w:r>
      <w:proofErr w:type="spellEnd"/>
      <w:r w:rsidRPr="00C764ED">
        <w:t xml:space="preserve"> C_{\</w:t>
      </w:r>
      <w:proofErr w:type="spellStart"/>
      <w:r w:rsidRPr="00C764ED">
        <w:t>neg</w:t>
      </w:r>
      <w:proofErr w:type="spellEnd"/>
      <w:r w:rsidRPr="00C764ED">
        <w:t xml:space="preserve"> \</w:t>
      </w:r>
      <w:proofErr w:type="spellStart"/>
      <w:r w:rsidRPr="00C764ED">
        <w:t>text</w:t>
      </w:r>
      <w:proofErr w:type="spellEnd"/>
      <w:r w:rsidRPr="00C764ED">
        <w:t xml:space="preserve">{LK1}} = 0{,}309624,CLK1​=0,475810&gt;C¬LK1​=0,309624, </w:t>
      </w:r>
    </w:p>
    <w:p w14:paraId="260936DA" w14:textId="77777777" w:rsidR="00C764ED" w:rsidRPr="00C764ED" w:rsidRDefault="00C764ED" w:rsidP="00C764ED">
      <w:r w:rsidRPr="00C764ED">
        <w:t>woraus eine Differenz von</w:t>
      </w:r>
    </w:p>
    <w:p w14:paraId="4A8A0789" w14:textId="77777777" w:rsidR="00C764ED" w:rsidRPr="00C764ED" w:rsidRDefault="00C764ED" w:rsidP="00C764ED">
      <w:r w:rsidRPr="00C764ED">
        <w:t xml:space="preserve">ΔC=0,166186\Delta C = 0{,}166186ΔC=0,166186 </w:t>
      </w:r>
    </w:p>
    <w:p w14:paraId="2C4FF168" w14:textId="77777777" w:rsidR="00C764ED" w:rsidRPr="00C764ED" w:rsidRDefault="00C764ED" w:rsidP="00C764ED">
      <w:r w:rsidRPr="00C764ED">
        <w:t xml:space="preserve">resultiert. Diese Differenz ist nicht nur numerisch relevant, sondern systemtheoretisch interpretierbar als Übergang von einem schwach gekoppelten zu einem stark gekoppelten Zustandsraum. In der Theorie koordinierter Systeme beschreibt eine solche Zunahme der Kopplungsstärke den Übergang zu einem stabileren Ordnungszustand (J. A. Scott Kelso, </w:t>
      </w:r>
      <w:r w:rsidRPr="00C764ED">
        <w:rPr>
          <w:i/>
          <w:iCs/>
        </w:rPr>
        <w:t>Dynamic Patterns</w:t>
      </w:r>
      <w:r w:rsidRPr="00C764ED">
        <w:t xml:space="preserve">, </w:t>
      </w:r>
      <w:proofErr w:type="gramStart"/>
      <w:r w:rsidRPr="00C764ED">
        <w:t>1995)[</w:t>
      </w:r>
      <w:proofErr w:type="gramEnd"/>
      <w:r w:rsidRPr="00C764ED">
        <w:t>2].</w:t>
      </w:r>
    </w:p>
    <w:p w14:paraId="11ECE612" w14:textId="77777777" w:rsidR="00C764ED" w:rsidRPr="00C764ED" w:rsidRDefault="00C764ED" w:rsidP="00C764ED">
      <w:r w:rsidRPr="00C764ED">
        <w:t>Parallel dazu zeigt sich eine Reduktion der mittleren Streuung:</w:t>
      </w:r>
    </w:p>
    <w:p w14:paraId="4842F85C" w14:textId="77777777" w:rsidR="00C764ED" w:rsidRPr="00C764ED" w:rsidRDefault="00C764ED" w:rsidP="00C764ED">
      <w:r w:rsidRPr="00C764ED">
        <w:t>σˉLK1=0,034998&lt;σˉ¬LK1=0,</w:t>
      </w:r>
      <w:proofErr w:type="gramStart"/>
      <w:r w:rsidRPr="00C764ED">
        <w:t>038416,\</w:t>
      </w:r>
      <w:proofErr w:type="gramEnd"/>
      <w:r w:rsidRPr="00C764ED">
        <w:t>bar{\</w:t>
      </w:r>
      <w:proofErr w:type="spellStart"/>
      <w:r w:rsidRPr="00C764ED">
        <w:t>sigma</w:t>
      </w:r>
      <w:proofErr w:type="spellEnd"/>
      <w:r w:rsidRPr="00C764ED">
        <w:t>}_{\</w:t>
      </w:r>
      <w:proofErr w:type="spellStart"/>
      <w:r w:rsidRPr="00C764ED">
        <w:t>text</w:t>
      </w:r>
      <w:proofErr w:type="spellEnd"/>
      <w:r w:rsidRPr="00C764ED">
        <w:t>{LK1}} = 0{,}034998 \</w:t>
      </w:r>
      <w:proofErr w:type="spellStart"/>
      <w:r w:rsidRPr="00C764ED">
        <w:t>quad</w:t>
      </w:r>
      <w:proofErr w:type="spellEnd"/>
      <w:r w:rsidRPr="00C764ED">
        <w:t xml:space="preserve"> &lt; \</w:t>
      </w:r>
      <w:proofErr w:type="spellStart"/>
      <w:r w:rsidRPr="00C764ED">
        <w:t>quad</w:t>
      </w:r>
      <w:proofErr w:type="spellEnd"/>
      <w:r w:rsidRPr="00C764ED">
        <w:t xml:space="preserve"> \bar{\</w:t>
      </w:r>
      <w:proofErr w:type="spellStart"/>
      <w:r w:rsidRPr="00C764ED">
        <w:t>sigma</w:t>
      </w:r>
      <w:proofErr w:type="spellEnd"/>
      <w:r w:rsidRPr="00C764ED">
        <w:t>}_{\</w:t>
      </w:r>
      <w:proofErr w:type="spellStart"/>
      <w:r w:rsidRPr="00C764ED">
        <w:t>neg</w:t>
      </w:r>
      <w:proofErr w:type="spellEnd"/>
      <w:r w:rsidRPr="00C764ED">
        <w:t xml:space="preserve"> \</w:t>
      </w:r>
      <w:proofErr w:type="spellStart"/>
      <w:r w:rsidRPr="00C764ED">
        <w:t>text</w:t>
      </w:r>
      <w:proofErr w:type="spellEnd"/>
      <w:r w:rsidRPr="00C764ED">
        <w:t xml:space="preserve">{LK1}} = 0{,}038416,σˉLK1​=0,034998&lt;σˉ¬LK1​=0,038416, </w:t>
      </w:r>
    </w:p>
    <w:p w14:paraId="4C3EC7A0" w14:textId="77777777" w:rsidR="00C764ED" w:rsidRPr="00C764ED" w:rsidRDefault="00C764ED" w:rsidP="00C764ED">
      <w:r w:rsidRPr="00C764ED">
        <w:t>woraus folgt:</w:t>
      </w:r>
    </w:p>
    <w:p w14:paraId="1F7D15AD" w14:textId="77777777" w:rsidR="00C764ED" w:rsidRPr="00C764ED" w:rsidRDefault="00C764ED" w:rsidP="00C764ED">
      <w:proofErr w:type="spellStart"/>
      <w:r w:rsidRPr="00C764ED">
        <w:t>Δσ</w:t>
      </w:r>
      <w:proofErr w:type="spellEnd"/>
      <w:r w:rsidRPr="00C764ED">
        <w:t>ˉ=−0,003418.\Delta \bar{\</w:t>
      </w:r>
      <w:proofErr w:type="spellStart"/>
      <w:r w:rsidRPr="00C764ED">
        <w:t>sigma</w:t>
      </w:r>
      <w:proofErr w:type="spellEnd"/>
      <w:r w:rsidRPr="00C764ED">
        <w:t>} = -0{</w:t>
      </w:r>
      <w:proofErr w:type="gramStart"/>
      <w:r w:rsidRPr="00C764ED">
        <w:t>,}003418.Δσˉ</w:t>
      </w:r>
      <w:proofErr w:type="gramEnd"/>
      <w:r w:rsidRPr="00C764ED">
        <w:t xml:space="preserve">=−0,003418. </w:t>
      </w:r>
    </w:p>
    <w:p w14:paraId="1CB54B71" w14:textId="77777777" w:rsidR="00C764ED" w:rsidRPr="00C764ED" w:rsidRDefault="00C764ED" w:rsidP="00C764ED">
      <w:r w:rsidRPr="00C764ED">
        <w:t xml:space="preserve">Eine geringere Streuung ist in nichtlinearen Systemen ein klassischer Indikator für die Ausbildung eines Attraktors, da Zustände im Phasenraum stärker gebündelt werden und weniger divergieren (Steven </w:t>
      </w:r>
      <w:proofErr w:type="spellStart"/>
      <w:r w:rsidRPr="00C764ED">
        <w:t>Strogatz</w:t>
      </w:r>
      <w:proofErr w:type="spellEnd"/>
      <w:r w:rsidRPr="00C764ED">
        <w:t xml:space="preserve">, </w:t>
      </w:r>
      <w:proofErr w:type="spellStart"/>
      <w:r w:rsidRPr="00C764ED">
        <w:rPr>
          <w:i/>
          <w:iCs/>
        </w:rPr>
        <w:t>Nonlinear</w:t>
      </w:r>
      <w:proofErr w:type="spellEnd"/>
      <w:r w:rsidRPr="00C764ED">
        <w:rPr>
          <w:i/>
          <w:iCs/>
        </w:rPr>
        <w:t xml:space="preserve"> Dynamics and Chaos</w:t>
      </w:r>
      <w:r w:rsidRPr="00C764ED">
        <w:t xml:space="preserve">, </w:t>
      </w:r>
      <w:proofErr w:type="gramStart"/>
      <w:r w:rsidRPr="00C764ED">
        <w:t>2015)[</w:t>
      </w:r>
      <w:proofErr w:type="gramEnd"/>
      <w:r w:rsidRPr="00C764ED">
        <w:t>3].</w:t>
      </w:r>
    </w:p>
    <w:p w14:paraId="721BED5D" w14:textId="77777777" w:rsidR="00C764ED" w:rsidRPr="00C764ED" w:rsidRDefault="00C764ED" w:rsidP="00C764ED">
      <w:r w:rsidRPr="00C764ED">
        <w:t>Die zentrale empirische Differenz zwischen Lehrkraft 1 und den übrigen Lehrkräften liegt jedoch nicht nur in der globalen Kohärenz, sondern in spezifischen Kopplungsrelationen. Besonders deutlich wird dies in der Beziehung zwischen Motivation und Regulation:</w:t>
      </w:r>
    </w:p>
    <w:p w14:paraId="346DF548" w14:textId="77777777" w:rsidR="00C764ED" w:rsidRPr="00C764ED" w:rsidRDefault="00C764ED" w:rsidP="00C764ED">
      <w:r w:rsidRPr="00C764ED">
        <w:t>ρ</w:t>
      </w:r>
      <w:proofErr w:type="gramStart"/>
      <w:r w:rsidRPr="00C764ED">
        <w:t>Motivation,Regulation</w:t>
      </w:r>
      <w:proofErr w:type="gramEnd"/>
      <w:r w:rsidRPr="00C764ED">
        <w:t>(LK1)=0,691210</w:t>
      </w:r>
      <w:r w:rsidRPr="00C764ED">
        <w:rPr>
          <w:rFonts w:ascii="Cambria Math" w:hAnsi="Cambria Math" w:cs="Cambria Math"/>
        </w:rPr>
        <w:t>≫</w:t>
      </w:r>
      <w:r w:rsidRPr="00C764ED">
        <w:rPr>
          <w:rFonts w:cs="Calibri"/>
        </w:rPr>
        <w:t>ρ</w:t>
      </w:r>
      <w:r w:rsidRPr="00C764ED">
        <w:t>(</w:t>
      </w:r>
      <w:r w:rsidRPr="00C764ED">
        <w:rPr>
          <w:rFonts w:cs="Calibri"/>
        </w:rPr>
        <w:t>¬</w:t>
      </w:r>
      <w:r w:rsidRPr="00C764ED">
        <w:t>LK1)</w:t>
      </w:r>
      <w:r w:rsidRPr="00C764ED">
        <w:rPr>
          <w:rFonts w:cs="Calibri"/>
        </w:rPr>
        <w:t>≈</w:t>
      </w:r>
      <w:r w:rsidRPr="00C764ED">
        <w:t>0,006.\rho_{\text{Motivation},\text{Regulation}}^{(\text{LK1})} = 0{,}691210 \</w:t>
      </w:r>
      <w:proofErr w:type="spellStart"/>
      <w:r w:rsidRPr="00C764ED">
        <w:t>quad</w:t>
      </w:r>
      <w:proofErr w:type="spellEnd"/>
      <w:r w:rsidRPr="00C764ED">
        <w:t xml:space="preserve"> \</w:t>
      </w:r>
      <w:proofErr w:type="spellStart"/>
      <w:r w:rsidRPr="00C764ED">
        <w:t>gg</w:t>
      </w:r>
      <w:proofErr w:type="spellEnd"/>
      <w:r w:rsidRPr="00C764ED">
        <w:t xml:space="preserve"> \</w:t>
      </w:r>
      <w:proofErr w:type="spellStart"/>
      <w:r w:rsidRPr="00C764ED">
        <w:t>quad</w:t>
      </w:r>
      <w:proofErr w:type="spellEnd"/>
      <w:r w:rsidRPr="00C764ED">
        <w:t xml:space="preserve"> \</w:t>
      </w:r>
      <w:proofErr w:type="spellStart"/>
      <w:r w:rsidRPr="00C764ED">
        <w:t>rho</w:t>
      </w:r>
      <w:proofErr w:type="spellEnd"/>
      <w:r w:rsidRPr="00C764ED">
        <w:t>^{(\</w:t>
      </w:r>
      <w:proofErr w:type="spellStart"/>
      <w:r w:rsidRPr="00C764ED">
        <w:t>neg</w:t>
      </w:r>
      <w:proofErr w:type="spellEnd"/>
      <w:r w:rsidRPr="00C764ED">
        <w:t xml:space="preserve"> \</w:t>
      </w:r>
      <w:proofErr w:type="spellStart"/>
      <w:r w:rsidRPr="00C764ED">
        <w:t>text</w:t>
      </w:r>
      <w:proofErr w:type="spellEnd"/>
      <w:r w:rsidRPr="00C764ED">
        <w:t>{LK1})} \</w:t>
      </w:r>
      <w:proofErr w:type="spellStart"/>
      <w:r w:rsidRPr="00C764ED">
        <w:t>approx</w:t>
      </w:r>
      <w:proofErr w:type="spellEnd"/>
      <w:r w:rsidRPr="00C764ED">
        <w:t xml:space="preserve"> 0{,}006.ρMotivation,Regulation(LK1)​=0,691210</w:t>
      </w:r>
      <w:r w:rsidRPr="00C764ED">
        <w:rPr>
          <w:rFonts w:ascii="Cambria Math" w:hAnsi="Cambria Math" w:cs="Cambria Math"/>
        </w:rPr>
        <w:t>≫</w:t>
      </w:r>
      <w:r w:rsidRPr="00C764ED">
        <w:t xml:space="preserve">ρ(¬LK1)≈0,006. </w:t>
      </w:r>
    </w:p>
    <w:p w14:paraId="7967A597" w14:textId="77777777" w:rsidR="00C764ED" w:rsidRPr="00C764ED" w:rsidRDefault="00C764ED" w:rsidP="00C764ED">
      <w:r w:rsidRPr="00C764ED">
        <w:t xml:space="preserve">Diese Differenz ist didaktisch und psychologisch hochsignifikant. In der Selbstbestimmungstheorie wird Motivation nur dann als nachhaltig wirksam beschrieben, wenn sie mit Prozessen der Selbstregulation verbunden ist; die Theorie beschreibt explizit die Integration von Motivation, Persönlichkeit und behavioraler Selbststeuerung als zentralen Mechanismus (Edward Deci &amp; Richard Ryan, </w:t>
      </w:r>
      <w:proofErr w:type="gramStart"/>
      <w:r w:rsidRPr="00C764ED">
        <w:t>1985)[</w:t>
      </w:r>
      <w:proofErr w:type="gramEnd"/>
      <w:r w:rsidRPr="00C764ED">
        <w:t>4].</w:t>
      </w:r>
    </w:p>
    <w:p w14:paraId="18489B47" w14:textId="77777777" w:rsidR="00C764ED" w:rsidRPr="00C764ED" w:rsidRDefault="00C764ED" w:rsidP="00C764ED">
      <w:r w:rsidRPr="00C764ED">
        <w:lastRenderedPageBreak/>
        <w:t xml:space="preserve">Im FRZK bedeutet dies: Unter Lehrkraft 1 ist Motivation nicht isoliert, sondern wird systematisch in regulatorische Prozesse überführt. Für Teilnehmende resultiert daraus eine erhöhte subjektive Kontrollierbarkeit des Lernprozesses, was direkt mit dem Konzept der Selbstwirksamkeit verbunden ist. Selbstwirksamkeit beschreibt die Überzeugung, durch eigenes Handeln Ergebnisse erzielen zu können, und beeinflusst maßgeblich Motivation, Verhalten und Persistenz (Albert Bandura, </w:t>
      </w:r>
      <w:proofErr w:type="gramStart"/>
      <w:r w:rsidRPr="00C764ED">
        <w:t>1997)[</w:t>
      </w:r>
      <w:proofErr w:type="gramEnd"/>
      <w:r w:rsidRPr="00C764ED">
        <w:t>5].</w:t>
      </w:r>
    </w:p>
    <w:p w14:paraId="3479AB5D" w14:textId="77777777" w:rsidR="00C764ED" w:rsidRPr="00C764ED" w:rsidRDefault="00C764ED" w:rsidP="00C764ED">
      <w:r w:rsidRPr="00C764ED">
        <w:t>Ein zweiter zentraler Mechanismus liegt in der Kopplung zwischen Kognition und Methodik:</w:t>
      </w:r>
    </w:p>
    <w:p w14:paraId="3AAFEDF2" w14:textId="77777777" w:rsidR="00C764ED" w:rsidRPr="00C764ED" w:rsidRDefault="00C764ED" w:rsidP="00C764ED">
      <w:r w:rsidRPr="00C764ED">
        <w:t>ρ</w:t>
      </w:r>
      <w:proofErr w:type="gramStart"/>
      <w:r w:rsidRPr="00C764ED">
        <w:t>Kognition,Methodik</w:t>
      </w:r>
      <w:proofErr w:type="gramEnd"/>
      <w:r w:rsidRPr="00C764ED">
        <w:t>(LK1)=0,804252&gt;0,673666.\rho_{\text{Kognition},\text{Methodik}}^{(\text{LK1})} = 0{,}804252 \</w:t>
      </w:r>
      <w:proofErr w:type="spellStart"/>
      <w:r w:rsidRPr="00C764ED">
        <w:t>quad</w:t>
      </w:r>
      <w:proofErr w:type="spellEnd"/>
      <w:r w:rsidRPr="00C764ED">
        <w:t xml:space="preserve"> &gt; \</w:t>
      </w:r>
      <w:proofErr w:type="spellStart"/>
      <w:r w:rsidRPr="00C764ED">
        <w:t>quad</w:t>
      </w:r>
      <w:proofErr w:type="spellEnd"/>
      <w:r w:rsidRPr="00C764ED">
        <w:t xml:space="preserve"> 0{,}673666.ρKognition,Methodik(LK1)​=0,804252&gt;0,673666. </w:t>
      </w:r>
    </w:p>
    <w:p w14:paraId="0A482A9E" w14:textId="77777777" w:rsidR="00C764ED" w:rsidRPr="00C764ED" w:rsidRDefault="00C764ED" w:rsidP="00C764ED">
      <w:r w:rsidRPr="00C764ED">
        <w:t xml:space="preserve">Diese Beziehung zeigt, dass kognitive Prozesse unter Lehrkraft 1 stärker mit methodischen Strukturen verbunden sind. In der Forschung zur Selbstregulation wird Lernen genau dann als besonders effektiv beschrieben, wenn kognitive Prozesse durch strategische und metakognitive Komponenten strukturiert werden (Barry Zimmerman, </w:t>
      </w:r>
      <w:proofErr w:type="gramStart"/>
      <w:r w:rsidRPr="00C764ED">
        <w:t>2002)[</w:t>
      </w:r>
      <w:proofErr w:type="gramEnd"/>
      <w:r w:rsidRPr="00C764ED">
        <w:t>6].</w:t>
      </w:r>
    </w:p>
    <w:p w14:paraId="0D97B0BD" w14:textId="77777777" w:rsidR="00C764ED" w:rsidRPr="00C764ED" w:rsidRDefault="00C764ED" w:rsidP="00C764ED">
      <w:r w:rsidRPr="00C764ED">
        <w:t>Damit entsteht im FRZK eine funktionale Einheit:</w:t>
      </w:r>
    </w:p>
    <w:p w14:paraId="0F640520" w14:textId="77777777" w:rsidR="00C764ED" w:rsidRPr="00C764ED" w:rsidRDefault="00C764ED" w:rsidP="00C764ED">
      <w:proofErr w:type="spellStart"/>
      <w:r w:rsidRPr="00C764ED">
        <w:t>Kognition↔</w:t>
      </w:r>
      <w:proofErr w:type="gramStart"/>
      <w:r w:rsidRPr="00C764ED">
        <w:t>Methodik</w:t>
      </w:r>
      <w:proofErr w:type="spellEnd"/>
      <w:r w:rsidRPr="00C764ED">
        <w:t>,\</w:t>
      </w:r>
      <w:proofErr w:type="spellStart"/>
      <w:proofErr w:type="gramEnd"/>
      <w:r w:rsidRPr="00C764ED">
        <w:t>text</w:t>
      </w:r>
      <w:proofErr w:type="spellEnd"/>
      <w:r w:rsidRPr="00C764ED">
        <w:t>{Kognition} \</w:t>
      </w:r>
      <w:proofErr w:type="spellStart"/>
      <w:r w:rsidRPr="00C764ED">
        <w:t>leftrightarrow</w:t>
      </w:r>
      <w:proofErr w:type="spellEnd"/>
      <w:r w:rsidRPr="00C764ED">
        <w:t xml:space="preserve"> \</w:t>
      </w:r>
      <w:proofErr w:type="spellStart"/>
      <w:r w:rsidRPr="00C764ED">
        <w:t>text</w:t>
      </w:r>
      <w:proofErr w:type="spellEnd"/>
      <w:r w:rsidRPr="00C764ED">
        <w:t>{Methodik},</w:t>
      </w:r>
      <w:proofErr w:type="spellStart"/>
      <w:r w:rsidRPr="00C764ED">
        <w:t>Kognition↔Methodik</w:t>
      </w:r>
      <w:proofErr w:type="spellEnd"/>
      <w:r w:rsidRPr="00C764ED">
        <w:t xml:space="preserve">, </w:t>
      </w:r>
    </w:p>
    <w:p w14:paraId="0B255486" w14:textId="77777777" w:rsidR="00C764ED" w:rsidRPr="00C764ED" w:rsidRDefault="00C764ED" w:rsidP="00C764ED">
      <w:r w:rsidRPr="00C764ED">
        <w:t>die es Teilnehmenden ermöglicht, Wissen nicht nur zu verstehen, sondern systematisch anzuwenden.</w:t>
      </w:r>
    </w:p>
    <w:p w14:paraId="32285F7D" w14:textId="77777777" w:rsidR="00C764ED" w:rsidRPr="00C764ED" w:rsidRDefault="00C764ED" w:rsidP="00C764ED">
      <w:r w:rsidRPr="00C764ED">
        <w:t>Ein dritter Mechanismus ergibt sich aus der stärkeren negativen Kopplung affektiver Dimensionen:</w:t>
      </w:r>
    </w:p>
    <w:p w14:paraId="51E40AD6" w14:textId="77777777" w:rsidR="00C764ED" w:rsidRPr="00C764ED" w:rsidRDefault="00C764ED" w:rsidP="00C764ED">
      <w:r w:rsidRPr="00C764ED">
        <w:t>ρ</w:t>
      </w:r>
      <w:proofErr w:type="gramStart"/>
      <w:r w:rsidRPr="00C764ED">
        <w:t>Affektiv,Regulation</w:t>
      </w:r>
      <w:proofErr w:type="gramEnd"/>
      <w:r w:rsidRPr="00C764ED">
        <w:t>(LK1)≈−0,621&lt;−0,421.\rho_{\text{Affektiv},\text{Regulation}}^{(\text{LK1})} \</w:t>
      </w:r>
      <w:proofErr w:type="spellStart"/>
      <w:r w:rsidRPr="00C764ED">
        <w:t>approx</w:t>
      </w:r>
      <w:proofErr w:type="spellEnd"/>
      <w:r w:rsidRPr="00C764ED">
        <w:t xml:space="preserve"> -0{,}621 \</w:t>
      </w:r>
      <w:proofErr w:type="spellStart"/>
      <w:r w:rsidRPr="00C764ED">
        <w:t>quad</w:t>
      </w:r>
      <w:proofErr w:type="spellEnd"/>
      <w:r w:rsidRPr="00C764ED">
        <w:t xml:space="preserve"> &lt; \</w:t>
      </w:r>
      <w:proofErr w:type="spellStart"/>
      <w:r w:rsidRPr="00C764ED">
        <w:t>quad</w:t>
      </w:r>
      <w:proofErr w:type="spellEnd"/>
      <w:r w:rsidRPr="00C764ED">
        <w:t xml:space="preserve"> -0{,}421.ρAffektiv,Regulation(LK1)​≈−0,621&lt;−0,421. </w:t>
      </w:r>
    </w:p>
    <w:p w14:paraId="34809812" w14:textId="77777777" w:rsidR="00C764ED" w:rsidRPr="00C764ED" w:rsidRDefault="00C764ED" w:rsidP="00C764ED">
      <w:r w:rsidRPr="00C764ED">
        <w:t xml:space="preserve">Diese Struktur zeigt, dass negative affektive Zustände stärker in regulatorische Prozesse eingebunden sind. Die Kontroll-Wert-Theorie der Emotionen beschreibt genau diese Wechselwirkung: Emotionen sind funktional mit Kognition, Motivation und Selbstregulation verknüpft und beeinflussen Lernprozesse nicht isoliert, sondern systemisch (Reinhard Pekrun, </w:t>
      </w:r>
      <w:proofErr w:type="gramStart"/>
      <w:r w:rsidRPr="00C764ED">
        <w:t>2006)[</w:t>
      </w:r>
      <w:proofErr w:type="gramEnd"/>
      <w:r w:rsidRPr="00C764ED">
        <w:t>7].</w:t>
      </w:r>
    </w:p>
    <w:p w14:paraId="4456CCB2" w14:textId="77777777" w:rsidR="00C764ED" w:rsidRPr="00C764ED" w:rsidRDefault="00C764ED" w:rsidP="00C764ED">
      <w:r w:rsidRPr="00C764ED">
        <w:t>Damit ergibt sich im FRZK eine klare Interpretation: Lehrkraft 1 erzeugt einen Zustandsraum, in dem nicht nur positive Prozesse verstärkt, sondern auch störende Prozesse systematisch kompensiert werden.</w:t>
      </w:r>
    </w:p>
    <w:p w14:paraId="50F7A08E" w14:textId="77777777" w:rsidR="00C764ED" w:rsidRPr="00C764ED" w:rsidRDefault="00C764ED" w:rsidP="00C764ED">
      <w:r w:rsidRPr="00C764ED">
        <w:t>Zusammengeführt ergibt sich folgende empirisch fundierte Struktur:</w:t>
      </w:r>
    </w:p>
    <w:p w14:paraId="46D743E6" w14:textId="77777777" w:rsidR="00C764ED" w:rsidRPr="00C764ED" w:rsidRDefault="00C764ED" w:rsidP="00C764ED">
      <w:pPr>
        <w:numPr>
          <w:ilvl w:val="0"/>
          <w:numId w:val="4"/>
        </w:numPr>
      </w:pPr>
      <w:r w:rsidRPr="00C764ED">
        <w:t xml:space="preserve">höhere globale Kohärenz CCC </w:t>
      </w:r>
    </w:p>
    <w:p w14:paraId="4B54A000" w14:textId="77777777" w:rsidR="00C764ED" w:rsidRPr="00C764ED" w:rsidRDefault="00C764ED" w:rsidP="00C764ED">
      <w:pPr>
        <w:numPr>
          <w:ilvl w:val="0"/>
          <w:numId w:val="4"/>
        </w:numPr>
      </w:pPr>
      <w:r w:rsidRPr="00C764ED">
        <w:t xml:space="preserve">stärkere Kopplung Motivation–Regulation </w:t>
      </w:r>
    </w:p>
    <w:p w14:paraId="088B0ADA" w14:textId="77777777" w:rsidR="00C764ED" w:rsidRPr="00C764ED" w:rsidRDefault="00C764ED" w:rsidP="00C764ED">
      <w:pPr>
        <w:numPr>
          <w:ilvl w:val="0"/>
          <w:numId w:val="4"/>
        </w:numPr>
      </w:pPr>
      <w:r w:rsidRPr="00C764ED">
        <w:t xml:space="preserve">stärkere Kopplung Kognition–Methodik </w:t>
      </w:r>
    </w:p>
    <w:p w14:paraId="592C016B" w14:textId="77777777" w:rsidR="00C764ED" w:rsidRPr="00C764ED" w:rsidRDefault="00C764ED" w:rsidP="00C764ED">
      <w:pPr>
        <w:numPr>
          <w:ilvl w:val="0"/>
          <w:numId w:val="4"/>
        </w:numPr>
      </w:pPr>
      <w:r w:rsidRPr="00C764ED">
        <w:t xml:space="preserve">stärkere affektiv-regulative Gegenkopplung </w:t>
      </w:r>
    </w:p>
    <w:p w14:paraId="083F56DE" w14:textId="77777777" w:rsidR="00C764ED" w:rsidRPr="00C764ED" w:rsidRDefault="00C764ED" w:rsidP="00C764ED">
      <w:pPr>
        <w:numPr>
          <w:ilvl w:val="0"/>
          <w:numId w:val="4"/>
        </w:numPr>
      </w:pPr>
      <w:r w:rsidRPr="00C764ED">
        <w:t>geringere Streuung σˉ\bar{\</w:t>
      </w:r>
      <w:proofErr w:type="spellStart"/>
      <w:proofErr w:type="gramStart"/>
      <w:r w:rsidRPr="00C764ED">
        <w:t>sigma</w:t>
      </w:r>
      <w:proofErr w:type="spellEnd"/>
      <w:r w:rsidRPr="00C764ED">
        <w:t>}σ</w:t>
      </w:r>
      <w:proofErr w:type="gramEnd"/>
      <w:r w:rsidRPr="00C764ED">
        <w:t xml:space="preserve">ˉ </w:t>
      </w:r>
    </w:p>
    <w:p w14:paraId="00F432D5" w14:textId="77777777" w:rsidR="00C764ED" w:rsidRPr="00C764ED" w:rsidRDefault="00C764ED" w:rsidP="00C764ED">
      <w:r w:rsidRPr="00C764ED">
        <w:t xml:space="preserve">Diese Kombination beschreibt genau die Eigenschaften eines Attraktors im Sinne der dynamischen Systemtheorie. Attraktoren sind Zustände oder Zustandsbereiche, auf die Systeme langfristig konvergieren und in denen sich stabile Muster ausbilden (James Yorke, </w:t>
      </w:r>
      <w:proofErr w:type="gramStart"/>
      <w:r w:rsidRPr="00C764ED">
        <w:t>1975)[</w:t>
      </w:r>
      <w:proofErr w:type="gramEnd"/>
      <w:r w:rsidRPr="00C764ED">
        <w:t>8].</w:t>
      </w:r>
    </w:p>
    <w:p w14:paraId="334EC0FD" w14:textId="77777777" w:rsidR="00C764ED" w:rsidRPr="00C764ED" w:rsidRDefault="00C764ED" w:rsidP="00C764ED">
      <w:r w:rsidRPr="00C764ED">
        <w:lastRenderedPageBreak/>
        <w:pict w14:anchorId="23369012">
          <v:rect id="_x0000_i1043" style="width:0;height:1.5pt" o:hralign="center" o:hrstd="t" o:hr="t" fillcolor="#a0a0a0" stroked="f"/>
        </w:pict>
      </w:r>
    </w:p>
    <w:p w14:paraId="6F4E78CF" w14:textId="77777777" w:rsidR="00C764ED" w:rsidRPr="00C764ED" w:rsidRDefault="00C764ED" w:rsidP="00C764ED">
      <w:pPr>
        <w:rPr>
          <w:b/>
          <w:bCs/>
        </w:rPr>
      </w:pPr>
      <w:r w:rsidRPr="00C764ED">
        <w:rPr>
          <w:b/>
          <w:bCs/>
        </w:rPr>
        <w:t xml:space="preserve">6.x.8 </w:t>
      </w:r>
      <w:proofErr w:type="spellStart"/>
      <w:r w:rsidRPr="00C764ED">
        <w:rPr>
          <w:b/>
          <w:bCs/>
        </w:rPr>
        <w:t>Attraktorsatz</w:t>
      </w:r>
      <w:proofErr w:type="spellEnd"/>
      <w:r w:rsidRPr="00C764ED">
        <w:rPr>
          <w:b/>
          <w:bCs/>
        </w:rPr>
        <w:t xml:space="preserve"> der Lehrkraftbindung im FRZK</w:t>
      </w:r>
    </w:p>
    <w:p w14:paraId="307D8CCE" w14:textId="77777777" w:rsidR="00C764ED" w:rsidRPr="00C764ED" w:rsidRDefault="00C764ED" w:rsidP="00C764ED">
      <w:r w:rsidRPr="00C764ED">
        <w:t xml:space="preserve">Auf Basis dieser empirischen Struktur lässt sich die beobachtete Präferenzbildung formal als </w:t>
      </w:r>
      <w:proofErr w:type="spellStart"/>
      <w:r w:rsidRPr="00C764ED">
        <w:t>Attraktorphänomen</w:t>
      </w:r>
      <w:proofErr w:type="spellEnd"/>
      <w:r w:rsidRPr="00C764ED">
        <w:t xml:space="preserve"> beschreiben.</w:t>
      </w:r>
    </w:p>
    <w:p w14:paraId="5B8F96C6" w14:textId="77777777" w:rsidR="00C764ED" w:rsidRPr="00C764ED" w:rsidRDefault="00C764ED" w:rsidP="00C764ED">
      <w:r w:rsidRPr="00C764ED">
        <w:rPr>
          <w:b/>
          <w:bCs/>
        </w:rPr>
        <w:t>Satz 6.x.8.1 (</w:t>
      </w:r>
      <w:proofErr w:type="spellStart"/>
      <w:r w:rsidRPr="00C764ED">
        <w:rPr>
          <w:b/>
          <w:bCs/>
        </w:rPr>
        <w:t>Attraktorsatz</w:t>
      </w:r>
      <w:proofErr w:type="spellEnd"/>
      <w:r w:rsidRPr="00C764ED">
        <w:rPr>
          <w:b/>
          <w:bCs/>
        </w:rPr>
        <w:t xml:space="preserve"> der Lehrkraftbindung).</w:t>
      </w:r>
      <w:r w:rsidRPr="00C764ED">
        <w:br/>
        <w:t>Sei X</w:t>
      </w:r>
      <w:r w:rsidRPr="00C764ED">
        <w:rPr>
          <w:rFonts w:ascii="Cambria Math" w:hAnsi="Cambria Math" w:cs="Cambria Math"/>
        </w:rPr>
        <w:t>⊂</w:t>
      </w:r>
      <w:r w:rsidRPr="00C764ED">
        <w:t>R7X \</w:t>
      </w:r>
      <w:proofErr w:type="spellStart"/>
      <w:r w:rsidRPr="00C764ED">
        <w:t>subset</w:t>
      </w:r>
      <w:proofErr w:type="spellEnd"/>
      <w:r w:rsidRPr="00C764ED">
        <w:t xml:space="preserve"> \</w:t>
      </w:r>
      <w:proofErr w:type="spellStart"/>
      <w:r w:rsidRPr="00C764ED">
        <w:t>mathbb</w:t>
      </w:r>
      <w:proofErr w:type="spellEnd"/>
      <w:r w:rsidRPr="00C764ED">
        <w:t>{R}^7X</w:t>
      </w:r>
      <w:r w:rsidRPr="00C764ED">
        <w:rPr>
          <w:rFonts w:ascii="Cambria Math" w:hAnsi="Cambria Math" w:cs="Cambria Math"/>
        </w:rPr>
        <w:t>⊂</w:t>
      </w:r>
      <w:r w:rsidRPr="00C764ED">
        <w:t>R7 ein vollständiger FRZK-Zustandsraum mit Metrik d(</w:t>
      </w:r>
      <w:proofErr w:type="spellStart"/>
      <w:proofErr w:type="gramStart"/>
      <w:r w:rsidRPr="00C764ED">
        <w:t>x,y</w:t>
      </w:r>
      <w:proofErr w:type="spellEnd"/>
      <w:proofErr w:type="gramEnd"/>
      <w:r w:rsidRPr="00C764ED">
        <w:t>)=</w:t>
      </w:r>
      <w:r w:rsidRPr="00C764ED">
        <w:rPr>
          <w:rFonts w:ascii="Cambria Math" w:hAnsi="Cambria Math" w:cs="Cambria Math"/>
        </w:rPr>
        <w:t>∥</w:t>
      </w:r>
      <w:r w:rsidRPr="00C764ED">
        <w:t>x</w:t>
      </w:r>
      <w:r w:rsidRPr="00C764ED">
        <w:rPr>
          <w:rFonts w:cs="Calibri"/>
        </w:rPr>
        <w:t>−</w:t>
      </w:r>
      <w:r w:rsidRPr="00C764ED">
        <w:t>y</w:t>
      </w:r>
      <w:r w:rsidRPr="00C764ED">
        <w:rPr>
          <w:rFonts w:ascii="Cambria Math" w:hAnsi="Cambria Math" w:cs="Cambria Math"/>
        </w:rPr>
        <w:t>∥</w:t>
      </w:r>
      <w:r w:rsidRPr="00C764ED">
        <w:t>2d(</w:t>
      </w:r>
      <w:proofErr w:type="spellStart"/>
      <w:r w:rsidRPr="00C764ED">
        <w:t>x,y</w:t>
      </w:r>
      <w:proofErr w:type="spellEnd"/>
      <w:r w:rsidRPr="00C764ED">
        <w:t>)=\|x-y\|_2d(</w:t>
      </w:r>
      <w:proofErr w:type="spellStart"/>
      <w:r w:rsidRPr="00C764ED">
        <w:t>x,y</w:t>
      </w:r>
      <w:proofErr w:type="spellEnd"/>
      <w:r w:rsidRPr="00C764ED">
        <w:t>)=</w:t>
      </w:r>
      <w:r w:rsidRPr="00C764ED">
        <w:rPr>
          <w:rFonts w:ascii="Cambria Math" w:hAnsi="Cambria Math" w:cs="Cambria Math"/>
        </w:rPr>
        <w:t>∥</w:t>
      </w:r>
      <w:r w:rsidRPr="00C764ED">
        <w:t>x−y</w:t>
      </w:r>
      <w:r w:rsidRPr="00C764ED">
        <w:rPr>
          <w:rFonts w:ascii="Cambria Math" w:hAnsi="Cambria Math" w:cs="Cambria Math"/>
        </w:rPr>
        <w:t>∥</w:t>
      </w:r>
      <w:r w:rsidRPr="00C764ED">
        <w:t xml:space="preserve">2​. Für jede Lehrkraft </w:t>
      </w:r>
      <w:proofErr w:type="spellStart"/>
      <w:r w:rsidRPr="00C764ED">
        <w:t>lll</w:t>
      </w:r>
      <w:proofErr w:type="spellEnd"/>
      <w:r w:rsidRPr="00C764ED">
        <w:t xml:space="preserve"> sei ein Operator</w:t>
      </w:r>
    </w:p>
    <w:p w14:paraId="2E97FEE6" w14:textId="77777777" w:rsidR="00C764ED" w:rsidRPr="00C764ED" w:rsidRDefault="00C764ED" w:rsidP="00C764ED">
      <w:proofErr w:type="spellStart"/>
      <w:r w:rsidRPr="00C764ED">
        <w:t>Tl:X→XT_</w:t>
      </w:r>
      <w:proofErr w:type="gramStart"/>
      <w:r w:rsidRPr="00C764ED">
        <w:t>l</w:t>
      </w:r>
      <w:proofErr w:type="spellEnd"/>
      <w:r w:rsidRPr="00C764ED">
        <w:t xml:space="preserve"> :</w:t>
      </w:r>
      <w:proofErr w:type="gramEnd"/>
      <w:r w:rsidRPr="00C764ED">
        <w:t xml:space="preserve"> X \</w:t>
      </w:r>
      <w:proofErr w:type="spellStart"/>
      <w:r w:rsidRPr="00C764ED">
        <w:t>to</w:t>
      </w:r>
      <w:proofErr w:type="spellEnd"/>
      <w:r w:rsidRPr="00C764ED">
        <w:t xml:space="preserve"> </w:t>
      </w:r>
      <w:proofErr w:type="spellStart"/>
      <w:r w:rsidRPr="00C764ED">
        <w:t>XTl</w:t>
      </w:r>
      <w:proofErr w:type="spellEnd"/>
      <w:r w:rsidRPr="00C764ED">
        <w:t xml:space="preserve">​:X→X </w:t>
      </w:r>
    </w:p>
    <w:p w14:paraId="181A96A6" w14:textId="77777777" w:rsidR="00C764ED" w:rsidRPr="00C764ED" w:rsidRDefault="00C764ED" w:rsidP="00C764ED">
      <w:r w:rsidRPr="00C764ED">
        <w:t>gegeben, der die Transformation von Teilnehmerzuständen beschreibt. Existiere eine Umgebung B</w:t>
      </w:r>
      <w:r w:rsidRPr="00C764ED">
        <w:rPr>
          <w:rFonts w:ascii="Cambria Math" w:hAnsi="Cambria Math" w:cs="Cambria Math"/>
        </w:rPr>
        <w:t>⊂</w:t>
      </w:r>
      <w:r w:rsidRPr="00C764ED">
        <w:t>XB \</w:t>
      </w:r>
      <w:proofErr w:type="spellStart"/>
      <w:r w:rsidRPr="00C764ED">
        <w:t>subset</w:t>
      </w:r>
      <w:proofErr w:type="spellEnd"/>
      <w:r w:rsidRPr="00C764ED">
        <w:t xml:space="preserve"> XB</w:t>
      </w:r>
      <w:r w:rsidRPr="00C764ED">
        <w:rPr>
          <w:rFonts w:ascii="Cambria Math" w:hAnsi="Cambria Math" w:cs="Cambria Math"/>
        </w:rPr>
        <w:t>⊂</w:t>
      </w:r>
      <w:r w:rsidRPr="00C764ED">
        <w:t>X, so dass</w:t>
      </w:r>
    </w:p>
    <w:p w14:paraId="4F1210A8" w14:textId="77777777" w:rsidR="00C764ED" w:rsidRPr="00C764ED" w:rsidRDefault="00C764ED" w:rsidP="00C764ED">
      <w:r w:rsidRPr="00C764ED">
        <w:t>T1(B)</w:t>
      </w:r>
      <w:r w:rsidRPr="00C764ED">
        <w:rPr>
          <w:rFonts w:ascii="Cambria Math" w:hAnsi="Cambria Math" w:cs="Cambria Math"/>
        </w:rPr>
        <w:t>⊂</w:t>
      </w:r>
      <w:r w:rsidRPr="00C764ED">
        <w:t>BT_1(B) \</w:t>
      </w:r>
      <w:proofErr w:type="spellStart"/>
      <w:r w:rsidRPr="00C764ED">
        <w:t>subset</w:t>
      </w:r>
      <w:proofErr w:type="spellEnd"/>
      <w:r w:rsidRPr="00C764ED">
        <w:t xml:space="preserve"> BT1​(B)</w:t>
      </w:r>
      <w:r w:rsidRPr="00C764ED">
        <w:rPr>
          <w:rFonts w:ascii="Cambria Math" w:hAnsi="Cambria Math" w:cs="Cambria Math"/>
        </w:rPr>
        <w:t>⊂</w:t>
      </w:r>
      <w:r w:rsidRPr="00C764ED">
        <w:t xml:space="preserve">B </w:t>
      </w:r>
    </w:p>
    <w:p w14:paraId="0315D946" w14:textId="77777777" w:rsidR="00C764ED" w:rsidRPr="00C764ED" w:rsidRDefault="00C764ED" w:rsidP="00C764ED">
      <w:r w:rsidRPr="00C764ED">
        <w:t>und T1T_1T1​ eine Kontraktion ist:</w:t>
      </w:r>
    </w:p>
    <w:p w14:paraId="783CF68B" w14:textId="77777777" w:rsidR="00C764ED" w:rsidRPr="00C764ED" w:rsidRDefault="00C764ED" w:rsidP="00C764ED">
      <w:r w:rsidRPr="00C764ED">
        <w:t>d(T1(x</w:t>
      </w:r>
      <w:proofErr w:type="gramStart"/>
      <w:r w:rsidRPr="00C764ED">
        <w:t>),T</w:t>
      </w:r>
      <w:proofErr w:type="gramEnd"/>
      <w:r w:rsidRPr="00C764ED">
        <w:t>1(y))≤q d(</w:t>
      </w:r>
      <w:proofErr w:type="spellStart"/>
      <w:r w:rsidRPr="00C764ED">
        <w:t>x,y</w:t>
      </w:r>
      <w:proofErr w:type="spellEnd"/>
      <w:r w:rsidRPr="00C764ED">
        <w:t>),q&lt;1.d(T_1(x),T_1(y)) \le q\, d(</w:t>
      </w:r>
      <w:proofErr w:type="spellStart"/>
      <w:r w:rsidRPr="00C764ED">
        <w:t>x,y</w:t>
      </w:r>
      <w:proofErr w:type="spellEnd"/>
      <w:r w:rsidRPr="00C764ED">
        <w:t>), \</w:t>
      </w:r>
      <w:proofErr w:type="spellStart"/>
      <w:r w:rsidRPr="00C764ED">
        <w:t>quad</w:t>
      </w:r>
      <w:proofErr w:type="spellEnd"/>
      <w:r w:rsidRPr="00C764ED">
        <w:t xml:space="preserve"> q&lt;1.d(T1​(x),T1​(y))≤</w:t>
      </w:r>
      <w:proofErr w:type="spellStart"/>
      <w:r w:rsidRPr="00C764ED">
        <w:t>qd</w:t>
      </w:r>
      <w:proofErr w:type="spellEnd"/>
      <w:r w:rsidRPr="00C764ED">
        <w:t>(</w:t>
      </w:r>
      <w:proofErr w:type="spellStart"/>
      <w:r w:rsidRPr="00C764ED">
        <w:t>x,y</w:t>
      </w:r>
      <w:proofErr w:type="spellEnd"/>
      <w:r w:rsidRPr="00C764ED">
        <w:t xml:space="preserve">),q&lt;1. </w:t>
      </w:r>
    </w:p>
    <w:p w14:paraId="55CB2177" w14:textId="77777777" w:rsidR="00C764ED" w:rsidRPr="00C764ED" w:rsidRDefault="00C764ED" w:rsidP="00C764ED">
      <w:r w:rsidRPr="00C764ED">
        <w:t xml:space="preserve">Dann besitzt T1T_1T1​ einen eindeutigen Fixpunkt </w:t>
      </w:r>
      <w:proofErr w:type="spellStart"/>
      <w:r w:rsidRPr="00C764ED">
        <w:t>x</w:t>
      </w:r>
      <w:r w:rsidRPr="00C764ED">
        <w:rPr>
          <w:rFonts w:ascii="Cambria Math" w:hAnsi="Cambria Math" w:cs="Cambria Math"/>
        </w:rPr>
        <w:t>∗</w:t>
      </w:r>
      <w:r w:rsidRPr="00C764ED">
        <w:t>x</w:t>
      </w:r>
      <w:proofErr w:type="spellEnd"/>
      <w:r w:rsidRPr="00C764ED">
        <w:t>^\</w:t>
      </w:r>
      <w:proofErr w:type="spellStart"/>
      <w:r w:rsidRPr="00C764ED">
        <w:t>astx</w:t>
      </w:r>
      <w:proofErr w:type="spellEnd"/>
      <w:r w:rsidRPr="00C764ED">
        <w:rPr>
          <w:rFonts w:ascii="Cambria Math" w:hAnsi="Cambria Math" w:cs="Cambria Math"/>
        </w:rPr>
        <w:t>∗</w:t>
      </w:r>
      <w:r w:rsidRPr="00C764ED">
        <w:t>, und jede Iteration</w:t>
      </w:r>
    </w:p>
    <w:p w14:paraId="6CCFC372" w14:textId="77777777" w:rsidR="00C764ED" w:rsidRPr="00C764ED" w:rsidRDefault="00C764ED" w:rsidP="00C764ED">
      <w:r w:rsidRPr="00C764ED">
        <w:t>xn+1=T1(</w:t>
      </w:r>
      <w:proofErr w:type="spellStart"/>
      <w:r w:rsidRPr="00C764ED">
        <w:t>xn</w:t>
      </w:r>
      <w:proofErr w:type="spellEnd"/>
      <w:r w:rsidRPr="00C764ED">
        <w:t>)x_{n+1} = T_1(</w:t>
      </w:r>
      <w:proofErr w:type="spellStart"/>
      <w:r w:rsidRPr="00C764ED">
        <w:t>x_</w:t>
      </w:r>
      <w:proofErr w:type="gramStart"/>
      <w:r w:rsidRPr="00C764ED">
        <w:t>n</w:t>
      </w:r>
      <w:proofErr w:type="spellEnd"/>
      <w:r w:rsidRPr="00C764ED">
        <w:t>)xn</w:t>
      </w:r>
      <w:proofErr w:type="gramEnd"/>
      <w:r w:rsidRPr="00C764ED">
        <w:t>+1​=T1​(</w:t>
      </w:r>
      <w:proofErr w:type="spellStart"/>
      <w:r w:rsidRPr="00C764ED">
        <w:t>xn</w:t>
      </w:r>
      <w:proofErr w:type="spellEnd"/>
      <w:r w:rsidRPr="00C764ED">
        <w:t xml:space="preserve">​) </w:t>
      </w:r>
    </w:p>
    <w:p w14:paraId="7989D7DC" w14:textId="77777777" w:rsidR="00C764ED" w:rsidRPr="00C764ED" w:rsidRDefault="00C764ED" w:rsidP="00C764ED">
      <w:r w:rsidRPr="00C764ED">
        <w:t xml:space="preserve">konvergiert gegen </w:t>
      </w:r>
      <w:proofErr w:type="spellStart"/>
      <w:r w:rsidRPr="00C764ED">
        <w:t>x</w:t>
      </w:r>
      <w:r w:rsidRPr="00C764ED">
        <w:rPr>
          <w:rFonts w:ascii="Cambria Math" w:hAnsi="Cambria Math" w:cs="Cambria Math"/>
        </w:rPr>
        <w:t>∗</w:t>
      </w:r>
      <w:r w:rsidRPr="00C764ED">
        <w:t>x</w:t>
      </w:r>
      <w:proofErr w:type="spellEnd"/>
      <w:r w:rsidRPr="00C764ED">
        <w:t>^\</w:t>
      </w:r>
      <w:proofErr w:type="spellStart"/>
      <w:r w:rsidRPr="00C764ED">
        <w:t>astx</w:t>
      </w:r>
      <w:proofErr w:type="spellEnd"/>
      <w:r w:rsidRPr="00C764ED">
        <w:rPr>
          <w:rFonts w:ascii="Cambria Math" w:hAnsi="Cambria Math" w:cs="Cambria Math"/>
        </w:rPr>
        <w:t>∗</w:t>
      </w:r>
      <w:r w:rsidRPr="00C764ED">
        <w:t>.</w:t>
      </w:r>
    </w:p>
    <w:p w14:paraId="382AFF0B" w14:textId="77777777" w:rsidR="00C764ED" w:rsidRPr="00C764ED" w:rsidRDefault="00C764ED" w:rsidP="00C764ED">
      <w:r w:rsidRPr="00C764ED">
        <w:t xml:space="preserve">Dieser Teil folgt unmittelbar aus dem </w:t>
      </w:r>
      <w:proofErr w:type="spellStart"/>
      <w:r w:rsidRPr="00C764ED">
        <w:t>Banachschen</w:t>
      </w:r>
      <w:proofErr w:type="spellEnd"/>
      <w:r w:rsidRPr="00C764ED">
        <w:t xml:space="preserve"> Fixpunktsatz, der garantiert, dass Kontraktionen auf vollständigen metrischen Räumen eindeutige Fixpunkte besitzen (Banach Fixed Point </w:t>
      </w:r>
      <w:proofErr w:type="gramStart"/>
      <w:r w:rsidRPr="00C764ED">
        <w:t>Theorem)[</w:t>
      </w:r>
      <w:proofErr w:type="gramEnd"/>
      <w:r w:rsidRPr="00C764ED">
        <w:t>9].</w:t>
      </w:r>
    </w:p>
    <w:p w14:paraId="64872707" w14:textId="77777777" w:rsidR="00C764ED" w:rsidRPr="00C764ED" w:rsidRDefault="00C764ED" w:rsidP="00C764ED">
      <w:r w:rsidRPr="00C764ED">
        <w:t>Definiert man zusätzlich eine Präferenzfunktion</w:t>
      </w:r>
    </w:p>
    <w:p w14:paraId="2FF1362C" w14:textId="77777777" w:rsidR="00C764ED" w:rsidRPr="00C764ED" w:rsidRDefault="00C764ED" w:rsidP="00C764ED">
      <w:r w:rsidRPr="00C764ED">
        <w:t>Ul=</w:t>
      </w:r>
      <w:proofErr w:type="spellStart"/>
      <w:r w:rsidRPr="00C764ED">
        <w:t>aCl+bρMot,Reg</w:t>
      </w:r>
      <w:proofErr w:type="spellEnd"/>
      <w:r w:rsidRPr="00C764ED">
        <w:t>(l)+</w:t>
      </w:r>
      <w:proofErr w:type="spellStart"/>
      <w:r w:rsidRPr="00C764ED">
        <w:t>cρKog,Meth</w:t>
      </w:r>
      <w:proofErr w:type="spellEnd"/>
      <w:r w:rsidRPr="00C764ED">
        <w:t>(l)−</w:t>
      </w:r>
      <w:proofErr w:type="spellStart"/>
      <w:r w:rsidRPr="00C764ED">
        <w:t>dσˉl,a,b,c,d</w:t>
      </w:r>
      <w:proofErr w:type="spellEnd"/>
      <w:r w:rsidRPr="00C764ED">
        <w:t xml:space="preserve">&gt;0,U_l = </w:t>
      </w:r>
      <w:proofErr w:type="spellStart"/>
      <w:r w:rsidRPr="00C764ED">
        <w:t>aC_l</w:t>
      </w:r>
      <w:proofErr w:type="spellEnd"/>
      <w:r w:rsidRPr="00C764ED">
        <w:t xml:space="preserve"> + b\</w:t>
      </w:r>
      <w:proofErr w:type="spellStart"/>
      <w:r w:rsidRPr="00C764ED">
        <w:t>rho</w:t>
      </w:r>
      <w:proofErr w:type="spellEnd"/>
      <w:r w:rsidRPr="00C764ED">
        <w:t>_{\</w:t>
      </w:r>
      <w:proofErr w:type="spellStart"/>
      <w:r w:rsidRPr="00C764ED">
        <w:t>text</w:t>
      </w:r>
      <w:proofErr w:type="spellEnd"/>
      <w:r w:rsidRPr="00C764ED">
        <w:t>{</w:t>
      </w:r>
      <w:proofErr w:type="spellStart"/>
      <w:r w:rsidRPr="00C764ED">
        <w:t>Mot,Reg</w:t>
      </w:r>
      <w:proofErr w:type="spellEnd"/>
      <w:r w:rsidRPr="00C764ED">
        <w:t>}}^{(l)} + c\</w:t>
      </w:r>
      <w:proofErr w:type="spellStart"/>
      <w:r w:rsidRPr="00C764ED">
        <w:t>rho</w:t>
      </w:r>
      <w:proofErr w:type="spellEnd"/>
      <w:r w:rsidRPr="00C764ED">
        <w:t>_{\</w:t>
      </w:r>
      <w:proofErr w:type="spellStart"/>
      <w:r w:rsidRPr="00C764ED">
        <w:t>text</w:t>
      </w:r>
      <w:proofErr w:type="spellEnd"/>
      <w:r w:rsidRPr="00C764ED">
        <w:t>{</w:t>
      </w:r>
      <w:proofErr w:type="spellStart"/>
      <w:r w:rsidRPr="00C764ED">
        <w:t>Kog,Meth</w:t>
      </w:r>
      <w:proofErr w:type="spellEnd"/>
      <w:r w:rsidRPr="00C764ED">
        <w:t>}}^{(l)} - d\bar{\</w:t>
      </w:r>
      <w:proofErr w:type="spellStart"/>
      <w:r w:rsidRPr="00C764ED">
        <w:t>sigma</w:t>
      </w:r>
      <w:proofErr w:type="spellEnd"/>
      <w:r w:rsidRPr="00C764ED">
        <w:t>}_l, \</w:t>
      </w:r>
      <w:proofErr w:type="spellStart"/>
      <w:r w:rsidRPr="00C764ED">
        <w:t>quad</w:t>
      </w:r>
      <w:proofErr w:type="spellEnd"/>
      <w:r w:rsidRPr="00C764ED">
        <w:t xml:space="preserve"> </w:t>
      </w:r>
      <w:proofErr w:type="spellStart"/>
      <w:r w:rsidRPr="00C764ED">
        <w:t>a,b,c,d</w:t>
      </w:r>
      <w:proofErr w:type="spellEnd"/>
      <w:r w:rsidRPr="00C764ED">
        <w:t>&gt;0,Ul​=</w:t>
      </w:r>
      <w:proofErr w:type="spellStart"/>
      <w:r w:rsidRPr="00C764ED">
        <w:t>aCl</w:t>
      </w:r>
      <w:proofErr w:type="spellEnd"/>
      <w:r w:rsidRPr="00C764ED">
        <w:t>​+</w:t>
      </w:r>
      <w:proofErr w:type="spellStart"/>
      <w:r w:rsidRPr="00C764ED">
        <w:t>bρMot,Reg</w:t>
      </w:r>
      <w:proofErr w:type="spellEnd"/>
      <w:r w:rsidRPr="00C764ED">
        <w:t>(l)​+</w:t>
      </w:r>
      <w:proofErr w:type="spellStart"/>
      <w:r w:rsidRPr="00C764ED">
        <w:t>cρKog,Meth</w:t>
      </w:r>
      <w:proofErr w:type="spellEnd"/>
      <w:r w:rsidRPr="00C764ED">
        <w:t>(l)​−</w:t>
      </w:r>
      <w:proofErr w:type="spellStart"/>
      <w:r w:rsidRPr="00C764ED">
        <w:t>dσˉl</w:t>
      </w:r>
      <w:proofErr w:type="spellEnd"/>
      <w:r w:rsidRPr="00C764ED">
        <w:t>​,</w:t>
      </w:r>
      <w:proofErr w:type="spellStart"/>
      <w:r w:rsidRPr="00C764ED">
        <w:t>a,b,c,d</w:t>
      </w:r>
      <w:proofErr w:type="spellEnd"/>
      <w:r w:rsidRPr="00C764ED">
        <w:t xml:space="preserve">&gt;0, </w:t>
      </w:r>
    </w:p>
    <w:p w14:paraId="53B80EC6" w14:textId="77777777" w:rsidR="00C764ED" w:rsidRPr="00C764ED" w:rsidRDefault="00C764ED" w:rsidP="00C764ED">
      <w:r w:rsidRPr="00C764ED">
        <w:t>so folgt aus den empirischen Daten:</w:t>
      </w:r>
    </w:p>
    <w:p w14:paraId="571BA522" w14:textId="77777777" w:rsidR="00C764ED" w:rsidRPr="00C764ED" w:rsidRDefault="00C764ED" w:rsidP="00C764ED">
      <w:r w:rsidRPr="00C764ED">
        <w:t>U1&gt;U¬1.U_1 &gt; U</w:t>
      </w:r>
      <w:proofErr w:type="gramStart"/>
      <w:r w:rsidRPr="00C764ED">
        <w:t>_{</w:t>
      </w:r>
      <w:proofErr w:type="gramEnd"/>
      <w:r w:rsidRPr="00C764ED">
        <w:t>\</w:t>
      </w:r>
      <w:proofErr w:type="spellStart"/>
      <w:r w:rsidRPr="00C764ED">
        <w:t>neg</w:t>
      </w:r>
      <w:proofErr w:type="spellEnd"/>
      <w:r w:rsidRPr="00C764ED">
        <w:t xml:space="preserve"> 1}.U1​&gt;U¬1​. </w:t>
      </w:r>
    </w:p>
    <w:p w14:paraId="5A9AF612" w14:textId="77777777" w:rsidR="00C764ED" w:rsidRPr="00C764ED" w:rsidRDefault="00C764ED" w:rsidP="00C764ED">
      <w:r w:rsidRPr="00C764ED">
        <w:t xml:space="preserve">Da Entscheidungsprozesse als monotone Funktionen solcher Nutzenstrukturen modelliert werden können (Gerd Gigerenzer, </w:t>
      </w:r>
      <w:proofErr w:type="gramStart"/>
      <w:r w:rsidRPr="00C764ED">
        <w:t>2008)[</w:t>
      </w:r>
      <w:proofErr w:type="gramEnd"/>
      <w:r w:rsidRPr="00C764ED">
        <w:t>10], ergibt sich für die Wechselwahrscheinlichkeit:</w:t>
      </w:r>
    </w:p>
    <w:p w14:paraId="05DEFFE3" w14:textId="77777777" w:rsidR="00C764ED" w:rsidRPr="00C764ED" w:rsidRDefault="00C764ED" w:rsidP="00C764ED">
      <w:r w:rsidRPr="00C764ED">
        <w:t>P1=11+e−U1&gt;P¬1.P_1 = \</w:t>
      </w:r>
      <w:proofErr w:type="spellStart"/>
      <w:r w:rsidRPr="00C764ED">
        <w:t>frac</w:t>
      </w:r>
      <w:proofErr w:type="spellEnd"/>
      <w:r w:rsidRPr="00C764ED">
        <w:t>{</w:t>
      </w:r>
      <w:proofErr w:type="gramStart"/>
      <w:r w:rsidRPr="00C764ED">
        <w:t>1}{</w:t>
      </w:r>
      <w:proofErr w:type="gramEnd"/>
      <w:r w:rsidRPr="00C764ED">
        <w:t>1+e^{-U_1}} &gt; P_{\</w:t>
      </w:r>
      <w:proofErr w:type="spellStart"/>
      <w:r w:rsidRPr="00C764ED">
        <w:t>neg</w:t>
      </w:r>
      <w:proofErr w:type="spellEnd"/>
      <w:r w:rsidRPr="00C764ED">
        <w:t xml:space="preserve"> 1}.P1​=1+e−U1​1​&gt;P¬1​. </w:t>
      </w:r>
    </w:p>
    <w:p w14:paraId="570B57CB" w14:textId="77777777" w:rsidR="00C764ED" w:rsidRPr="00C764ED" w:rsidRDefault="00C764ED" w:rsidP="00C764ED">
      <w:r w:rsidRPr="00C764ED">
        <w:t xml:space="preserve">Damit ist gezeigt, dass Lehrkraft 1 im FRZK-Zustandsraum einen </w:t>
      </w:r>
      <w:r w:rsidRPr="00C764ED">
        <w:rPr>
          <w:b/>
          <w:bCs/>
        </w:rPr>
        <w:t>Attraktor für Präferenzbildung</w:t>
      </w:r>
      <w:r w:rsidRPr="00C764ED">
        <w:t xml:space="preserve"> darstellt.</w:t>
      </w:r>
    </w:p>
    <w:p w14:paraId="6933E6A7" w14:textId="77777777" w:rsidR="00C764ED" w:rsidRPr="00C764ED" w:rsidRDefault="00C764ED" w:rsidP="00C764ED">
      <w:r w:rsidRPr="00C764ED">
        <w:pict w14:anchorId="7F41B796">
          <v:rect id="_x0000_i1044" style="width:0;height:1.5pt" o:hralign="center" o:hrstd="t" o:hr="t" fillcolor="#a0a0a0" stroked="f"/>
        </w:pict>
      </w:r>
    </w:p>
    <w:p w14:paraId="072481B1" w14:textId="77777777" w:rsidR="00C764ED" w:rsidRPr="00C764ED" w:rsidRDefault="00C764ED" w:rsidP="00C764ED">
      <w:pPr>
        <w:rPr>
          <w:b/>
          <w:bCs/>
        </w:rPr>
      </w:pPr>
      <w:r w:rsidRPr="00C764ED">
        <w:rPr>
          <w:b/>
          <w:bCs/>
        </w:rPr>
        <w:t>6.x.8.2 Schlussfolgerung</w:t>
      </w:r>
    </w:p>
    <w:p w14:paraId="1E9021CB" w14:textId="77777777" w:rsidR="00C764ED" w:rsidRPr="00C764ED" w:rsidRDefault="00C764ED" w:rsidP="00C764ED">
      <w:r w:rsidRPr="00C764ED">
        <w:t>Die Präferenz von Teilnehmenden, nach einer Vertretung dauerhaft zu Lehrkraft 1 zu wechseln, ist keine subjektive Verzerrung und auch kein Effekt höherer Einzelbewertungen. Sie ist die direkte Konsequenz eines strukturell kohärenteren Zustandsraums, in dem Motivation, Selbstregulation, Kognition und Methodik enger gekoppelt sind und affektive Störungen stärker reguliert werden.</w:t>
      </w:r>
    </w:p>
    <w:p w14:paraId="1A6D2EF5" w14:textId="77777777" w:rsidR="00C764ED" w:rsidRPr="00C764ED" w:rsidRDefault="00C764ED" w:rsidP="00C764ED">
      <w:r w:rsidRPr="00C764ED">
        <w:t>Formal bedeutet dies:</w:t>
      </w:r>
    </w:p>
    <w:p w14:paraId="69AF280C" w14:textId="77777777" w:rsidR="00C764ED" w:rsidRPr="00C764ED" w:rsidRDefault="00C764ED" w:rsidP="00C764ED">
      <w:r w:rsidRPr="00C764ED">
        <w:lastRenderedPageBreak/>
        <w:t>Lehrkraft 1</w:t>
      </w:r>
      <w:r w:rsidRPr="00C764ED">
        <w:rPr>
          <w:rFonts w:ascii="Cambria Math" w:hAnsi="Cambria Math" w:cs="Cambria Math"/>
        </w:rPr>
        <w:t>⇒</w:t>
      </w:r>
      <w:r w:rsidRPr="00C764ED">
        <w:t>Attraktor</w:t>
      </w:r>
      <w:r w:rsidRPr="00C764ED">
        <w:rPr>
          <w:rFonts w:cs="Calibri"/>
        </w:rPr>
        <w:t> </w:t>
      </w:r>
      <w:r w:rsidRPr="00C764ED">
        <w:t>im</w:t>
      </w:r>
      <w:r w:rsidRPr="00C764ED">
        <w:rPr>
          <w:rFonts w:cs="Calibri"/>
        </w:rPr>
        <w:t> </w:t>
      </w:r>
      <w:r w:rsidRPr="00C764ED">
        <w:t>FRZK-Zustandsraum.\</w:t>
      </w:r>
      <w:proofErr w:type="spellStart"/>
      <w:proofErr w:type="gramStart"/>
      <w:r w:rsidRPr="00C764ED">
        <w:t>text</w:t>
      </w:r>
      <w:proofErr w:type="spellEnd"/>
      <w:r w:rsidRPr="00C764ED">
        <w:t>{</w:t>
      </w:r>
      <w:proofErr w:type="gramEnd"/>
      <w:r w:rsidRPr="00C764ED">
        <w:t>Lehrkraft 1} \</w:t>
      </w:r>
      <w:proofErr w:type="spellStart"/>
      <w:r w:rsidRPr="00C764ED">
        <w:t>Rightarrow</w:t>
      </w:r>
      <w:proofErr w:type="spellEnd"/>
      <w:r w:rsidRPr="00C764ED">
        <w:t xml:space="preserve"> \</w:t>
      </w:r>
      <w:proofErr w:type="spellStart"/>
      <w:r w:rsidRPr="00C764ED">
        <w:t>text</w:t>
      </w:r>
      <w:proofErr w:type="spellEnd"/>
      <w:r w:rsidRPr="00C764ED">
        <w:t>{Attraktor im FRZK-Zustandsraum}.Lehrkraft 1</w:t>
      </w:r>
      <w:r w:rsidRPr="00C764ED">
        <w:rPr>
          <w:rFonts w:ascii="Cambria Math" w:hAnsi="Cambria Math" w:cs="Cambria Math"/>
        </w:rPr>
        <w:t>⇒</w:t>
      </w:r>
      <w:r w:rsidRPr="00C764ED">
        <w:t xml:space="preserve">Attraktor im FRZK-Zustandsraum. </w:t>
      </w:r>
    </w:p>
    <w:p w14:paraId="7FA0334A" w14:textId="77777777" w:rsidR="00C764ED" w:rsidRPr="00C764ED" w:rsidRDefault="00C764ED" w:rsidP="00C764ED">
      <w:r w:rsidRPr="00C764ED">
        <w:t xml:space="preserve">Damit wird Präferenzbildung im FRZK nicht als psychologisches Nebenphänomen, sondern als </w:t>
      </w:r>
      <w:r w:rsidRPr="00C764ED">
        <w:rPr>
          <w:b/>
          <w:bCs/>
        </w:rPr>
        <w:t>notwendige Folge der Systemdynamik</w:t>
      </w:r>
      <w:r w:rsidRPr="00C764ED">
        <w:t xml:space="preserve"> verstanden.</w:t>
      </w:r>
    </w:p>
    <w:p w14:paraId="3FDCA368" w14:textId="77777777" w:rsidR="00C764ED" w:rsidRPr="00C764ED" w:rsidRDefault="00C764ED" w:rsidP="00C764ED">
      <w:r w:rsidRPr="00C764ED">
        <w:pict w14:anchorId="172CE669">
          <v:rect id="_x0000_i1045" style="width:0;height:1.5pt" o:hralign="center" o:hrstd="t" o:hr="t" fillcolor="#a0a0a0" stroked="f"/>
        </w:pict>
      </w:r>
    </w:p>
    <w:p w14:paraId="0E759AA3" w14:textId="77777777" w:rsidR="00C764ED" w:rsidRPr="00C764ED" w:rsidRDefault="00C764ED" w:rsidP="00C764ED">
      <w:pPr>
        <w:rPr>
          <w:b/>
          <w:bCs/>
        </w:rPr>
      </w:pPr>
      <w:r w:rsidRPr="00C764ED">
        <w:rPr>
          <w:b/>
          <w:bCs/>
        </w:rPr>
        <w:t>Quellen</w:t>
      </w:r>
    </w:p>
    <w:p w14:paraId="50BA0820" w14:textId="77777777" w:rsidR="00C764ED" w:rsidRPr="00C764ED" w:rsidRDefault="00C764ED" w:rsidP="00C764ED">
      <w:r w:rsidRPr="00C764ED">
        <w:t xml:space="preserve">[1] Haken, H. (1983). </w:t>
      </w:r>
      <w:proofErr w:type="spellStart"/>
      <w:r w:rsidRPr="00C764ED">
        <w:rPr>
          <w:i/>
          <w:iCs/>
        </w:rPr>
        <w:t>Synergetics</w:t>
      </w:r>
      <w:proofErr w:type="spellEnd"/>
      <w:r w:rsidRPr="00C764ED">
        <w:t>.</w:t>
      </w:r>
      <w:r w:rsidRPr="00C764ED">
        <w:br/>
        <w:t xml:space="preserve">[2] Kelso, J. A. S. (1995). </w:t>
      </w:r>
      <w:r w:rsidRPr="00C764ED">
        <w:rPr>
          <w:i/>
          <w:iCs/>
        </w:rPr>
        <w:t>Dynamic Patterns</w:t>
      </w:r>
      <w:r w:rsidRPr="00C764ED">
        <w:t>.</w:t>
      </w:r>
      <w:r w:rsidRPr="00C764ED">
        <w:br/>
        <w:t xml:space="preserve">[3] </w:t>
      </w:r>
      <w:proofErr w:type="spellStart"/>
      <w:r w:rsidRPr="00C764ED">
        <w:t>Strogatz</w:t>
      </w:r>
      <w:proofErr w:type="spellEnd"/>
      <w:r w:rsidRPr="00C764ED">
        <w:t xml:space="preserve">, S. H. (2015). </w:t>
      </w:r>
      <w:proofErr w:type="spellStart"/>
      <w:r w:rsidRPr="00C764ED">
        <w:rPr>
          <w:i/>
          <w:iCs/>
        </w:rPr>
        <w:t>Nonlinear</w:t>
      </w:r>
      <w:proofErr w:type="spellEnd"/>
      <w:r w:rsidRPr="00C764ED">
        <w:rPr>
          <w:i/>
          <w:iCs/>
        </w:rPr>
        <w:t xml:space="preserve"> Dynamics and Chaos</w:t>
      </w:r>
      <w:r w:rsidRPr="00C764ED">
        <w:t>.</w:t>
      </w:r>
      <w:r w:rsidRPr="00C764ED">
        <w:br/>
        <w:t xml:space="preserve">[4] Deci, E. L., &amp; Ryan, R. M. (1985). </w:t>
      </w:r>
      <w:r w:rsidRPr="00C764ED">
        <w:rPr>
          <w:i/>
          <w:iCs/>
        </w:rPr>
        <w:t>Self-Determination Theory</w:t>
      </w:r>
      <w:r w:rsidRPr="00C764ED">
        <w:t>.</w:t>
      </w:r>
      <w:r w:rsidRPr="00C764ED">
        <w:br/>
        <w:t xml:space="preserve">[5] Bandura, A. (1997). </w:t>
      </w:r>
      <w:r w:rsidRPr="00C764ED">
        <w:rPr>
          <w:i/>
          <w:iCs/>
        </w:rPr>
        <w:t>Self-</w:t>
      </w:r>
      <w:proofErr w:type="spellStart"/>
      <w:r w:rsidRPr="00C764ED">
        <w:rPr>
          <w:i/>
          <w:iCs/>
        </w:rPr>
        <w:t>Efficacy</w:t>
      </w:r>
      <w:proofErr w:type="spellEnd"/>
      <w:r w:rsidRPr="00C764ED">
        <w:t>.</w:t>
      </w:r>
      <w:r w:rsidRPr="00C764ED">
        <w:br/>
        <w:t xml:space="preserve">[6] Zimmerman, B. J. (2002). </w:t>
      </w:r>
      <w:r w:rsidRPr="00C764ED">
        <w:rPr>
          <w:i/>
          <w:iCs/>
        </w:rPr>
        <w:t>Self-</w:t>
      </w:r>
      <w:proofErr w:type="spellStart"/>
      <w:r w:rsidRPr="00C764ED">
        <w:rPr>
          <w:i/>
          <w:iCs/>
        </w:rPr>
        <w:t>Regulated</w:t>
      </w:r>
      <w:proofErr w:type="spellEnd"/>
      <w:r w:rsidRPr="00C764ED">
        <w:rPr>
          <w:i/>
          <w:iCs/>
        </w:rPr>
        <w:t xml:space="preserve"> Learning</w:t>
      </w:r>
      <w:r w:rsidRPr="00C764ED">
        <w:t>.</w:t>
      </w:r>
      <w:r w:rsidRPr="00C764ED">
        <w:br/>
        <w:t xml:space="preserve">[7] Pekrun, R. (2006). </w:t>
      </w:r>
      <w:r w:rsidRPr="00C764ED">
        <w:rPr>
          <w:i/>
          <w:iCs/>
        </w:rPr>
        <w:t>Control-Value Theory</w:t>
      </w:r>
      <w:r w:rsidRPr="00C764ED">
        <w:t>.</w:t>
      </w:r>
      <w:r w:rsidRPr="00C764ED">
        <w:br/>
        <w:t>[8] Yorke, J. (1975). Chaos Theory.</w:t>
      </w:r>
      <w:r w:rsidRPr="00C764ED">
        <w:br/>
        <w:t>[9] Banach Fixed Point Theorem.</w:t>
      </w:r>
      <w:r w:rsidRPr="00C764ED">
        <w:br/>
        <w:t xml:space="preserve">[10] Gigerenzer, G. (2008). </w:t>
      </w:r>
      <w:proofErr w:type="spellStart"/>
      <w:r w:rsidRPr="00C764ED">
        <w:rPr>
          <w:i/>
          <w:iCs/>
        </w:rPr>
        <w:t>Rationality</w:t>
      </w:r>
      <w:proofErr w:type="spellEnd"/>
      <w:r w:rsidRPr="00C764ED">
        <w:rPr>
          <w:i/>
          <w:iCs/>
        </w:rPr>
        <w:t xml:space="preserve"> </w:t>
      </w:r>
      <w:proofErr w:type="spellStart"/>
      <w:r w:rsidRPr="00C764ED">
        <w:rPr>
          <w:i/>
          <w:iCs/>
        </w:rPr>
        <w:t>for</w:t>
      </w:r>
      <w:proofErr w:type="spellEnd"/>
      <w:r w:rsidRPr="00C764ED">
        <w:rPr>
          <w:i/>
          <w:iCs/>
        </w:rPr>
        <w:t xml:space="preserve"> </w:t>
      </w:r>
      <w:proofErr w:type="spellStart"/>
      <w:r w:rsidRPr="00C764ED">
        <w:rPr>
          <w:i/>
          <w:iCs/>
        </w:rPr>
        <w:t>Mortals</w:t>
      </w:r>
      <w:proofErr w:type="spellEnd"/>
      <w:r w:rsidRPr="00C764ED">
        <w:t>.</w:t>
      </w:r>
    </w:p>
    <w:p w14:paraId="631125BC"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72205ED"/>
    <w:multiLevelType w:val="multilevel"/>
    <w:tmpl w:val="01BE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436346">
    <w:abstractNumId w:val="0"/>
  </w:num>
  <w:num w:numId="2" w16cid:durableId="341473509">
    <w:abstractNumId w:val="1"/>
  </w:num>
  <w:num w:numId="3" w16cid:durableId="723870132">
    <w:abstractNumId w:val="3"/>
  </w:num>
  <w:num w:numId="4" w16cid:durableId="122617910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ED"/>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764ED"/>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C845C"/>
  <w15:chartTrackingRefBased/>
  <w15:docId w15:val="{E7659A68-1019-4645-8AAE-B54FDB0A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15583208">
      <w:bodyDiv w:val="1"/>
      <w:marLeft w:val="0"/>
      <w:marRight w:val="0"/>
      <w:marTop w:val="0"/>
      <w:marBottom w:val="0"/>
      <w:divBdr>
        <w:top w:val="none" w:sz="0" w:space="0" w:color="auto"/>
        <w:left w:val="none" w:sz="0" w:space="0" w:color="auto"/>
        <w:bottom w:val="none" w:sz="0" w:space="0" w:color="auto"/>
        <w:right w:val="none" w:sz="0" w:space="0" w:color="auto"/>
      </w:divBdr>
    </w:div>
    <w:div w:id="153924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1191</Words>
  <Characters>7510</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2026-04-15T03:31:00Z</dcterms:created>
  <dcterms:modified xsi:type="dcterms:W3CDTF">2026-04-15T03:32:00Z</dcterms:modified>
</cp:coreProperties>
</file>