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CD8FA" w14:textId="77777777" w:rsidR="000528F4" w:rsidRPr="000528F4" w:rsidRDefault="000528F4" w:rsidP="000528F4">
      <w:pPr>
        <w:rPr>
          <w:b/>
          <w:bCs/>
        </w:rPr>
      </w:pPr>
      <w:r w:rsidRPr="000528F4">
        <w:rPr>
          <w:b/>
          <w:bCs/>
        </w:rPr>
        <w:t>Kapitel 6: Anwendung des FRZK in der Praxis – Data Mining, Mustererkennung und didaktische Nutzung</w:t>
      </w:r>
    </w:p>
    <w:p w14:paraId="6B4CECD9" w14:textId="77777777" w:rsidR="000528F4" w:rsidRPr="000528F4" w:rsidRDefault="000528F4" w:rsidP="000528F4">
      <w:r w:rsidRPr="000528F4">
        <w:pict w14:anchorId="6F03FB45">
          <v:rect id="_x0000_i1025" style="width:0;height:1.5pt" o:hralign="center" o:hrstd="t" o:hr="t" fillcolor="#a0a0a0" stroked="f"/>
        </w:pict>
      </w:r>
    </w:p>
    <w:p w14:paraId="01272EC2" w14:textId="77777777" w:rsidR="000528F4" w:rsidRPr="000528F4" w:rsidRDefault="000528F4" w:rsidP="000528F4">
      <w:pPr>
        <w:rPr>
          <w:b/>
          <w:bCs/>
        </w:rPr>
      </w:pPr>
      <w:r w:rsidRPr="000528F4">
        <w:rPr>
          <w:b/>
          <w:bCs/>
        </w:rPr>
        <w:t>6.1 Einleitung: Von funktionaler Validität zur operativen Nutzung</w:t>
      </w:r>
    </w:p>
    <w:p w14:paraId="57396792" w14:textId="77777777" w:rsidR="000528F4" w:rsidRPr="000528F4" w:rsidRDefault="000528F4" w:rsidP="000528F4">
      <w:r w:rsidRPr="000528F4">
        <w:t>Die in Kapitel 6.x nachgewiesene funktionale Validität der semantischen Vektoren bildet die notwendige Grundlage für deren praktische Nutzung. Während die vorangehende Analyse gezeigt hat, dass die Vektoren unter Variation stabil, anschlussfähig und interpretierbar bleiben, stellt sich nun die weiterführende Frage, inwiefern diese Eigenschaften für datenbasierte Analyseverfahren genutzt werden können.</w:t>
      </w:r>
    </w:p>
    <w:p w14:paraId="5047347D" w14:textId="77777777" w:rsidR="000528F4" w:rsidRPr="000528F4" w:rsidRDefault="000528F4" w:rsidP="000528F4">
      <w:r w:rsidRPr="000528F4">
        <w:t xml:space="preserve">Im Zentrum dieses Kapitels steht daher die Überführung der validierten Vektorrepräsentationen in konkrete Anwendungen des Data Mining und der Mustererkennung. Ziel ist es, das FRZK nicht nur als theoretisches Modell, sondern als </w:t>
      </w:r>
      <w:r w:rsidRPr="000528F4">
        <w:rPr>
          <w:b/>
          <w:bCs/>
        </w:rPr>
        <w:t>operatives Analyseinstrument</w:t>
      </w:r>
      <w:r w:rsidRPr="000528F4">
        <w:t xml:space="preserve"> zu etablieren, das in der Lage ist, komplexe Lernprozesse, semantische Entwicklungen und didaktische Strukturen systematisch zu erfassen und auszuwerten.</w:t>
      </w:r>
    </w:p>
    <w:p w14:paraId="56B58CA8" w14:textId="77777777" w:rsidR="000528F4" w:rsidRPr="000528F4" w:rsidRDefault="000528F4" w:rsidP="000528F4">
      <w:r w:rsidRPr="000528F4">
        <w:t>Diese Perspektive entspricht aktuellen Entwicklungen im Bereich des Educational Data Mining, in denen datenbasierte Verfahren zunehmend genutzt werden, um Lernprozesse zu modellieren, Muster zu identifizieren und adaptive Systeme zu entwickeln [1].</w:t>
      </w:r>
    </w:p>
    <w:p w14:paraId="0DE1DC6E" w14:textId="77777777" w:rsidR="000528F4" w:rsidRPr="000528F4" w:rsidRDefault="000528F4" w:rsidP="000528F4">
      <w:r w:rsidRPr="000528F4">
        <w:pict w14:anchorId="06CB73B1">
          <v:rect id="_x0000_i1026" style="width:0;height:1.5pt" o:hralign="center" o:hrstd="t" o:hr="t" fillcolor="#a0a0a0" stroked="f"/>
        </w:pict>
      </w:r>
    </w:p>
    <w:p w14:paraId="2CD221CF" w14:textId="77777777" w:rsidR="000528F4" w:rsidRPr="000528F4" w:rsidRDefault="000528F4" w:rsidP="000528F4">
      <w:pPr>
        <w:rPr>
          <w:b/>
          <w:bCs/>
        </w:rPr>
      </w:pPr>
      <w:r w:rsidRPr="000528F4">
        <w:rPr>
          <w:b/>
          <w:bCs/>
        </w:rPr>
        <w:t>6.2 Vektorraumbasierte Modellierung von Lernprozessen</w:t>
      </w:r>
    </w:p>
    <w:p w14:paraId="1467BE5F" w14:textId="77777777" w:rsidR="000528F4" w:rsidRPr="000528F4" w:rsidRDefault="000528F4" w:rsidP="000528F4">
      <w:r w:rsidRPr="000528F4">
        <w:t xml:space="preserve">Im FRZK werden Lernprozesse nicht als lineare Abfolge von Zuständen verstanden, sondern als </w:t>
      </w:r>
      <w:r w:rsidRPr="000528F4">
        <w:rPr>
          <w:b/>
          <w:bCs/>
        </w:rPr>
        <w:t>Transformationen in einem semantischen Vektorraum</w:t>
      </w:r>
      <w:r w:rsidRPr="000528F4">
        <w:t>. Jeder Schülerzustand kann als Punkt St</w:t>
      </w:r>
      <w:r w:rsidRPr="000528F4">
        <w:rPr>
          <w:rFonts w:ascii="Cambria Math" w:hAnsi="Cambria Math" w:cs="Cambria Math"/>
        </w:rPr>
        <w:t>∈</w:t>
      </w:r>
      <w:r w:rsidRPr="000528F4">
        <w:t>R7S_t \in \</w:t>
      </w:r>
      <w:proofErr w:type="spellStart"/>
      <w:r w:rsidRPr="000528F4">
        <w:t>mathbb</w:t>
      </w:r>
      <w:proofErr w:type="spellEnd"/>
      <w:r w:rsidRPr="000528F4">
        <w:t>{R}^7St​</w:t>
      </w:r>
      <w:r w:rsidRPr="000528F4">
        <w:rPr>
          <w:rFonts w:ascii="Cambria Math" w:hAnsi="Cambria Math" w:cs="Cambria Math"/>
        </w:rPr>
        <w:t>∈</w:t>
      </w:r>
      <w:r w:rsidRPr="000528F4">
        <w:t>R7 beschrieben werden, wobei die sieben Dimensionen die funktionalen Kategorien des Modells repräsentieren.</w:t>
      </w:r>
    </w:p>
    <w:p w14:paraId="6AFEF084" w14:textId="77777777" w:rsidR="000528F4" w:rsidRPr="000528F4" w:rsidRDefault="000528F4" w:rsidP="000528F4">
      <w:r w:rsidRPr="000528F4">
        <w:t>Die Dynamik des Lernprozesses ergibt sich aus der Anwendung von Operatoren:</w:t>
      </w:r>
    </w:p>
    <w:p w14:paraId="515DE606" w14:textId="77777777" w:rsidR="000528F4" w:rsidRPr="000528F4" w:rsidRDefault="000528F4" w:rsidP="000528F4">
      <w:r w:rsidRPr="000528F4">
        <w:t>St+1=</w:t>
      </w:r>
      <w:proofErr w:type="spellStart"/>
      <w:proofErr w:type="gramStart"/>
      <w:r w:rsidRPr="000528F4">
        <w:t>oi</w:t>
      </w:r>
      <w:proofErr w:type="spellEnd"/>
      <w:r w:rsidRPr="000528F4">
        <w:t>(</w:t>
      </w:r>
      <w:proofErr w:type="gramEnd"/>
      <w:r w:rsidRPr="000528F4">
        <w:t xml:space="preserve">St)S_{t+1} = </w:t>
      </w:r>
      <w:proofErr w:type="spellStart"/>
      <w:r w:rsidRPr="000528F4">
        <w:t>o_i</w:t>
      </w:r>
      <w:proofErr w:type="spellEnd"/>
      <w:r w:rsidRPr="000528F4">
        <w:t>(</w:t>
      </w:r>
      <w:proofErr w:type="spellStart"/>
      <w:r w:rsidRPr="000528F4">
        <w:t>S_t</w:t>
      </w:r>
      <w:proofErr w:type="spellEnd"/>
      <w:r w:rsidRPr="000528F4">
        <w:t>)St+1​=</w:t>
      </w:r>
      <w:proofErr w:type="spellStart"/>
      <w:r w:rsidRPr="000528F4">
        <w:t>oi</w:t>
      </w:r>
      <w:proofErr w:type="spellEnd"/>
      <w:r w:rsidRPr="000528F4">
        <w:t xml:space="preserve">​(St​) </w:t>
      </w:r>
    </w:p>
    <w:p w14:paraId="1A4E4794" w14:textId="77777777" w:rsidR="000528F4" w:rsidRPr="000528F4" w:rsidRDefault="000528F4" w:rsidP="000528F4">
      <w:r w:rsidRPr="000528F4">
        <w:t>Diese Darstellung erlaubt es, Lernprozesse als Trajektorien im Vektorraum zu analysieren. Veränderungen lassen sich somit nicht nur qualitativ beschreiben, sondern quantitativ messen und vergleichen.</w:t>
      </w:r>
    </w:p>
    <w:p w14:paraId="481CB29C" w14:textId="77777777" w:rsidR="000528F4" w:rsidRPr="000528F4" w:rsidRDefault="000528F4" w:rsidP="000528F4">
      <w:r w:rsidRPr="000528F4">
        <w:t>Ein wesentlicher Vorteil dieser Modellierung besteht darin, dass sie sowohl individuelle Entwicklungen als auch kollektive Muster sichtbar macht. Ähnliche Lernverläufe manifestieren sich als ähnliche Trajektorien, während divergierende Entwicklungen zu klar unterscheidbaren Bewegungen im Raum führen. Solche vektorraumbasierten Ansätze werden auch in der aktuellen Forschung als effektives Mittel zur Modellierung komplexer Lernprozesse beschrieben [2].</w:t>
      </w:r>
    </w:p>
    <w:p w14:paraId="0FFCED35" w14:textId="77777777" w:rsidR="000528F4" w:rsidRPr="000528F4" w:rsidRDefault="000528F4" w:rsidP="000528F4">
      <w:r w:rsidRPr="000528F4">
        <w:pict w14:anchorId="4621F6E3">
          <v:rect id="_x0000_i1027" style="width:0;height:1.5pt" o:hralign="center" o:hrstd="t" o:hr="t" fillcolor="#a0a0a0" stroked="f"/>
        </w:pict>
      </w:r>
    </w:p>
    <w:p w14:paraId="7524B842" w14:textId="77777777" w:rsidR="000528F4" w:rsidRPr="000528F4" w:rsidRDefault="000528F4" w:rsidP="000528F4">
      <w:pPr>
        <w:rPr>
          <w:b/>
          <w:bCs/>
        </w:rPr>
      </w:pPr>
      <w:r w:rsidRPr="000528F4">
        <w:rPr>
          <w:b/>
          <w:bCs/>
        </w:rPr>
        <w:t>6.3 Distanzbasierte Analysen und Ähnlichkeitsstrukturen</w:t>
      </w:r>
    </w:p>
    <w:p w14:paraId="1CBDAA0C" w14:textId="77777777" w:rsidR="000528F4" w:rsidRPr="000528F4" w:rsidRDefault="000528F4" w:rsidP="000528F4">
      <w:r w:rsidRPr="000528F4">
        <w:t xml:space="preserve">Eine zentrale Grundlage für Data-Mining-Verfahren im FRZK ist die Berechnung von Distanzen zwischen Vektoren. Die semantische Distanz zweier Zustände </w:t>
      </w:r>
      <w:proofErr w:type="spellStart"/>
      <w:r w:rsidRPr="000528F4">
        <w:t>SiS_iSi</w:t>
      </w:r>
      <w:proofErr w:type="spellEnd"/>
      <w:r w:rsidRPr="000528F4">
        <w:t xml:space="preserve">​ und </w:t>
      </w:r>
      <w:proofErr w:type="spellStart"/>
      <w:r w:rsidRPr="000528F4">
        <w:t>SjS_jSj</w:t>
      </w:r>
      <w:proofErr w:type="spellEnd"/>
      <w:r w:rsidRPr="000528F4">
        <w:t>​ kann beispielsweise durch die euklidische Metrik bestimmt werden:</w:t>
      </w:r>
    </w:p>
    <w:p w14:paraId="333161C1" w14:textId="77777777" w:rsidR="000528F4" w:rsidRPr="000528F4" w:rsidRDefault="000528F4" w:rsidP="000528F4">
      <w:r w:rsidRPr="000528F4">
        <w:t>d(</w:t>
      </w:r>
      <w:proofErr w:type="spellStart"/>
      <w:proofErr w:type="gramStart"/>
      <w:r w:rsidRPr="000528F4">
        <w:t>Si,Sj</w:t>
      </w:r>
      <w:proofErr w:type="spellEnd"/>
      <w:proofErr w:type="gramEnd"/>
      <w:r w:rsidRPr="000528F4">
        <w:t>)=</w:t>
      </w:r>
      <w:r w:rsidRPr="000528F4">
        <w:rPr>
          <w:rFonts w:ascii="Cambria Math" w:hAnsi="Cambria Math" w:cs="Cambria Math"/>
        </w:rPr>
        <w:t>∥</w:t>
      </w:r>
      <w:proofErr w:type="spellStart"/>
      <w:r w:rsidRPr="000528F4">
        <w:t>Si</w:t>
      </w:r>
      <w:r w:rsidRPr="000528F4">
        <w:rPr>
          <w:rFonts w:cs="Calibri"/>
        </w:rPr>
        <w:t>−</w:t>
      </w:r>
      <w:r w:rsidRPr="000528F4">
        <w:t>Sj</w:t>
      </w:r>
      <w:r w:rsidRPr="000528F4">
        <w:rPr>
          <w:rFonts w:ascii="Cambria Math" w:hAnsi="Cambria Math" w:cs="Cambria Math"/>
        </w:rPr>
        <w:t>∥</w:t>
      </w:r>
      <w:r w:rsidRPr="000528F4">
        <w:t>d</w:t>
      </w:r>
      <w:proofErr w:type="spellEnd"/>
      <w:r w:rsidRPr="000528F4">
        <w:t>(</w:t>
      </w:r>
      <w:proofErr w:type="spellStart"/>
      <w:r w:rsidRPr="000528F4">
        <w:t>S_i</w:t>
      </w:r>
      <w:proofErr w:type="spellEnd"/>
      <w:r w:rsidRPr="000528F4">
        <w:t xml:space="preserve">, </w:t>
      </w:r>
      <w:proofErr w:type="spellStart"/>
      <w:r w:rsidRPr="000528F4">
        <w:t>S_j</w:t>
      </w:r>
      <w:proofErr w:type="spellEnd"/>
      <w:r w:rsidRPr="000528F4">
        <w:t xml:space="preserve">) = \| </w:t>
      </w:r>
      <w:proofErr w:type="spellStart"/>
      <w:r w:rsidRPr="000528F4">
        <w:t>S_i</w:t>
      </w:r>
      <w:proofErr w:type="spellEnd"/>
      <w:r w:rsidRPr="000528F4">
        <w:t xml:space="preserve"> - </w:t>
      </w:r>
      <w:proofErr w:type="spellStart"/>
      <w:r w:rsidRPr="000528F4">
        <w:t>S_j</w:t>
      </w:r>
      <w:proofErr w:type="spellEnd"/>
      <w:r w:rsidRPr="000528F4">
        <w:t xml:space="preserve"> \|d(Si​,</w:t>
      </w:r>
      <w:proofErr w:type="spellStart"/>
      <w:r w:rsidRPr="000528F4">
        <w:t>Sj</w:t>
      </w:r>
      <w:proofErr w:type="spellEnd"/>
      <w:r w:rsidRPr="000528F4">
        <w:t>​)=</w:t>
      </w:r>
      <w:r w:rsidRPr="000528F4">
        <w:rPr>
          <w:rFonts w:ascii="Cambria Math" w:hAnsi="Cambria Math" w:cs="Cambria Math"/>
        </w:rPr>
        <w:t>∥</w:t>
      </w:r>
      <w:r w:rsidRPr="000528F4">
        <w:t>Si​−</w:t>
      </w:r>
      <w:proofErr w:type="spellStart"/>
      <w:r w:rsidRPr="000528F4">
        <w:t>Sj</w:t>
      </w:r>
      <w:proofErr w:type="spellEnd"/>
      <w:r w:rsidRPr="000528F4">
        <w:t>​</w:t>
      </w:r>
      <w:r w:rsidRPr="000528F4">
        <w:rPr>
          <w:rFonts w:ascii="Cambria Math" w:hAnsi="Cambria Math" w:cs="Cambria Math"/>
        </w:rPr>
        <w:t>∥</w:t>
      </w:r>
      <w:r w:rsidRPr="000528F4">
        <w:t xml:space="preserve"> </w:t>
      </w:r>
    </w:p>
    <w:p w14:paraId="08800953" w14:textId="77777777" w:rsidR="000528F4" w:rsidRPr="000528F4" w:rsidRDefault="000528F4" w:rsidP="000528F4">
      <w:r w:rsidRPr="000528F4">
        <w:lastRenderedPageBreak/>
        <w:t>Diese Distanz bildet die Grundlage für:</w:t>
      </w:r>
    </w:p>
    <w:p w14:paraId="32F27152" w14:textId="77777777" w:rsidR="000528F4" w:rsidRPr="000528F4" w:rsidRDefault="000528F4" w:rsidP="000528F4">
      <w:pPr>
        <w:numPr>
          <w:ilvl w:val="0"/>
          <w:numId w:val="34"/>
        </w:numPr>
      </w:pPr>
      <w:r w:rsidRPr="000528F4">
        <w:t xml:space="preserve">Ähnlichkeitsanalysen </w:t>
      </w:r>
    </w:p>
    <w:p w14:paraId="19F22B29" w14:textId="77777777" w:rsidR="000528F4" w:rsidRPr="000528F4" w:rsidRDefault="000528F4" w:rsidP="000528F4">
      <w:pPr>
        <w:numPr>
          <w:ilvl w:val="0"/>
          <w:numId w:val="34"/>
        </w:numPr>
      </w:pPr>
      <w:r w:rsidRPr="000528F4">
        <w:t xml:space="preserve">Vergleich von Lernständen </w:t>
      </w:r>
    </w:p>
    <w:p w14:paraId="7A6E8B99" w14:textId="77777777" w:rsidR="000528F4" w:rsidRPr="000528F4" w:rsidRDefault="000528F4" w:rsidP="000528F4">
      <w:pPr>
        <w:numPr>
          <w:ilvl w:val="0"/>
          <w:numId w:val="34"/>
        </w:numPr>
      </w:pPr>
      <w:r w:rsidRPr="000528F4">
        <w:t xml:space="preserve">Identifikation von Abweichungen </w:t>
      </w:r>
    </w:p>
    <w:p w14:paraId="7DEE6643" w14:textId="77777777" w:rsidR="000528F4" w:rsidRPr="000528F4" w:rsidRDefault="000528F4" w:rsidP="000528F4">
      <w:r w:rsidRPr="000528F4">
        <w:t>Die in Kapitel 6.x beobachtete Stabilität der Distanzen unter Variation ist hierbei von entscheidender Bedeutung. Sie gewährleistet, dass Ähnlichkeitsrelationen nicht zufällig entstehen, sondern auf konsistenten semantischen Strukturen beruhen.</w:t>
      </w:r>
    </w:p>
    <w:p w14:paraId="3DD617F1" w14:textId="77777777" w:rsidR="000528F4" w:rsidRPr="000528F4" w:rsidRDefault="000528F4" w:rsidP="000528F4">
      <w:r w:rsidRPr="000528F4">
        <w:t>Distanzbasierte Verfahren zählen zu den grundlegenden Methoden des Data Mining und werden insbesondere in der Analyse hochdimensionaler Datenräume eingesetzt [3].</w:t>
      </w:r>
    </w:p>
    <w:p w14:paraId="59615F47" w14:textId="77777777" w:rsidR="000528F4" w:rsidRPr="000528F4" w:rsidRDefault="000528F4" w:rsidP="000528F4">
      <w:r w:rsidRPr="000528F4">
        <w:pict w14:anchorId="2009350A">
          <v:rect id="_x0000_i1028" style="width:0;height:1.5pt" o:hralign="center" o:hrstd="t" o:hr="t" fillcolor="#a0a0a0" stroked="f"/>
        </w:pict>
      </w:r>
    </w:p>
    <w:p w14:paraId="079101C2" w14:textId="77777777" w:rsidR="000528F4" w:rsidRPr="000528F4" w:rsidRDefault="000528F4" w:rsidP="000528F4">
      <w:pPr>
        <w:rPr>
          <w:b/>
          <w:bCs/>
        </w:rPr>
      </w:pPr>
      <w:r w:rsidRPr="000528F4">
        <w:rPr>
          <w:b/>
          <w:bCs/>
        </w:rPr>
        <w:t>6.4 Clusteranalysen: Identifikation von Lernprofilen</w:t>
      </w:r>
    </w:p>
    <w:p w14:paraId="60FD3695" w14:textId="77777777" w:rsidR="000528F4" w:rsidRPr="000528F4" w:rsidRDefault="000528F4" w:rsidP="000528F4">
      <w:r w:rsidRPr="000528F4">
        <w:t xml:space="preserve">Auf Basis der Distanzmatrix können Clusteranalysen durchgeführt werden, um Gruppen ähnlicher Vektoren zu identifizieren. Im Kontext des FRZK lassen sich daraus </w:t>
      </w:r>
      <w:r w:rsidRPr="000528F4">
        <w:rPr>
          <w:b/>
          <w:bCs/>
        </w:rPr>
        <w:t>Lernprofile</w:t>
      </w:r>
      <w:r w:rsidRPr="000528F4">
        <w:t xml:space="preserve"> ableiten, die charakteristische Kombinationen semantischer Dimensionen repräsentieren.</w:t>
      </w:r>
    </w:p>
    <w:p w14:paraId="6D23DA6D" w14:textId="77777777" w:rsidR="000528F4" w:rsidRPr="000528F4" w:rsidRDefault="000528F4" w:rsidP="000528F4">
      <w:r w:rsidRPr="000528F4">
        <w:t>Typische Cluster können beispielsweise sein:</w:t>
      </w:r>
    </w:p>
    <w:p w14:paraId="137F81CF" w14:textId="77777777" w:rsidR="000528F4" w:rsidRPr="000528F4" w:rsidRDefault="000528F4" w:rsidP="000528F4">
      <w:pPr>
        <w:numPr>
          <w:ilvl w:val="0"/>
          <w:numId w:val="35"/>
        </w:numPr>
      </w:pPr>
      <w:r w:rsidRPr="000528F4">
        <w:t xml:space="preserve">kognitiv-dominante Profile </w:t>
      </w:r>
    </w:p>
    <w:p w14:paraId="1DA39F91" w14:textId="77777777" w:rsidR="000528F4" w:rsidRPr="000528F4" w:rsidRDefault="000528F4" w:rsidP="000528F4">
      <w:pPr>
        <w:numPr>
          <w:ilvl w:val="0"/>
          <w:numId w:val="35"/>
        </w:numPr>
      </w:pPr>
      <w:r w:rsidRPr="000528F4">
        <w:t xml:space="preserve">affektiv geprägte Profile </w:t>
      </w:r>
    </w:p>
    <w:p w14:paraId="292D4E73" w14:textId="77777777" w:rsidR="000528F4" w:rsidRPr="000528F4" w:rsidRDefault="000528F4" w:rsidP="000528F4">
      <w:pPr>
        <w:numPr>
          <w:ilvl w:val="0"/>
          <w:numId w:val="35"/>
        </w:numPr>
      </w:pPr>
      <w:proofErr w:type="spellStart"/>
      <w:r w:rsidRPr="000528F4">
        <w:t>performanzorientierte</w:t>
      </w:r>
      <w:proofErr w:type="spellEnd"/>
      <w:r w:rsidRPr="000528F4">
        <w:t xml:space="preserve"> Profile </w:t>
      </w:r>
    </w:p>
    <w:p w14:paraId="4A276446" w14:textId="77777777" w:rsidR="000528F4" w:rsidRPr="000528F4" w:rsidRDefault="000528F4" w:rsidP="000528F4">
      <w:pPr>
        <w:numPr>
          <w:ilvl w:val="0"/>
          <w:numId w:val="35"/>
        </w:numPr>
      </w:pPr>
      <w:r w:rsidRPr="000528F4">
        <w:t xml:space="preserve">regulatorisch stabile Profile </w:t>
      </w:r>
    </w:p>
    <w:p w14:paraId="643EAABE" w14:textId="77777777" w:rsidR="000528F4" w:rsidRPr="000528F4" w:rsidRDefault="000528F4" w:rsidP="000528F4">
      <w:r w:rsidRPr="000528F4">
        <w:t>Die Stabilität der Cluster über verschiedene Reihen hinweg ist ein Hinweis darauf, dass die zugrunde liegenden Strukturen nicht zufällig sind, sondern reale Muster im Datenraum abbilden.</w:t>
      </w:r>
    </w:p>
    <w:p w14:paraId="532928A5" w14:textId="77777777" w:rsidR="000528F4" w:rsidRPr="000528F4" w:rsidRDefault="000528F4" w:rsidP="000528F4">
      <w:r w:rsidRPr="000528F4">
        <w:t>Clusteranalysen gelten als zentrale Methode zur Mustererkennung und werden in der Bildungsforschung häufig eingesetzt, um heterogene Lernprozesse zu strukturieren [1].</w:t>
      </w:r>
    </w:p>
    <w:p w14:paraId="6D0911D0" w14:textId="77777777" w:rsidR="000528F4" w:rsidRPr="000528F4" w:rsidRDefault="000528F4" w:rsidP="000528F4">
      <w:r w:rsidRPr="000528F4">
        <w:pict w14:anchorId="1C447A8E">
          <v:rect id="_x0000_i1029" style="width:0;height:1.5pt" o:hralign="center" o:hrstd="t" o:hr="t" fillcolor="#a0a0a0" stroked="f"/>
        </w:pict>
      </w:r>
    </w:p>
    <w:p w14:paraId="0FFD4A88" w14:textId="77777777" w:rsidR="000528F4" w:rsidRPr="000528F4" w:rsidRDefault="000528F4" w:rsidP="000528F4">
      <w:pPr>
        <w:rPr>
          <w:b/>
          <w:bCs/>
        </w:rPr>
      </w:pPr>
      <w:r w:rsidRPr="000528F4">
        <w:rPr>
          <w:b/>
          <w:bCs/>
        </w:rPr>
        <w:t>6.5 Dimensionsreduktion und latente Strukturen (PCA)</w:t>
      </w:r>
    </w:p>
    <w:p w14:paraId="03210187" w14:textId="77777777" w:rsidR="000528F4" w:rsidRPr="000528F4" w:rsidRDefault="000528F4" w:rsidP="000528F4">
      <w:r w:rsidRPr="000528F4">
        <w:t>Zur weiteren Analyse der Daten kann eine Hauptkomponentenanalyse (PCA) eingesetzt werden. Ziel ist es, die hochdimensionale Struktur auf wenige zentrale Achsen zu reduzieren:</w:t>
      </w:r>
    </w:p>
    <w:p w14:paraId="24443B69" w14:textId="77777777" w:rsidR="000528F4" w:rsidRPr="000528F4" w:rsidRDefault="000528F4" w:rsidP="000528F4">
      <w:pPr>
        <w:numPr>
          <w:ilvl w:val="0"/>
          <w:numId w:val="36"/>
        </w:numPr>
      </w:pPr>
      <w:r w:rsidRPr="000528F4">
        <w:t xml:space="preserve">Identifikation dominanter Varianzrichtungen </w:t>
      </w:r>
    </w:p>
    <w:p w14:paraId="68A7FACB" w14:textId="77777777" w:rsidR="000528F4" w:rsidRPr="000528F4" w:rsidRDefault="000528F4" w:rsidP="000528F4">
      <w:pPr>
        <w:numPr>
          <w:ilvl w:val="0"/>
          <w:numId w:val="36"/>
        </w:numPr>
      </w:pPr>
      <w:r w:rsidRPr="000528F4">
        <w:t xml:space="preserve">Visualisierung komplexer Zusammenhänge </w:t>
      </w:r>
    </w:p>
    <w:p w14:paraId="0F4D31D0" w14:textId="77777777" w:rsidR="000528F4" w:rsidRPr="000528F4" w:rsidRDefault="000528F4" w:rsidP="000528F4">
      <w:pPr>
        <w:numPr>
          <w:ilvl w:val="0"/>
          <w:numId w:val="36"/>
        </w:numPr>
      </w:pPr>
      <w:r w:rsidRPr="000528F4">
        <w:t xml:space="preserve">Reduktion von Redundanzen </w:t>
      </w:r>
    </w:p>
    <w:p w14:paraId="1F7CB9E7" w14:textId="77777777" w:rsidR="000528F4" w:rsidRPr="000528F4" w:rsidRDefault="000528F4" w:rsidP="000528F4">
      <w:r w:rsidRPr="000528F4">
        <w:t>Im FRZK-Kontext kann die PCA dazu beitragen, latente Dimensionen sichtbar zu machen, etwa:</w:t>
      </w:r>
    </w:p>
    <w:p w14:paraId="0EF49562" w14:textId="77777777" w:rsidR="000528F4" w:rsidRPr="000528F4" w:rsidRDefault="000528F4" w:rsidP="000528F4">
      <w:pPr>
        <w:numPr>
          <w:ilvl w:val="0"/>
          <w:numId w:val="37"/>
        </w:numPr>
      </w:pPr>
      <w:r w:rsidRPr="000528F4">
        <w:t xml:space="preserve">allgemeine Leistungsdimension </w:t>
      </w:r>
    </w:p>
    <w:p w14:paraId="5813887F" w14:textId="77777777" w:rsidR="000528F4" w:rsidRPr="000528F4" w:rsidRDefault="000528F4" w:rsidP="000528F4">
      <w:pPr>
        <w:numPr>
          <w:ilvl w:val="0"/>
          <w:numId w:val="37"/>
        </w:numPr>
      </w:pPr>
      <w:r w:rsidRPr="000528F4">
        <w:t xml:space="preserve">motivational-affektive Achse </w:t>
      </w:r>
    </w:p>
    <w:p w14:paraId="00685D50" w14:textId="77777777" w:rsidR="000528F4" w:rsidRPr="000528F4" w:rsidRDefault="000528F4" w:rsidP="000528F4">
      <w:pPr>
        <w:numPr>
          <w:ilvl w:val="0"/>
          <w:numId w:val="37"/>
        </w:numPr>
      </w:pPr>
      <w:r w:rsidRPr="000528F4">
        <w:t xml:space="preserve">Strukturierungsfähigkeit </w:t>
      </w:r>
    </w:p>
    <w:p w14:paraId="3ED06C20" w14:textId="77777777" w:rsidR="000528F4" w:rsidRPr="000528F4" w:rsidRDefault="000528F4" w:rsidP="000528F4">
      <w:r w:rsidRPr="000528F4">
        <w:t>Die Möglichkeit, solche latenten Strukturen zu identifizieren, ist ein zentrales Kriterium für die Eignung von Daten für explorative Analysen [3].</w:t>
      </w:r>
    </w:p>
    <w:p w14:paraId="5CD0EBF4" w14:textId="77777777" w:rsidR="000528F4" w:rsidRPr="000528F4" w:rsidRDefault="000528F4" w:rsidP="000528F4">
      <w:r w:rsidRPr="000528F4">
        <w:lastRenderedPageBreak/>
        <w:pict w14:anchorId="0A1E5CBA">
          <v:rect id="_x0000_i1030" style="width:0;height:1.5pt" o:hralign="center" o:hrstd="t" o:hr="t" fillcolor="#a0a0a0" stroked="f"/>
        </w:pict>
      </w:r>
    </w:p>
    <w:p w14:paraId="55F8E02F" w14:textId="77777777" w:rsidR="000528F4" w:rsidRPr="000528F4" w:rsidRDefault="000528F4" w:rsidP="000528F4">
      <w:pPr>
        <w:rPr>
          <w:b/>
          <w:bCs/>
        </w:rPr>
      </w:pPr>
      <w:r w:rsidRPr="000528F4">
        <w:rPr>
          <w:b/>
          <w:bCs/>
        </w:rPr>
        <w:t xml:space="preserve">6.6 Kohärenzanalysen und </w:t>
      </w:r>
      <w:proofErr w:type="spellStart"/>
      <w:r w:rsidRPr="000528F4">
        <w:rPr>
          <w:b/>
          <w:bCs/>
        </w:rPr>
        <w:t>Strukturmetriken</w:t>
      </w:r>
      <w:proofErr w:type="spellEnd"/>
    </w:p>
    <w:p w14:paraId="47BD3E2B" w14:textId="77777777" w:rsidR="000528F4" w:rsidRPr="000528F4" w:rsidRDefault="000528F4" w:rsidP="000528F4">
      <w:r w:rsidRPr="000528F4">
        <w:t>Ein weiterer zentraler Analysebereich ist die Untersuchung der Kohärenz der Vektoren. Kohärenz kann im FRZK als Maß für die interne Stimmigkeit eines Zustands oder einer Gruppe von Zuständen verstanden werden.</w:t>
      </w:r>
    </w:p>
    <w:p w14:paraId="4206E252" w14:textId="77777777" w:rsidR="000528F4" w:rsidRPr="000528F4" w:rsidRDefault="000528F4" w:rsidP="000528F4">
      <w:r w:rsidRPr="000528F4">
        <w:t>Mögliche Metriken sind:</w:t>
      </w:r>
    </w:p>
    <w:p w14:paraId="1D253071" w14:textId="77777777" w:rsidR="000528F4" w:rsidRPr="000528F4" w:rsidRDefault="000528F4" w:rsidP="000528F4">
      <w:pPr>
        <w:numPr>
          <w:ilvl w:val="0"/>
          <w:numId w:val="38"/>
        </w:numPr>
      </w:pPr>
      <w:r w:rsidRPr="000528F4">
        <w:t xml:space="preserve">Varianz innerhalb von Clustern </w:t>
      </w:r>
    </w:p>
    <w:p w14:paraId="36C031EC" w14:textId="77777777" w:rsidR="000528F4" w:rsidRPr="000528F4" w:rsidRDefault="000528F4" w:rsidP="000528F4">
      <w:pPr>
        <w:numPr>
          <w:ilvl w:val="0"/>
          <w:numId w:val="38"/>
        </w:numPr>
      </w:pPr>
      <w:r w:rsidRPr="000528F4">
        <w:t xml:space="preserve">mittlere Distanz zum Clusterzentrum </w:t>
      </w:r>
    </w:p>
    <w:p w14:paraId="06480088" w14:textId="77777777" w:rsidR="000528F4" w:rsidRPr="000528F4" w:rsidRDefault="000528F4" w:rsidP="000528F4">
      <w:pPr>
        <w:numPr>
          <w:ilvl w:val="0"/>
          <w:numId w:val="38"/>
        </w:numPr>
      </w:pPr>
      <w:r w:rsidRPr="000528F4">
        <w:t xml:space="preserve">Stabilität über Zeit </w:t>
      </w:r>
    </w:p>
    <w:p w14:paraId="13491410" w14:textId="77777777" w:rsidR="000528F4" w:rsidRPr="000528F4" w:rsidRDefault="000528F4" w:rsidP="000528F4">
      <w:r w:rsidRPr="000528F4">
        <w:t>Die in Kapitel 6.x nachgewiesene Verbesserung der Anschlussfähigkeit führt zu einer erhöhten Kohärenz der Daten, was wiederum die Aussagekraft der Analysen steigert.</w:t>
      </w:r>
    </w:p>
    <w:p w14:paraId="75935531" w14:textId="77777777" w:rsidR="000528F4" w:rsidRPr="000528F4" w:rsidRDefault="000528F4" w:rsidP="000528F4">
      <w:proofErr w:type="spellStart"/>
      <w:r w:rsidRPr="000528F4">
        <w:t>Kohärenzmetriken</w:t>
      </w:r>
      <w:proofErr w:type="spellEnd"/>
      <w:r w:rsidRPr="000528F4">
        <w:t xml:space="preserve"> werden in der Datenanalyse häufig genutzt, um die Qualität von Clustern und die Stabilität von Strukturen zu bewerten [4].</w:t>
      </w:r>
    </w:p>
    <w:p w14:paraId="30383F86" w14:textId="77777777" w:rsidR="000528F4" w:rsidRPr="000528F4" w:rsidRDefault="000528F4" w:rsidP="000528F4">
      <w:r w:rsidRPr="000528F4">
        <w:pict w14:anchorId="49D7F574">
          <v:rect id="_x0000_i1031" style="width:0;height:1.5pt" o:hralign="center" o:hrstd="t" o:hr="t" fillcolor="#a0a0a0" stroked="f"/>
        </w:pict>
      </w:r>
    </w:p>
    <w:p w14:paraId="78E9C1EE" w14:textId="77777777" w:rsidR="000528F4" w:rsidRPr="000528F4" w:rsidRDefault="000528F4" w:rsidP="000528F4">
      <w:pPr>
        <w:rPr>
          <w:b/>
          <w:bCs/>
        </w:rPr>
      </w:pPr>
      <w:r w:rsidRPr="000528F4">
        <w:rPr>
          <w:b/>
          <w:bCs/>
        </w:rPr>
        <w:t>6.7 Mustererkennung und Prognosepotenziale</w:t>
      </w:r>
    </w:p>
    <w:p w14:paraId="3AC1C7E4" w14:textId="77777777" w:rsidR="000528F4" w:rsidRPr="000528F4" w:rsidRDefault="000528F4" w:rsidP="000528F4">
      <w:r w:rsidRPr="000528F4">
        <w:t>Durch die Kombination der beschriebenen Verfahren wird das FRZK zu einem leistungsfähigen Instrument der Mustererkennung. Mögliche Anwendungen sind:</w:t>
      </w:r>
    </w:p>
    <w:p w14:paraId="371E3631" w14:textId="77777777" w:rsidR="000528F4" w:rsidRPr="000528F4" w:rsidRDefault="000528F4" w:rsidP="000528F4">
      <w:pPr>
        <w:numPr>
          <w:ilvl w:val="0"/>
          <w:numId w:val="39"/>
        </w:numPr>
      </w:pPr>
      <w:r w:rsidRPr="000528F4">
        <w:t xml:space="preserve">Identifikation typischer Lernverläufe </w:t>
      </w:r>
    </w:p>
    <w:p w14:paraId="1D11D0C4" w14:textId="77777777" w:rsidR="000528F4" w:rsidRPr="000528F4" w:rsidRDefault="000528F4" w:rsidP="000528F4">
      <w:pPr>
        <w:numPr>
          <w:ilvl w:val="0"/>
          <w:numId w:val="39"/>
        </w:numPr>
      </w:pPr>
      <w:r w:rsidRPr="000528F4">
        <w:t xml:space="preserve">Erkennung von Stagnation oder Rückschritten </w:t>
      </w:r>
    </w:p>
    <w:p w14:paraId="4F82B64F" w14:textId="77777777" w:rsidR="000528F4" w:rsidRPr="000528F4" w:rsidRDefault="000528F4" w:rsidP="000528F4">
      <w:pPr>
        <w:numPr>
          <w:ilvl w:val="0"/>
          <w:numId w:val="39"/>
        </w:numPr>
      </w:pPr>
      <w:r w:rsidRPr="000528F4">
        <w:t xml:space="preserve">Prognose zukünftiger Entwicklungen </w:t>
      </w:r>
    </w:p>
    <w:p w14:paraId="6498DCFF" w14:textId="77777777" w:rsidR="000528F4" w:rsidRPr="000528F4" w:rsidRDefault="000528F4" w:rsidP="000528F4">
      <w:r w:rsidRPr="000528F4">
        <w:t>Dabei ist zu beachten, dass diese Prognosen nicht deterministisch sind, sondern auf strukturellen Ähnlichkeiten basieren. Sie liefern Hinweise auf mögliche Entwicklungen, keine festen Vorhersagen.</w:t>
      </w:r>
    </w:p>
    <w:p w14:paraId="57631CD8" w14:textId="77777777" w:rsidR="000528F4" w:rsidRPr="000528F4" w:rsidRDefault="000528F4" w:rsidP="000528F4">
      <w:r w:rsidRPr="000528F4">
        <w:t>Solche datenbasierten Prognoseverfahren sind ein zentraler Bestandteil moderner Learning Analytics [1].</w:t>
      </w:r>
    </w:p>
    <w:p w14:paraId="10566E20" w14:textId="77777777" w:rsidR="000528F4" w:rsidRPr="000528F4" w:rsidRDefault="000528F4" w:rsidP="000528F4">
      <w:r w:rsidRPr="000528F4">
        <w:pict w14:anchorId="7CF05195">
          <v:rect id="_x0000_i1032" style="width:0;height:1.5pt" o:hralign="center" o:hrstd="t" o:hr="t" fillcolor="#a0a0a0" stroked="f"/>
        </w:pict>
      </w:r>
    </w:p>
    <w:p w14:paraId="5ECB8B6E" w14:textId="77777777" w:rsidR="000528F4" w:rsidRPr="000528F4" w:rsidRDefault="000528F4" w:rsidP="000528F4">
      <w:pPr>
        <w:rPr>
          <w:b/>
          <w:bCs/>
        </w:rPr>
      </w:pPr>
      <w:r w:rsidRPr="000528F4">
        <w:rPr>
          <w:b/>
          <w:bCs/>
        </w:rPr>
        <w:t>6.8 Didaktische Anwendung und Interpretation</w:t>
      </w:r>
    </w:p>
    <w:p w14:paraId="41B0D194" w14:textId="77777777" w:rsidR="000528F4" w:rsidRPr="000528F4" w:rsidRDefault="000528F4" w:rsidP="000528F4">
      <w:r w:rsidRPr="000528F4">
        <w:t xml:space="preserve">Die eigentliche Stärke des FRZK liegt in der Verbindung von Datenanalyse und didaktischer Interpretation. Die erzeugten Vektoren sind nicht nur mathematische Objekte, sondern tragen eine </w:t>
      </w:r>
      <w:r w:rsidRPr="000528F4">
        <w:rPr>
          <w:b/>
          <w:bCs/>
        </w:rPr>
        <w:t>semantische Bedeutung</w:t>
      </w:r>
      <w:r w:rsidRPr="000528F4">
        <w:t>, die direkt in pädagogische Entscheidungen überführt werden kann.</w:t>
      </w:r>
    </w:p>
    <w:p w14:paraId="3764F3B5" w14:textId="77777777" w:rsidR="000528F4" w:rsidRPr="000528F4" w:rsidRDefault="000528F4" w:rsidP="000528F4">
      <w:r w:rsidRPr="000528F4">
        <w:t>Mögliche Anwendungen sind:</w:t>
      </w:r>
    </w:p>
    <w:p w14:paraId="36E63189" w14:textId="77777777" w:rsidR="000528F4" w:rsidRPr="000528F4" w:rsidRDefault="000528F4" w:rsidP="000528F4">
      <w:pPr>
        <w:numPr>
          <w:ilvl w:val="0"/>
          <w:numId w:val="40"/>
        </w:numPr>
      </w:pPr>
      <w:r w:rsidRPr="000528F4">
        <w:t xml:space="preserve">Diagnose individueller Lernstände </w:t>
      </w:r>
    </w:p>
    <w:p w14:paraId="380712E3" w14:textId="77777777" w:rsidR="000528F4" w:rsidRPr="000528F4" w:rsidRDefault="000528F4" w:rsidP="000528F4">
      <w:pPr>
        <w:numPr>
          <w:ilvl w:val="0"/>
          <w:numId w:val="40"/>
        </w:numPr>
      </w:pPr>
      <w:r w:rsidRPr="000528F4">
        <w:t xml:space="preserve">Anpassung von Lernangeboten </w:t>
      </w:r>
    </w:p>
    <w:p w14:paraId="026C5833" w14:textId="77777777" w:rsidR="000528F4" w:rsidRPr="000528F4" w:rsidRDefault="000528F4" w:rsidP="000528F4">
      <w:pPr>
        <w:numPr>
          <w:ilvl w:val="0"/>
          <w:numId w:val="40"/>
        </w:numPr>
      </w:pPr>
      <w:r w:rsidRPr="000528F4">
        <w:t xml:space="preserve">gezielte Förderung bestimmter Dimensionen </w:t>
      </w:r>
    </w:p>
    <w:p w14:paraId="118045D1" w14:textId="77777777" w:rsidR="000528F4" w:rsidRPr="000528F4" w:rsidRDefault="000528F4" w:rsidP="000528F4">
      <w:r w:rsidRPr="000528F4">
        <w:t>Entscheidend ist hierbei die Interpretierbarkeit der Ergebnisse. Lehrkräfte müssen nachvollziehen können, warum ein bestimmter Zustand entsteht und welche Maßnahmen daraus folgen.</w:t>
      </w:r>
    </w:p>
    <w:p w14:paraId="010319A1" w14:textId="77777777" w:rsidR="000528F4" w:rsidRPr="000528F4" w:rsidRDefault="000528F4" w:rsidP="000528F4">
      <w:r w:rsidRPr="000528F4">
        <w:lastRenderedPageBreak/>
        <w:t xml:space="preserve">Die Bedeutung </w:t>
      </w:r>
      <w:proofErr w:type="gramStart"/>
      <w:r w:rsidRPr="000528F4">
        <w:t>solcher interpretierbarer Systeme</w:t>
      </w:r>
      <w:proofErr w:type="gramEnd"/>
      <w:r w:rsidRPr="000528F4">
        <w:t xml:space="preserve"> wird in der aktuellen Forschung zu KI im Bildungsbereich besonders hervorgehoben [5].</w:t>
      </w:r>
    </w:p>
    <w:p w14:paraId="6EFAF087" w14:textId="77777777" w:rsidR="000528F4" w:rsidRPr="000528F4" w:rsidRDefault="000528F4" w:rsidP="000528F4">
      <w:r w:rsidRPr="000528F4">
        <w:pict w14:anchorId="2A76B74B">
          <v:rect id="_x0000_i1033" style="width:0;height:1.5pt" o:hralign="center" o:hrstd="t" o:hr="t" fillcolor="#a0a0a0" stroked="f"/>
        </w:pict>
      </w:r>
    </w:p>
    <w:p w14:paraId="2BEA7058" w14:textId="77777777" w:rsidR="000528F4" w:rsidRPr="000528F4" w:rsidRDefault="000528F4" w:rsidP="000528F4">
      <w:pPr>
        <w:rPr>
          <w:b/>
          <w:bCs/>
        </w:rPr>
      </w:pPr>
      <w:r w:rsidRPr="000528F4">
        <w:rPr>
          <w:b/>
          <w:bCs/>
        </w:rPr>
        <w:t>6.9 Grenzen und methodische Reflexion</w:t>
      </w:r>
    </w:p>
    <w:p w14:paraId="5BE4A460" w14:textId="77777777" w:rsidR="000528F4" w:rsidRPr="000528F4" w:rsidRDefault="000528F4" w:rsidP="000528F4">
      <w:r w:rsidRPr="000528F4">
        <w:t>Trotz der nachgewiesenen Leistungsfähigkeit sind die Anwendungen des FRZK an bestimmte Bedingungen gebunden:</w:t>
      </w:r>
    </w:p>
    <w:p w14:paraId="6D82F0DB" w14:textId="77777777" w:rsidR="000528F4" w:rsidRPr="000528F4" w:rsidRDefault="000528F4" w:rsidP="000528F4">
      <w:pPr>
        <w:numPr>
          <w:ilvl w:val="0"/>
          <w:numId w:val="41"/>
        </w:numPr>
      </w:pPr>
      <w:r w:rsidRPr="000528F4">
        <w:t xml:space="preserve">Abhängigkeit von der Parametrisierung </w:t>
      </w:r>
    </w:p>
    <w:p w14:paraId="535EF6AC" w14:textId="77777777" w:rsidR="000528F4" w:rsidRPr="000528F4" w:rsidRDefault="000528F4" w:rsidP="000528F4">
      <w:pPr>
        <w:numPr>
          <w:ilvl w:val="0"/>
          <w:numId w:val="41"/>
        </w:numPr>
      </w:pPr>
      <w:r w:rsidRPr="000528F4">
        <w:t xml:space="preserve">begrenzte Abbildung sozialer Dimensionen </w:t>
      </w:r>
    </w:p>
    <w:p w14:paraId="7D29FAB9" w14:textId="77777777" w:rsidR="000528F4" w:rsidRPr="000528F4" w:rsidRDefault="000528F4" w:rsidP="000528F4">
      <w:pPr>
        <w:numPr>
          <w:ilvl w:val="0"/>
          <w:numId w:val="41"/>
        </w:numPr>
      </w:pPr>
      <w:r w:rsidRPr="000528F4">
        <w:t xml:space="preserve">keine absolute Objektivität </w:t>
      </w:r>
    </w:p>
    <w:p w14:paraId="4E848E08" w14:textId="77777777" w:rsidR="000528F4" w:rsidRPr="000528F4" w:rsidRDefault="000528F4" w:rsidP="000528F4">
      <w:r w:rsidRPr="000528F4">
        <w:t>Diese Einschränkungen sind jedoch nicht als Schwäche zu verstehen, sondern als inhärente Eigenschaft funktionaler Modelle. Sie verdeutlichen, dass alle Analysen im Kontext des Modells interpretiert werden müssen.</w:t>
      </w:r>
    </w:p>
    <w:p w14:paraId="4E49A870" w14:textId="77777777" w:rsidR="000528F4" w:rsidRPr="000528F4" w:rsidRDefault="000528F4" w:rsidP="000528F4">
      <w:r w:rsidRPr="000528F4">
        <w:t>Diese Perspektive entspricht der allgemeinen Auffassung, dass datenbasierte Modelle keine objektive Realität abbilden, sondern strukturierte Interpretationen liefern [2].</w:t>
      </w:r>
    </w:p>
    <w:p w14:paraId="7ACFC13A" w14:textId="77777777" w:rsidR="000528F4" w:rsidRPr="000528F4" w:rsidRDefault="000528F4" w:rsidP="000528F4">
      <w:r w:rsidRPr="000528F4">
        <w:pict w14:anchorId="27627CF5">
          <v:rect id="_x0000_i1034" style="width:0;height:1.5pt" o:hralign="center" o:hrstd="t" o:hr="t" fillcolor="#a0a0a0" stroked="f"/>
        </w:pict>
      </w:r>
    </w:p>
    <w:p w14:paraId="0F34C788" w14:textId="77777777" w:rsidR="000528F4" w:rsidRPr="000528F4" w:rsidRDefault="000528F4" w:rsidP="000528F4">
      <w:pPr>
        <w:rPr>
          <w:b/>
          <w:bCs/>
        </w:rPr>
      </w:pPr>
      <w:r w:rsidRPr="000528F4">
        <w:rPr>
          <w:b/>
          <w:bCs/>
        </w:rPr>
        <w:t>6.10 Gesamtbewertung und Ausblick</w:t>
      </w:r>
    </w:p>
    <w:p w14:paraId="76D770D0" w14:textId="77777777" w:rsidR="000528F4" w:rsidRPr="000528F4" w:rsidRDefault="000528F4" w:rsidP="000528F4">
      <w:r w:rsidRPr="000528F4">
        <w:t>Zusammenfassend zeigt sich, dass die im FRZK erzeugten und validierten Vektoren eine tragfähige Grundlage für Data-Mining-Verfahren darstellen. Sie ermöglichen:</w:t>
      </w:r>
    </w:p>
    <w:p w14:paraId="420FD58C" w14:textId="77777777" w:rsidR="000528F4" w:rsidRPr="000528F4" w:rsidRDefault="000528F4" w:rsidP="000528F4">
      <w:pPr>
        <w:numPr>
          <w:ilvl w:val="0"/>
          <w:numId w:val="42"/>
        </w:numPr>
      </w:pPr>
      <w:r w:rsidRPr="000528F4">
        <w:t xml:space="preserve">strukturierte Analyse von Lernprozessen </w:t>
      </w:r>
    </w:p>
    <w:p w14:paraId="74802A9B" w14:textId="77777777" w:rsidR="000528F4" w:rsidRPr="000528F4" w:rsidRDefault="000528F4" w:rsidP="000528F4">
      <w:pPr>
        <w:numPr>
          <w:ilvl w:val="0"/>
          <w:numId w:val="42"/>
        </w:numPr>
      </w:pPr>
      <w:r w:rsidRPr="000528F4">
        <w:t xml:space="preserve">Identifikation von Mustern und Profilen </w:t>
      </w:r>
    </w:p>
    <w:p w14:paraId="73EF78D6" w14:textId="77777777" w:rsidR="000528F4" w:rsidRPr="000528F4" w:rsidRDefault="000528F4" w:rsidP="000528F4">
      <w:pPr>
        <w:numPr>
          <w:ilvl w:val="0"/>
          <w:numId w:val="42"/>
        </w:numPr>
      </w:pPr>
      <w:r w:rsidRPr="000528F4">
        <w:t xml:space="preserve">Verbindung von Datenanalyse und Didaktik </w:t>
      </w:r>
    </w:p>
    <w:p w14:paraId="44FBA5C0" w14:textId="77777777" w:rsidR="000528F4" w:rsidRPr="000528F4" w:rsidRDefault="000528F4" w:rsidP="000528F4">
      <w:r w:rsidRPr="000528F4">
        <w:t>Die besondere Stärke des Ansatzes liegt in der Kombination aus:</w:t>
      </w:r>
    </w:p>
    <w:p w14:paraId="051281E8" w14:textId="77777777" w:rsidR="000528F4" w:rsidRPr="000528F4" w:rsidRDefault="000528F4" w:rsidP="000528F4">
      <w:pPr>
        <w:numPr>
          <w:ilvl w:val="0"/>
          <w:numId w:val="43"/>
        </w:numPr>
      </w:pPr>
      <w:r w:rsidRPr="000528F4">
        <w:t xml:space="preserve">mathematischer Struktur </w:t>
      </w:r>
    </w:p>
    <w:p w14:paraId="320E5BE0" w14:textId="77777777" w:rsidR="000528F4" w:rsidRPr="000528F4" w:rsidRDefault="000528F4" w:rsidP="000528F4">
      <w:pPr>
        <w:numPr>
          <w:ilvl w:val="0"/>
          <w:numId w:val="43"/>
        </w:numPr>
      </w:pPr>
      <w:r w:rsidRPr="000528F4">
        <w:t xml:space="preserve">semantischer Interpretierbarkeit </w:t>
      </w:r>
    </w:p>
    <w:p w14:paraId="6BE77BDC" w14:textId="77777777" w:rsidR="000528F4" w:rsidRPr="000528F4" w:rsidRDefault="000528F4" w:rsidP="000528F4">
      <w:pPr>
        <w:numPr>
          <w:ilvl w:val="0"/>
          <w:numId w:val="43"/>
        </w:numPr>
      </w:pPr>
      <w:r w:rsidRPr="000528F4">
        <w:t xml:space="preserve">funktionaler Validität </w:t>
      </w:r>
    </w:p>
    <w:p w14:paraId="2A879ECF" w14:textId="77777777" w:rsidR="000528F4" w:rsidRPr="000528F4" w:rsidRDefault="000528F4" w:rsidP="000528F4">
      <w:r w:rsidRPr="000528F4">
        <w:t>Damit eröffnet das FRZK eine Perspektive, in der datenbasierte Analysen nicht als isolierte technische Verfahren verstanden werden, sondern als integraler Bestandteil eines theoretisch fundierten Modells von Lernen und Bedeutung.</w:t>
      </w:r>
    </w:p>
    <w:p w14:paraId="2FE436A7" w14:textId="77777777" w:rsidR="000528F4" w:rsidRPr="000528F4" w:rsidRDefault="000528F4" w:rsidP="000528F4">
      <w:r w:rsidRPr="000528F4">
        <w:pict w14:anchorId="08608C23">
          <v:rect id="_x0000_i1035" style="width:0;height:1.5pt" o:hralign="center" o:hrstd="t" o:hr="t" fillcolor="#a0a0a0" stroked="f"/>
        </w:pict>
      </w:r>
    </w:p>
    <w:p w14:paraId="61117B22" w14:textId="77777777" w:rsidR="000528F4" w:rsidRPr="000528F4" w:rsidRDefault="000528F4" w:rsidP="000528F4">
      <w:pPr>
        <w:rPr>
          <w:b/>
          <w:bCs/>
        </w:rPr>
      </w:pPr>
      <w:r w:rsidRPr="000528F4">
        <w:rPr>
          <w:b/>
          <w:bCs/>
        </w:rPr>
        <w:t>Literaturverzeichnis Kapitel 6</w:t>
      </w:r>
    </w:p>
    <w:p w14:paraId="76ADB8B7" w14:textId="77777777" w:rsidR="000528F4" w:rsidRPr="000528F4" w:rsidRDefault="000528F4" w:rsidP="000528F4">
      <w:r w:rsidRPr="000528F4">
        <w:t xml:space="preserve">[1] Romero, Cristobal; Ventura, Sebastian (2020): </w:t>
      </w:r>
      <w:r w:rsidRPr="000528F4">
        <w:rPr>
          <w:i/>
          <w:iCs/>
        </w:rPr>
        <w:t>Educational Data Mining and Learning Analytics</w:t>
      </w:r>
      <w:r w:rsidRPr="000528F4">
        <w:t>. Wiley.</w:t>
      </w:r>
    </w:p>
    <w:p w14:paraId="01943DDE" w14:textId="77777777" w:rsidR="000528F4" w:rsidRPr="000528F4" w:rsidRDefault="000528F4" w:rsidP="000528F4">
      <w:r w:rsidRPr="000528F4">
        <w:t xml:space="preserve">[2] Siemens, George; Baker, Ryan (2012): </w:t>
      </w:r>
      <w:r w:rsidRPr="000528F4">
        <w:rPr>
          <w:i/>
          <w:iCs/>
        </w:rPr>
        <w:t>Learning Analytics and Educational Data Mining</w:t>
      </w:r>
      <w:r w:rsidRPr="000528F4">
        <w:t>. LAK Conference Proceedings.</w:t>
      </w:r>
    </w:p>
    <w:p w14:paraId="2F162B04" w14:textId="77777777" w:rsidR="000528F4" w:rsidRPr="000528F4" w:rsidRDefault="000528F4" w:rsidP="000528F4">
      <w:r w:rsidRPr="000528F4">
        <w:t xml:space="preserve">[3] </w:t>
      </w:r>
      <w:proofErr w:type="spellStart"/>
      <w:r w:rsidRPr="000528F4">
        <w:t>Jolliffe</w:t>
      </w:r>
      <w:proofErr w:type="spellEnd"/>
      <w:r w:rsidRPr="000528F4">
        <w:t xml:space="preserve">, Ian T.; </w:t>
      </w:r>
      <w:proofErr w:type="spellStart"/>
      <w:r w:rsidRPr="000528F4">
        <w:t>Cadima</w:t>
      </w:r>
      <w:proofErr w:type="spellEnd"/>
      <w:r w:rsidRPr="000528F4">
        <w:t xml:space="preserve">, Jorge (2016): </w:t>
      </w:r>
      <w:proofErr w:type="spellStart"/>
      <w:r w:rsidRPr="000528F4">
        <w:rPr>
          <w:i/>
          <w:iCs/>
        </w:rPr>
        <w:t>Principal</w:t>
      </w:r>
      <w:proofErr w:type="spellEnd"/>
      <w:r w:rsidRPr="000528F4">
        <w:rPr>
          <w:i/>
          <w:iCs/>
        </w:rPr>
        <w:t xml:space="preserve"> </w:t>
      </w:r>
      <w:proofErr w:type="spellStart"/>
      <w:r w:rsidRPr="000528F4">
        <w:rPr>
          <w:i/>
          <w:iCs/>
        </w:rPr>
        <w:t>Component</w:t>
      </w:r>
      <w:proofErr w:type="spellEnd"/>
      <w:r w:rsidRPr="000528F4">
        <w:rPr>
          <w:i/>
          <w:iCs/>
        </w:rPr>
        <w:t xml:space="preserve"> Analysis: A Review</w:t>
      </w:r>
      <w:r w:rsidRPr="000528F4">
        <w:t xml:space="preserve">. </w:t>
      </w:r>
      <w:proofErr w:type="spellStart"/>
      <w:r w:rsidRPr="000528F4">
        <w:t>Philosophical</w:t>
      </w:r>
      <w:proofErr w:type="spellEnd"/>
      <w:r w:rsidRPr="000528F4">
        <w:t xml:space="preserve"> Transactions A.</w:t>
      </w:r>
    </w:p>
    <w:p w14:paraId="007D093B" w14:textId="77777777" w:rsidR="000528F4" w:rsidRPr="000528F4" w:rsidRDefault="000528F4" w:rsidP="000528F4">
      <w:r w:rsidRPr="000528F4">
        <w:t xml:space="preserve">[4] Kaufman, Leonard; </w:t>
      </w:r>
      <w:proofErr w:type="spellStart"/>
      <w:r w:rsidRPr="000528F4">
        <w:t>Rousseeuw</w:t>
      </w:r>
      <w:proofErr w:type="spellEnd"/>
      <w:r w:rsidRPr="000528F4">
        <w:t xml:space="preserve">, Peter (2009): </w:t>
      </w:r>
      <w:proofErr w:type="spellStart"/>
      <w:r w:rsidRPr="000528F4">
        <w:rPr>
          <w:i/>
          <w:iCs/>
        </w:rPr>
        <w:t>Finding</w:t>
      </w:r>
      <w:proofErr w:type="spellEnd"/>
      <w:r w:rsidRPr="000528F4">
        <w:rPr>
          <w:i/>
          <w:iCs/>
        </w:rPr>
        <w:t xml:space="preserve"> Groups in Data</w:t>
      </w:r>
      <w:r w:rsidRPr="000528F4">
        <w:t>. Wiley.</w:t>
      </w:r>
    </w:p>
    <w:p w14:paraId="57D7D411" w14:textId="77777777" w:rsidR="000528F4" w:rsidRPr="000528F4" w:rsidRDefault="000528F4" w:rsidP="000528F4">
      <w:r w:rsidRPr="000528F4">
        <w:t xml:space="preserve">[5] Holmes, Wayne et al. (2025): </w:t>
      </w:r>
      <w:proofErr w:type="spellStart"/>
      <w:r w:rsidRPr="000528F4">
        <w:rPr>
          <w:i/>
          <w:iCs/>
        </w:rPr>
        <w:t>Ethics</w:t>
      </w:r>
      <w:proofErr w:type="spellEnd"/>
      <w:r w:rsidRPr="000528F4">
        <w:rPr>
          <w:i/>
          <w:iCs/>
        </w:rPr>
        <w:t xml:space="preserve"> </w:t>
      </w:r>
      <w:proofErr w:type="spellStart"/>
      <w:r w:rsidRPr="000528F4">
        <w:rPr>
          <w:i/>
          <w:iCs/>
        </w:rPr>
        <w:t>of</w:t>
      </w:r>
      <w:proofErr w:type="spellEnd"/>
      <w:r w:rsidRPr="000528F4">
        <w:rPr>
          <w:i/>
          <w:iCs/>
        </w:rPr>
        <w:t xml:space="preserve"> AI in Education</w:t>
      </w:r>
      <w:r w:rsidRPr="000528F4">
        <w:t>. Frontiers in Education.</w:t>
      </w:r>
    </w:p>
    <w:p w14:paraId="75205AED"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A8BC9" w14:textId="77777777" w:rsidR="000534DA" w:rsidRDefault="000534DA" w:rsidP="007E7F0F">
      <w:pPr>
        <w:spacing w:after="0"/>
      </w:pPr>
      <w:r>
        <w:separator/>
      </w:r>
    </w:p>
  </w:endnote>
  <w:endnote w:type="continuationSeparator" w:id="0">
    <w:p w14:paraId="55F341A2" w14:textId="77777777" w:rsidR="000534DA" w:rsidRDefault="000534DA"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64B33" w14:textId="77777777" w:rsidR="000534DA" w:rsidRDefault="000534DA" w:rsidP="007E7F0F">
      <w:pPr>
        <w:spacing w:after="0"/>
      </w:pPr>
      <w:r>
        <w:separator/>
      </w:r>
    </w:p>
  </w:footnote>
  <w:footnote w:type="continuationSeparator" w:id="0">
    <w:p w14:paraId="48A81CB8" w14:textId="77777777" w:rsidR="000534DA" w:rsidRDefault="000534DA"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6"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565C6"/>
    <w:multiLevelType w:val="multilevel"/>
    <w:tmpl w:val="46C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230AC"/>
    <w:multiLevelType w:val="multilevel"/>
    <w:tmpl w:val="E76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5AB656C"/>
    <w:multiLevelType w:val="multilevel"/>
    <w:tmpl w:val="5FF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54E83"/>
    <w:multiLevelType w:val="multilevel"/>
    <w:tmpl w:val="9BDE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33812"/>
    <w:multiLevelType w:val="multilevel"/>
    <w:tmpl w:val="B56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36179"/>
    <w:multiLevelType w:val="multilevel"/>
    <w:tmpl w:val="468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51A7F"/>
    <w:multiLevelType w:val="multilevel"/>
    <w:tmpl w:val="421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71AA7"/>
    <w:multiLevelType w:val="multilevel"/>
    <w:tmpl w:val="6D0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C7D44"/>
    <w:multiLevelType w:val="multilevel"/>
    <w:tmpl w:val="CD3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50348"/>
    <w:multiLevelType w:val="multilevel"/>
    <w:tmpl w:val="0A4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5"/>
  </w:num>
  <w:num w:numId="3" w16cid:durableId="705565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23"/>
  </w:num>
  <w:num w:numId="14" w16cid:durableId="1323196369">
    <w:abstractNumId w:val="15"/>
  </w:num>
  <w:num w:numId="15" w16cid:durableId="1155759885">
    <w:abstractNumId w:val="10"/>
  </w:num>
  <w:num w:numId="16" w16cid:durableId="2102484975">
    <w:abstractNumId w:val="4"/>
  </w:num>
  <w:num w:numId="17" w16cid:durableId="798230816">
    <w:abstractNumId w:val="8"/>
  </w:num>
  <w:num w:numId="18" w16cid:durableId="1399396594">
    <w:abstractNumId w:val="13"/>
  </w:num>
  <w:num w:numId="19" w16cid:durableId="744686741">
    <w:abstractNumId w:val="21"/>
  </w:num>
  <w:num w:numId="20" w16cid:durableId="1059209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1"/>
  </w:num>
  <w:num w:numId="28" w16cid:durableId="1764452740">
    <w:abstractNumId w:val="17"/>
  </w:num>
  <w:num w:numId="29" w16cid:durableId="712584618">
    <w:abstractNumId w:val="2"/>
  </w:num>
  <w:num w:numId="30" w16cid:durableId="205921299">
    <w:abstractNumId w:val="18"/>
  </w:num>
  <w:num w:numId="31" w16cid:durableId="1591965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6"/>
  </w:num>
  <w:num w:numId="34" w16cid:durableId="809634951">
    <w:abstractNumId w:val="25"/>
  </w:num>
  <w:num w:numId="35" w16cid:durableId="664239198">
    <w:abstractNumId w:val="14"/>
  </w:num>
  <w:num w:numId="36" w16cid:durableId="1097822337">
    <w:abstractNumId w:val="22"/>
  </w:num>
  <w:num w:numId="37" w16cid:durableId="473260388">
    <w:abstractNumId w:val="16"/>
  </w:num>
  <w:num w:numId="38" w16cid:durableId="318313915">
    <w:abstractNumId w:val="24"/>
  </w:num>
  <w:num w:numId="39" w16cid:durableId="155654680">
    <w:abstractNumId w:val="19"/>
  </w:num>
  <w:num w:numId="40" w16cid:durableId="1946888885">
    <w:abstractNumId w:val="12"/>
  </w:num>
  <w:num w:numId="41" w16cid:durableId="792599630">
    <w:abstractNumId w:val="9"/>
  </w:num>
  <w:num w:numId="42" w16cid:durableId="312952825">
    <w:abstractNumId w:val="7"/>
  </w:num>
  <w:num w:numId="43" w16cid:durableId="668144839">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F4"/>
    <w:rsid w:val="00014AE1"/>
    <w:rsid w:val="00017ACF"/>
    <w:rsid w:val="00046781"/>
    <w:rsid w:val="000467F2"/>
    <w:rsid w:val="00051D5A"/>
    <w:rsid w:val="000528F4"/>
    <w:rsid w:val="000534DA"/>
    <w:rsid w:val="000538FF"/>
    <w:rsid w:val="000541E3"/>
    <w:rsid w:val="000629A6"/>
    <w:rsid w:val="00072DD7"/>
    <w:rsid w:val="00082214"/>
    <w:rsid w:val="000834C6"/>
    <w:rsid w:val="000864DA"/>
    <w:rsid w:val="000A5368"/>
    <w:rsid w:val="001011EF"/>
    <w:rsid w:val="001029F1"/>
    <w:rsid w:val="00106528"/>
    <w:rsid w:val="00117076"/>
    <w:rsid w:val="00134F4B"/>
    <w:rsid w:val="001357AC"/>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0649"/>
  <w15:chartTrackingRefBased/>
  <w15:docId w15:val="{E13ECC83-ED63-465D-AA9F-A827DC6C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55473421">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5</Pages>
  <Words>1192</Words>
  <Characters>7513</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2026-03-29T06:49:00Z</dcterms:created>
  <dcterms:modified xsi:type="dcterms:W3CDTF">2026-03-29T06:50:00Z</dcterms:modified>
</cp:coreProperties>
</file>