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E804E" w14:textId="77777777" w:rsidR="002A1D99" w:rsidRPr="002A1D99" w:rsidRDefault="002A1D99" w:rsidP="002A1D99">
      <w:pPr>
        <w:rPr>
          <w:b/>
          <w:bCs/>
        </w:rPr>
      </w:pPr>
      <w:r w:rsidRPr="002A1D99">
        <w:rPr>
          <w:b/>
          <w:bCs/>
        </w:rPr>
        <w:t xml:space="preserve">6.x Statistische Bewertbarkeit der Datenbasis </w:t>
      </w:r>
      <w:r w:rsidRPr="002A1D99">
        <w:rPr>
          <w:b/>
          <w:bCs/>
          <w:i/>
          <w:iCs/>
        </w:rPr>
        <w:t>datenm_values_sem_dichte_lehrer_type_3</w:t>
      </w:r>
      <w:r w:rsidRPr="002A1D99">
        <w:rPr>
          <w:b/>
          <w:bCs/>
        </w:rPr>
        <w:t xml:space="preserve"> im Rahmen des FRZK</w:t>
      </w:r>
    </w:p>
    <w:p w14:paraId="66ECD6FF" w14:textId="77777777" w:rsidR="002A1D99" w:rsidRPr="002A1D99" w:rsidRDefault="002A1D99" w:rsidP="002A1D99">
      <w:r w:rsidRPr="002A1D99">
        <w:t xml:space="preserve">Die in der View </w:t>
      </w:r>
      <w:r w:rsidRPr="002A1D99">
        <w:rPr>
          <w:i/>
          <w:iCs/>
        </w:rPr>
        <w:t>datenm_values_sem_dichte_lehrer_type_3</w:t>
      </w:r>
      <w:r w:rsidRPr="002A1D99">
        <w:t xml:space="preserve"> vorliegende Datenbasis stellt keinen klassischen empirischen Datensatz im Sinne roh erhobener Messwerte dar, sondern ein bereits transformiertes System semantischer Zustände, das durch die </w:t>
      </w:r>
      <w:proofErr w:type="spellStart"/>
      <w:r w:rsidRPr="002A1D99">
        <w:t>operatorische</w:t>
      </w:r>
      <w:proofErr w:type="spellEnd"/>
      <w:r w:rsidRPr="002A1D99">
        <w:t xml:space="preserve"> Struktur des Funktionalen Raum-Zeit-Kohärenzsystems (FRZK) erzeugt wurde. Die statistische Bewertbarkeit dieser Daten muss daher aus einer modellimmanenten Perspektive erfolgen, die die Transformationseigenschaften der Daten explizit berücksichtigt.</w:t>
      </w:r>
    </w:p>
    <w:p w14:paraId="2700EA5A" w14:textId="77777777" w:rsidR="002A1D99" w:rsidRPr="002A1D99" w:rsidRDefault="002A1D99" w:rsidP="002A1D99">
      <w:r w:rsidRPr="002A1D99">
        <w:t xml:space="preserve">Ausgangspunkt bildet die Abbildung einer semantischen Einheit </w:t>
      </w:r>
      <w:proofErr w:type="spellStart"/>
      <w:r w:rsidRPr="002A1D99">
        <w:t>sis_isi</w:t>
      </w:r>
      <w:proofErr w:type="spellEnd"/>
      <w:r w:rsidRPr="002A1D99">
        <w:t>​ (z. B. eines Lehrkraftsatzes) auf einen sieben-dimensionalen Zustandsvektor</w:t>
      </w:r>
    </w:p>
    <w:p w14:paraId="692B3FE1" w14:textId="77777777" w:rsidR="002A1D99" w:rsidRPr="002A1D99" w:rsidRDefault="002A1D99" w:rsidP="002A1D99">
      <w:r w:rsidRPr="002A1D99">
        <w:t>xi=(</w:t>
      </w:r>
      <w:proofErr w:type="gramStart"/>
      <w:r w:rsidRPr="002A1D99">
        <w:t>xkognition,xsozial</w:t>
      </w:r>
      <w:proofErr w:type="gramEnd"/>
      <w:r w:rsidRPr="002A1D99">
        <w:t>,xaffektiv,xmotivation,xmethodik,xperformanz,xregulation)</w:t>
      </w:r>
      <w:r w:rsidRPr="002A1D99">
        <w:rPr>
          <w:rFonts w:ascii="Cambria Math" w:hAnsi="Cambria Math" w:cs="Cambria Math"/>
        </w:rPr>
        <w:t>∈</w:t>
      </w:r>
      <w:r w:rsidRPr="002A1D99">
        <w:t>R7.x_i = (x_{</w:t>
      </w:r>
      <w:proofErr w:type="spellStart"/>
      <w:r w:rsidRPr="002A1D99">
        <w:t>kognition</w:t>
      </w:r>
      <w:proofErr w:type="spellEnd"/>
      <w:r w:rsidRPr="002A1D99">
        <w:t>}, x_{sozial}, x_{affektiv}, x_{</w:t>
      </w:r>
      <w:proofErr w:type="spellStart"/>
      <w:r w:rsidRPr="002A1D99">
        <w:t>motivation</w:t>
      </w:r>
      <w:proofErr w:type="spellEnd"/>
      <w:r w:rsidRPr="002A1D99">
        <w:t>}, x_{</w:t>
      </w:r>
      <w:proofErr w:type="spellStart"/>
      <w:r w:rsidRPr="002A1D99">
        <w:t>methodik</w:t>
      </w:r>
      <w:proofErr w:type="spellEnd"/>
      <w:r w:rsidRPr="002A1D99">
        <w:t>}, x_{</w:t>
      </w:r>
      <w:proofErr w:type="spellStart"/>
      <w:r w:rsidRPr="002A1D99">
        <w:t>performanz</w:t>
      </w:r>
      <w:proofErr w:type="spellEnd"/>
      <w:r w:rsidRPr="002A1D99">
        <w:t>}, x_{</w:t>
      </w:r>
      <w:proofErr w:type="spellStart"/>
      <w:r w:rsidRPr="002A1D99">
        <w:t>regulation</w:t>
      </w:r>
      <w:proofErr w:type="spellEnd"/>
      <w:r w:rsidRPr="002A1D99">
        <w:t>}) \in \mathbb{R}^7.xi​=(xkognition​,xsozial​,xaffektiv​,xmotivation​,xmethodik​,xperformanz​,xregulation​)</w:t>
      </w:r>
      <w:r w:rsidRPr="002A1D99">
        <w:rPr>
          <w:rFonts w:ascii="Cambria Math" w:hAnsi="Cambria Math" w:cs="Cambria Math"/>
        </w:rPr>
        <w:t>∈</w:t>
      </w:r>
      <w:r w:rsidRPr="002A1D99">
        <w:t xml:space="preserve">R7. </w:t>
      </w:r>
    </w:p>
    <w:p w14:paraId="3B3E9BFD" w14:textId="77777777" w:rsidR="002A1D99" w:rsidRPr="002A1D99" w:rsidRDefault="002A1D99" w:rsidP="002A1D99">
      <w:r w:rsidRPr="002A1D99">
        <w:t>Diese Abbildung erfolgt nicht direkt, sondern über eine Verkettung FRZK-spezifischer Operatoren, die die semantische Struktur sukzessive transformieren. Formal lässt sich dieser Prozess als Komposition schreiben:</w:t>
      </w:r>
    </w:p>
    <w:p w14:paraId="6BF31F69" w14:textId="77777777" w:rsidR="002A1D99" w:rsidRPr="002A1D99" w:rsidRDefault="002A1D99" w:rsidP="002A1D99">
      <w:r w:rsidRPr="002A1D99">
        <w:t>xi=</w:t>
      </w:r>
      <w:proofErr w:type="spellStart"/>
      <w:r w:rsidRPr="002A1D99">
        <w:t>M</w:t>
      </w:r>
      <w:r w:rsidRPr="002A1D99">
        <w:rPr>
          <w:rFonts w:ascii="Cambria Math" w:hAnsi="Cambria Math" w:cs="Cambria Math"/>
        </w:rPr>
        <w:t>∘</w:t>
      </w:r>
      <w:r w:rsidRPr="002A1D99">
        <w:t>E</w:t>
      </w:r>
      <w:r w:rsidRPr="002A1D99">
        <w:rPr>
          <w:rFonts w:ascii="Cambria Math" w:hAnsi="Cambria Math" w:cs="Cambria Math"/>
        </w:rPr>
        <w:t>∘</w:t>
      </w:r>
      <w:r w:rsidRPr="002A1D99">
        <w:t>R</w:t>
      </w:r>
      <w:r w:rsidRPr="002A1D99">
        <w:rPr>
          <w:rFonts w:ascii="Cambria Math" w:hAnsi="Cambria Math" w:cs="Cambria Math"/>
        </w:rPr>
        <w:t>∘</w:t>
      </w:r>
      <w:r w:rsidRPr="002A1D99">
        <w:rPr>
          <w:rFonts w:cs="Calibri"/>
        </w:rPr>
        <w:t>σ</w:t>
      </w:r>
      <w:proofErr w:type="spellEnd"/>
      <w:r w:rsidRPr="002A1D99">
        <w:t>(si).</w:t>
      </w:r>
      <w:proofErr w:type="spellStart"/>
      <w:r w:rsidRPr="002A1D99">
        <w:t>x_i</w:t>
      </w:r>
      <w:proofErr w:type="spellEnd"/>
      <w:r w:rsidRPr="002A1D99">
        <w:t xml:space="preserve"> = M \</w:t>
      </w:r>
      <w:proofErr w:type="spellStart"/>
      <w:r w:rsidRPr="002A1D99">
        <w:t>circ</w:t>
      </w:r>
      <w:proofErr w:type="spellEnd"/>
      <w:r w:rsidRPr="002A1D99">
        <w:t xml:space="preserve"> E \</w:t>
      </w:r>
      <w:proofErr w:type="spellStart"/>
      <w:r w:rsidRPr="002A1D99">
        <w:t>circ</w:t>
      </w:r>
      <w:proofErr w:type="spellEnd"/>
      <w:r w:rsidRPr="002A1D99">
        <w:t xml:space="preserve"> R \</w:t>
      </w:r>
      <w:proofErr w:type="spellStart"/>
      <w:r w:rsidRPr="002A1D99">
        <w:t>circ</w:t>
      </w:r>
      <w:proofErr w:type="spellEnd"/>
      <w:r w:rsidRPr="002A1D99">
        <w:t xml:space="preserve"> \</w:t>
      </w:r>
      <w:proofErr w:type="spellStart"/>
      <w:r w:rsidRPr="002A1D99">
        <w:t>sigma</w:t>
      </w:r>
      <w:proofErr w:type="spellEnd"/>
      <w:r w:rsidRPr="002A1D99">
        <w:t xml:space="preserve"> (</w:t>
      </w:r>
      <w:proofErr w:type="spellStart"/>
      <w:r w:rsidRPr="002A1D99">
        <w:t>s_i</w:t>
      </w:r>
      <w:proofErr w:type="spellEnd"/>
      <w:proofErr w:type="gramStart"/>
      <w:r w:rsidRPr="002A1D99">
        <w:t>).xi​</w:t>
      </w:r>
      <w:proofErr w:type="gramEnd"/>
      <w:r w:rsidRPr="002A1D99">
        <w:t>=</w:t>
      </w:r>
      <w:proofErr w:type="spellStart"/>
      <w:r w:rsidRPr="002A1D99">
        <w:t>M</w:t>
      </w:r>
      <w:r w:rsidRPr="002A1D99">
        <w:rPr>
          <w:rFonts w:ascii="Cambria Math" w:hAnsi="Cambria Math" w:cs="Cambria Math"/>
        </w:rPr>
        <w:t>∘</w:t>
      </w:r>
      <w:r w:rsidRPr="002A1D99">
        <w:t>E</w:t>
      </w:r>
      <w:r w:rsidRPr="002A1D99">
        <w:rPr>
          <w:rFonts w:ascii="Cambria Math" w:hAnsi="Cambria Math" w:cs="Cambria Math"/>
        </w:rPr>
        <w:t>∘</w:t>
      </w:r>
      <w:r w:rsidRPr="002A1D99">
        <w:t>R</w:t>
      </w:r>
      <w:r w:rsidRPr="002A1D99">
        <w:rPr>
          <w:rFonts w:ascii="Cambria Math" w:hAnsi="Cambria Math" w:cs="Cambria Math"/>
        </w:rPr>
        <w:t>∘</w:t>
      </w:r>
      <w:r w:rsidRPr="002A1D99">
        <w:t>σ</w:t>
      </w:r>
      <w:proofErr w:type="spellEnd"/>
      <w:r w:rsidRPr="002A1D99">
        <w:t xml:space="preserve">(si​). </w:t>
      </w:r>
    </w:p>
    <w:p w14:paraId="6908EB90" w14:textId="77777777" w:rsidR="002A1D99" w:rsidRPr="002A1D99" w:rsidRDefault="002A1D99" w:rsidP="002A1D99">
      <w:r w:rsidRPr="002A1D99">
        <w:t>Dabei bezeichnet</w:t>
      </w:r>
      <w:r w:rsidRPr="002A1D99">
        <w:br/>
        <w:t>σ\</w:t>
      </w:r>
      <w:proofErr w:type="spellStart"/>
      <w:r w:rsidRPr="002A1D99">
        <w:t>sigmaσ</w:t>
      </w:r>
      <w:proofErr w:type="spellEnd"/>
      <w:r w:rsidRPr="002A1D99">
        <w:t xml:space="preserve"> die semantische Selektion,</w:t>
      </w:r>
      <w:r w:rsidRPr="002A1D99">
        <w:br/>
        <w:t>RRR die relationale Strukturierung,</w:t>
      </w:r>
      <w:r w:rsidRPr="002A1D99">
        <w:br/>
        <w:t>EEE die emergente Verdichtung und</w:t>
      </w:r>
      <w:r w:rsidRPr="002A1D99">
        <w:br/>
        <w:t>MMM die metrische Projektion in den Zustandsraum.</w:t>
      </w:r>
    </w:p>
    <w:p w14:paraId="1641ED39" w14:textId="77777777" w:rsidR="002A1D99" w:rsidRPr="002A1D99" w:rsidRDefault="002A1D99" w:rsidP="002A1D99">
      <w:r w:rsidRPr="002A1D99">
        <w:t xml:space="preserve">Damit ist jeder beobachtete Datenpunkt bereits Ergebnis einer strukturellen Transformation und nicht eines direkten Messvorgangs. Dies hat unmittelbare Konsequenzen für die statistische Interpretation: Die Daten besitzen kein rein empirisches, sondern ein </w:t>
      </w:r>
      <w:r w:rsidRPr="002A1D99">
        <w:rPr>
          <w:b/>
          <w:bCs/>
        </w:rPr>
        <w:t>modellgeneriertes metrisches Skalenniveau</w:t>
      </w:r>
      <w:r w:rsidRPr="002A1D99">
        <w:t>.</w:t>
      </w:r>
    </w:p>
    <w:p w14:paraId="7A366B7C" w14:textId="77777777" w:rsidR="002A1D99" w:rsidRPr="002A1D99" w:rsidRDefault="002A1D99" w:rsidP="002A1D99">
      <w:r w:rsidRPr="002A1D99">
        <w:t>Die Gesamtheit aller Vektoren definiert einen Zustandsraum</w:t>
      </w:r>
    </w:p>
    <w:p w14:paraId="14C674B4" w14:textId="77777777" w:rsidR="002A1D99" w:rsidRPr="002A1D99" w:rsidRDefault="002A1D99" w:rsidP="002A1D99">
      <w:r w:rsidRPr="002A1D99">
        <w:t>Z={xi</w:t>
      </w:r>
      <w:r w:rsidRPr="002A1D99">
        <w:rPr>
          <w:rFonts w:ascii="Cambria Math" w:hAnsi="Cambria Math" w:cs="Cambria Math"/>
        </w:rPr>
        <w:t>∣</w:t>
      </w:r>
      <w:r w:rsidRPr="002A1D99">
        <w:t>xi</w:t>
      </w:r>
      <w:r w:rsidRPr="002A1D99">
        <w:rPr>
          <w:rFonts w:ascii="Cambria Math" w:hAnsi="Cambria Math" w:cs="Cambria Math"/>
        </w:rPr>
        <w:t>∈</w:t>
      </w:r>
      <w:r w:rsidRPr="002A1D99">
        <w:t>R7</w:t>
      </w:r>
      <w:proofErr w:type="gramStart"/>
      <w:r w:rsidRPr="002A1D99">
        <w:t>},Z</w:t>
      </w:r>
      <w:proofErr w:type="gramEnd"/>
      <w:r w:rsidRPr="002A1D99">
        <w:t xml:space="preserve"> = \{ </w:t>
      </w:r>
      <w:proofErr w:type="spellStart"/>
      <w:r w:rsidRPr="002A1D99">
        <w:t>x_i</w:t>
      </w:r>
      <w:proofErr w:type="spellEnd"/>
      <w:r w:rsidRPr="002A1D99">
        <w:t xml:space="preserve"> \</w:t>
      </w:r>
      <w:proofErr w:type="spellStart"/>
      <w:r w:rsidRPr="002A1D99">
        <w:t>mid</w:t>
      </w:r>
      <w:proofErr w:type="spellEnd"/>
      <w:r w:rsidRPr="002A1D99">
        <w:t xml:space="preserve"> </w:t>
      </w:r>
      <w:proofErr w:type="spellStart"/>
      <w:r w:rsidRPr="002A1D99">
        <w:t>x_i</w:t>
      </w:r>
      <w:proofErr w:type="spellEnd"/>
      <w:r w:rsidRPr="002A1D99">
        <w:t xml:space="preserve"> \in \</w:t>
      </w:r>
      <w:proofErr w:type="spellStart"/>
      <w:r w:rsidRPr="002A1D99">
        <w:t>mathbb</w:t>
      </w:r>
      <w:proofErr w:type="spellEnd"/>
      <w:r w:rsidRPr="002A1D99">
        <w:t>{R}^7 \},Z={xi​</w:t>
      </w:r>
      <w:r w:rsidRPr="002A1D99">
        <w:rPr>
          <w:rFonts w:ascii="Cambria Math" w:hAnsi="Cambria Math" w:cs="Cambria Math"/>
        </w:rPr>
        <w:t>∣</w:t>
      </w:r>
      <w:r w:rsidRPr="002A1D99">
        <w:t>xi​</w:t>
      </w:r>
      <w:r w:rsidRPr="002A1D99">
        <w:rPr>
          <w:rFonts w:ascii="Cambria Math" w:hAnsi="Cambria Math" w:cs="Cambria Math"/>
        </w:rPr>
        <w:t>∈</w:t>
      </w:r>
      <w:r w:rsidRPr="002A1D99">
        <w:t xml:space="preserve">R7}, </w:t>
      </w:r>
    </w:p>
    <w:p w14:paraId="1C77CC39" w14:textId="77777777" w:rsidR="002A1D99" w:rsidRPr="002A1D99" w:rsidRDefault="002A1D99" w:rsidP="002A1D99">
      <w:proofErr w:type="gramStart"/>
      <w:r w:rsidRPr="002A1D99">
        <w:t>in dem statistische Operationen</w:t>
      </w:r>
      <w:proofErr w:type="gramEnd"/>
      <w:r w:rsidRPr="002A1D99">
        <w:t xml:space="preserve"> nicht auf Rohdaten, sondern auf bereits strukturierten Zuständen operieren. Die View ergänzt diesen Raum um weitere abgeleitete Größen wie die dominante Dimension </w:t>
      </w:r>
      <w:proofErr w:type="spellStart"/>
      <w:r w:rsidRPr="002A1D99">
        <w:t>did_idi</w:t>
      </w:r>
      <w:proofErr w:type="spellEnd"/>
      <w:r w:rsidRPr="002A1D99">
        <w:t xml:space="preserve">​, deren Betrag </w:t>
      </w:r>
      <w:r w:rsidRPr="002A1D99">
        <w:rPr>
          <w:rFonts w:ascii="Cambria Math" w:hAnsi="Cambria Math" w:cs="Cambria Math"/>
        </w:rPr>
        <w:t>∥</w:t>
      </w:r>
      <w:r w:rsidRPr="002A1D99">
        <w:t>di</w:t>
      </w:r>
      <w:r w:rsidRPr="002A1D99">
        <w:rPr>
          <w:rFonts w:ascii="Cambria Math" w:hAnsi="Cambria Math" w:cs="Cambria Math"/>
        </w:rPr>
        <w:t>∥</w:t>
      </w:r>
      <w:r w:rsidRPr="002A1D99">
        <w:t>\|</w:t>
      </w:r>
      <w:proofErr w:type="spellStart"/>
      <w:r w:rsidRPr="002A1D99">
        <w:t>d_i</w:t>
      </w:r>
      <w:proofErr w:type="spellEnd"/>
      <w:r w:rsidRPr="002A1D99">
        <w:t>\|</w:t>
      </w:r>
      <w:r w:rsidRPr="002A1D99">
        <w:rPr>
          <w:rFonts w:ascii="Cambria Math" w:hAnsi="Cambria Math" w:cs="Cambria Math"/>
        </w:rPr>
        <w:t>∥</w:t>
      </w:r>
      <w:r w:rsidRPr="002A1D99">
        <w:t>di​</w:t>
      </w:r>
      <w:r w:rsidRPr="002A1D99">
        <w:rPr>
          <w:rFonts w:ascii="Cambria Math" w:hAnsi="Cambria Math" w:cs="Cambria Math"/>
        </w:rPr>
        <w:t>∥</w:t>
      </w:r>
      <w:r w:rsidRPr="002A1D99">
        <w:t xml:space="preserve">, die Polarität </w:t>
      </w:r>
      <w:proofErr w:type="spellStart"/>
      <w:r w:rsidRPr="002A1D99">
        <w:t>pi</w:t>
      </w:r>
      <w:proofErr w:type="spellEnd"/>
      <w:proofErr w:type="gramStart"/>
      <w:r w:rsidRPr="002A1D99">
        <w:rPr>
          <w:rFonts w:ascii="Cambria Math" w:hAnsi="Cambria Math" w:cs="Cambria Math"/>
        </w:rPr>
        <w:t>∈</w:t>
      </w:r>
      <w:r w:rsidRPr="002A1D99">
        <w:t>{</w:t>
      </w:r>
      <w:proofErr w:type="gramEnd"/>
      <w:r w:rsidRPr="002A1D99">
        <w:rPr>
          <w:rFonts w:cs="Calibri"/>
        </w:rPr>
        <w:t>−</w:t>
      </w:r>
      <w:r w:rsidRPr="002A1D99">
        <w:t>1,+1}</w:t>
      </w:r>
      <w:proofErr w:type="spellStart"/>
      <w:r w:rsidRPr="002A1D99">
        <w:t>p_i</w:t>
      </w:r>
      <w:proofErr w:type="spellEnd"/>
      <w:r w:rsidRPr="002A1D99">
        <w:t xml:space="preserve"> \in \{-1, +1\}</w:t>
      </w:r>
      <w:proofErr w:type="spellStart"/>
      <w:r w:rsidRPr="002A1D99">
        <w:t>pi</w:t>
      </w:r>
      <w:proofErr w:type="spellEnd"/>
      <w:r w:rsidRPr="002A1D99">
        <w:t>​</w:t>
      </w:r>
      <w:r w:rsidRPr="002A1D99">
        <w:rPr>
          <w:rFonts w:ascii="Cambria Math" w:hAnsi="Cambria Math" w:cs="Cambria Math"/>
        </w:rPr>
        <w:t>∈</w:t>
      </w:r>
      <w:r w:rsidRPr="002A1D99">
        <w:t xml:space="preserve">{−1,+1} sowie die semantische Distanz </w:t>
      </w:r>
      <w:proofErr w:type="spellStart"/>
      <w:r w:rsidRPr="002A1D99">
        <w:t>dsem</w:t>
      </w:r>
      <w:proofErr w:type="spellEnd"/>
      <w:r w:rsidRPr="002A1D99">
        <w:t>(xi)d_{\</w:t>
      </w:r>
      <w:proofErr w:type="spellStart"/>
      <w:r w:rsidRPr="002A1D99">
        <w:t>text</w:t>
      </w:r>
      <w:proofErr w:type="spellEnd"/>
      <w:r w:rsidRPr="002A1D99">
        <w:t>{</w:t>
      </w:r>
      <w:proofErr w:type="spellStart"/>
      <w:r w:rsidRPr="002A1D99">
        <w:t>sem</w:t>
      </w:r>
      <w:proofErr w:type="spellEnd"/>
      <w:r w:rsidRPr="002A1D99">
        <w:t>}}(</w:t>
      </w:r>
      <w:proofErr w:type="spellStart"/>
      <w:r w:rsidRPr="002A1D99">
        <w:t>x_i</w:t>
      </w:r>
      <w:proofErr w:type="spellEnd"/>
      <w:r w:rsidRPr="002A1D99">
        <w:t>)</w:t>
      </w:r>
      <w:proofErr w:type="spellStart"/>
      <w:r w:rsidRPr="002A1D99">
        <w:t>dsem</w:t>
      </w:r>
      <w:proofErr w:type="spellEnd"/>
      <w:r w:rsidRPr="002A1D99">
        <w:t>​(xi​). Dadurch entsteht ein mehrschichtiges Datenmodell, das sowohl metrische als auch kategoriale Informationen enthält.</w:t>
      </w:r>
    </w:p>
    <w:p w14:paraId="3AE26E57" w14:textId="77777777" w:rsidR="002A1D99" w:rsidRPr="002A1D99" w:rsidRDefault="002A1D99" w:rsidP="002A1D99">
      <w:r w:rsidRPr="002A1D99">
        <w:t>Eine zentrale Voraussetzung klassischer Inferenzstatistik – die Unabhängigkeit der Beobachtungen – ist in dieser Datenbasis jedoch systematisch verletzt. Mehrere Vektoren stammen aus identischen Kontexten (gleiche Lehrkraft, gleiche Gruppe, gleiche Kalenderwoche), sodass eine hierarchische Abhängigkeitsstruktur vorliegt. Formal lässt sich dies als Clusterstruktur</w:t>
      </w:r>
    </w:p>
    <w:p w14:paraId="1BAFCBF6" w14:textId="77777777" w:rsidR="002A1D99" w:rsidRPr="002A1D99" w:rsidRDefault="002A1D99" w:rsidP="002A1D99">
      <w:proofErr w:type="spellStart"/>
      <w:proofErr w:type="gramStart"/>
      <w:r w:rsidRPr="002A1D99">
        <w:t>xi,j</w:t>
      </w:r>
      <w:proofErr w:type="gramEnd"/>
      <w:r w:rsidRPr="002A1D99">
        <w:t>,k</w:t>
      </w:r>
      <w:r w:rsidRPr="002A1D99">
        <w:rPr>
          <w:rFonts w:ascii="Cambria Math" w:hAnsi="Cambria Math" w:cs="Cambria Math"/>
        </w:rPr>
        <w:t>∼</w:t>
      </w:r>
      <w:r w:rsidRPr="002A1D99">
        <w:t>C</w:t>
      </w:r>
      <w:proofErr w:type="spellEnd"/>
      <w:r w:rsidRPr="002A1D99">
        <w:t>(gruppe=</w:t>
      </w:r>
      <w:proofErr w:type="spellStart"/>
      <w:r w:rsidRPr="002A1D99">
        <w:t>j,lehrkraft</w:t>
      </w:r>
      <w:proofErr w:type="spellEnd"/>
      <w:r w:rsidRPr="002A1D99">
        <w:t>=</w:t>
      </w:r>
      <w:proofErr w:type="spellStart"/>
      <w:r w:rsidRPr="002A1D99">
        <w:t>k,zeit</w:t>
      </w:r>
      <w:proofErr w:type="spellEnd"/>
      <w:r w:rsidRPr="002A1D99">
        <w:t>=t)x_{</w:t>
      </w:r>
      <w:proofErr w:type="spellStart"/>
      <w:r w:rsidRPr="002A1D99">
        <w:t>i,j,k</w:t>
      </w:r>
      <w:proofErr w:type="spellEnd"/>
      <w:r w:rsidRPr="002A1D99">
        <w:t>} \</w:t>
      </w:r>
      <w:proofErr w:type="spellStart"/>
      <w:r w:rsidRPr="002A1D99">
        <w:t>sim</w:t>
      </w:r>
      <w:proofErr w:type="spellEnd"/>
      <w:r w:rsidRPr="002A1D99">
        <w:t xml:space="preserve"> C_{(gruppe=j, </w:t>
      </w:r>
      <w:proofErr w:type="spellStart"/>
      <w:r w:rsidRPr="002A1D99">
        <w:t>lehrkraft</w:t>
      </w:r>
      <w:proofErr w:type="spellEnd"/>
      <w:r w:rsidRPr="002A1D99">
        <w:t>=k, zeit=t)}</w:t>
      </w:r>
      <w:proofErr w:type="spellStart"/>
      <w:r w:rsidRPr="002A1D99">
        <w:t>xi,j,k</w:t>
      </w:r>
      <w:proofErr w:type="spellEnd"/>
      <w:r w:rsidRPr="002A1D99">
        <w:t>​</w:t>
      </w:r>
      <w:r w:rsidRPr="002A1D99">
        <w:rPr>
          <w:rFonts w:ascii="Cambria Math" w:hAnsi="Cambria Math" w:cs="Cambria Math"/>
        </w:rPr>
        <w:t>∼</w:t>
      </w:r>
      <w:r w:rsidRPr="002A1D99">
        <w:t>C(gruppe=</w:t>
      </w:r>
      <w:proofErr w:type="spellStart"/>
      <w:r w:rsidRPr="002A1D99">
        <w:t>j,lehrkraft</w:t>
      </w:r>
      <w:proofErr w:type="spellEnd"/>
      <w:r w:rsidRPr="002A1D99">
        <w:t>=</w:t>
      </w:r>
      <w:proofErr w:type="spellStart"/>
      <w:r w:rsidRPr="002A1D99">
        <w:t>k,zeit</w:t>
      </w:r>
      <w:proofErr w:type="spellEnd"/>
      <w:r w:rsidRPr="002A1D99">
        <w:t xml:space="preserve">=t)​ </w:t>
      </w:r>
    </w:p>
    <w:p w14:paraId="4230535D" w14:textId="77777777" w:rsidR="002A1D99" w:rsidRPr="002A1D99" w:rsidRDefault="002A1D99" w:rsidP="002A1D99">
      <w:r w:rsidRPr="002A1D99">
        <w:lastRenderedPageBreak/>
        <w:t>auffassen, wodurch Standardverfahren wie t-Tests oder Varianzanalysen nur eingeschränkt anwendbar sind. Stattdessen erfordert die Datenstruktur entweder eine explizite Modellierung dieser Abhängigkeiten (z. B. Mixed-</w:t>
      </w:r>
      <w:proofErr w:type="spellStart"/>
      <w:r w:rsidRPr="002A1D99">
        <w:t>Effects</w:t>
      </w:r>
      <w:proofErr w:type="spellEnd"/>
      <w:r w:rsidRPr="002A1D99">
        <w:t>-Modelle) oder eine Aggregation entlang der Zeit- bzw. Gruppenachse.</w:t>
      </w:r>
    </w:p>
    <w:p w14:paraId="52FAFD10" w14:textId="77777777" w:rsidR="002A1D99" w:rsidRPr="002A1D99" w:rsidRDefault="002A1D99" w:rsidP="002A1D99">
      <w:r w:rsidRPr="002A1D99">
        <w:t>Ein weiterer entscheidender Aspekt ist die Varianzstruktur der Daten. Die Dimensionen zeigen eine deutliche Heterogenität: Während kognitive und performative Komponenten hohe und relativ stabile Werte aufweisen, zeigen affektive und soziale Dimensionen eine geringere Streuung bzw. stärkere Kontextabhängigkeit. Dies führt zu einer anisotropen Verteilung im Zustandsraum, die sich formal als unterschiedliche Varianzen</w:t>
      </w:r>
    </w:p>
    <w:p w14:paraId="01CB2655" w14:textId="77777777" w:rsidR="002A1D99" w:rsidRPr="002A1D99" w:rsidRDefault="002A1D99" w:rsidP="002A1D99">
      <w:r w:rsidRPr="002A1D99">
        <w:t>Var(xkognition)≠Var(xaffektiv)≠Var(xsozial)\</w:t>
      </w:r>
      <w:proofErr w:type="gramStart"/>
      <w:r w:rsidRPr="002A1D99">
        <w:t>mathrm{</w:t>
      </w:r>
      <w:proofErr w:type="gramEnd"/>
      <w:r w:rsidRPr="002A1D99">
        <w:t>Var}(x_{kognition}) \</w:t>
      </w:r>
      <w:proofErr w:type="spellStart"/>
      <w:r w:rsidRPr="002A1D99">
        <w:t>neq</w:t>
      </w:r>
      <w:proofErr w:type="spellEnd"/>
      <w:r w:rsidRPr="002A1D99">
        <w:t xml:space="preserve"> \</w:t>
      </w:r>
      <w:proofErr w:type="spellStart"/>
      <w:r w:rsidRPr="002A1D99">
        <w:t>mathrm</w:t>
      </w:r>
      <w:proofErr w:type="spellEnd"/>
      <w:r w:rsidRPr="002A1D99">
        <w:t>{Var}(x_{affektiv}) \</w:t>
      </w:r>
      <w:proofErr w:type="spellStart"/>
      <w:r w:rsidRPr="002A1D99">
        <w:t>neq</w:t>
      </w:r>
      <w:proofErr w:type="spellEnd"/>
      <w:r w:rsidRPr="002A1D99">
        <w:t xml:space="preserve"> \mathrm{Var}(x_{sozial})Var(xkognition​)=Var(xaffektiv​)=Var(xsozial​) </w:t>
      </w:r>
    </w:p>
    <w:p w14:paraId="698A4459" w14:textId="77777777" w:rsidR="002A1D99" w:rsidRPr="002A1D99" w:rsidRDefault="002A1D99" w:rsidP="002A1D99">
      <w:r w:rsidRPr="002A1D99">
        <w:t>beschreiben lässt. Klassische Verfahren, die Homoskedastizität voraussetzen, sind damit nur eingeschränkt gültig.</w:t>
      </w:r>
    </w:p>
    <w:p w14:paraId="786CF062" w14:textId="77777777" w:rsidR="002A1D99" w:rsidRPr="002A1D99" w:rsidRDefault="002A1D99" w:rsidP="002A1D99">
      <w:r w:rsidRPr="002A1D99">
        <w:t>Demgegenüber liegt die Stärke der Datenbasis in ihrer strukturellen Konsistenz. Die Transformation über die Funktionsklassen und die gewichtete Projektion (vgl. Gewichtungsschema der Dimensionen) erzeugt einen kohärenten Raum, in dem ähnliche semantische Einheiten zu ähnlichen Vektoren führen. Dies impliziert eine zentrale Eigenschaft des FRZK:</w:t>
      </w:r>
    </w:p>
    <w:p w14:paraId="064EDF95" w14:textId="77777777" w:rsidR="002A1D99" w:rsidRPr="002A1D99" w:rsidRDefault="002A1D99" w:rsidP="002A1D99">
      <w:r w:rsidRPr="002A1D99">
        <w:rPr>
          <w:rFonts w:ascii="Cambria Math" w:hAnsi="Cambria Math" w:cs="Cambria Math"/>
        </w:rPr>
        <w:t>∀</w:t>
      </w:r>
      <w:proofErr w:type="spellStart"/>
      <w:proofErr w:type="gramStart"/>
      <w:r w:rsidRPr="002A1D99">
        <w:t>si,sj</w:t>
      </w:r>
      <w:proofErr w:type="gramEnd"/>
      <w:r w:rsidRPr="002A1D99">
        <w:t>:sim</w:t>
      </w:r>
      <w:proofErr w:type="spellEnd"/>
      <w:r w:rsidRPr="002A1D99">
        <w:t>(</w:t>
      </w:r>
      <w:proofErr w:type="spellStart"/>
      <w:r w:rsidRPr="002A1D99">
        <w:t>si,sj</w:t>
      </w:r>
      <w:proofErr w:type="spellEnd"/>
      <w:r w:rsidRPr="002A1D99">
        <w:t>)</w:t>
      </w:r>
      <w:r w:rsidRPr="002A1D99">
        <w:rPr>
          <w:rFonts w:ascii="Cambria Math" w:hAnsi="Cambria Math" w:cs="Cambria Math"/>
        </w:rPr>
        <w:t>⇒∥</w:t>
      </w:r>
      <w:r w:rsidRPr="002A1D99">
        <w:t>xi</w:t>
      </w:r>
      <w:r w:rsidRPr="002A1D99">
        <w:rPr>
          <w:rFonts w:cs="Calibri"/>
        </w:rPr>
        <w:t>−</w:t>
      </w:r>
      <w:proofErr w:type="spellStart"/>
      <w:r w:rsidRPr="002A1D99">
        <w:t>xj</w:t>
      </w:r>
      <w:proofErr w:type="spellEnd"/>
      <w:r w:rsidRPr="002A1D99">
        <w:rPr>
          <w:rFonts w:ascii="Cambria Math" w:hAnsi="Cambria Math" w:cs="Cambria Math"/>
        </w:rPr>
        <w:t>∥</w:t>
      </w:r>
      <w:r w:rsidRPr="002A1D99">
        <w:rPr>
          <w:rFonts w:cs="Calibri"/>
        </w:rPr>
        <w:t>→</w:t>
      </w:r>
      <w:r w:rsidRPr="002A1D99">
        <w:t>0.\</w:t>
      </w:r>
      <w:proofErr w:type="spellStart"/>
      <w:r w:rsidRPr="002A1D99">
        <w:t>forall</w:t>
      </w:r>
      <w:proofErr w:type="spellEnd"/>
      <w:r w:rsidRPr="002A1D99">
        <w:t xml:space="preserve"> </w:t>
      </w:r>
      <w:proofErr w:type="spellStart"/>
      <w:r w:rsidRPr="002A1D99">
        <w:t>s_i</w:t>
      </w:r>
      <w:proofErr w:type="spellEnd"/>
      <w:r w:rsidRPr="002A1D99">
        <w:t xml:space="preserve">, </w:t>
      </w:r>
      <w:proofErr w:type="spellStart"/>
      <w:r w:rsidRPr="002A1D99">
        <w:t>s_j</w:t>
      </w:r>
      <w:proofErr w:type="spellEnd"/>
      <w:r w:rsidRPr="002A1D99">
        <w:t>: \</w:t>
      </w:r>
      <w:proofErr w:type="spellStart"/>
      <w:r w:rsidRPr="002A1D99">
        <w:t>quad</w:t>
      </w:r>
      <w:proofErr w:type="spellEnd"/>
      <w:r w:rsidRPr="002A1D99">
        <w:t xml:space="preserve"> \</w:t>
      </w:r>
      <w:proofErr w:type="spellStart"/>
      <w:r w:rsidRPr="002A1D99">
        <w:t>mathrm</w:t>
      </w:r>
      <w:proofErr w:type="spellEnd"/>
      <w:r w:rsidRPr="002A1D99">
        <w:t>{</w:t>
      </w:r>
      <w:proofErr w:type="spellStart"/>
      <w:r w:rsidRPr="002A1D99">
        <w:t>sim</w:t>
      </w:r>
      <w:proofErr w:type="spellEnd"/>
      <w:r w:rsidRPr="002A1D99">
        <w:t>}(</w:t>
      </w:r>
      <w:proofErr w:type="spellStart"/>
      <w:r w:rsidRPr="002A1D99">
        <w:t>s_i</w:t>
      </w:r>
      <w:proofErr w:type="spellEnd"/>
      <w:r w:rsidRPr="002A1D99">
        <w:t xml:space="preserve">, </w:t>
      </w:r>
      <w:proofErr w:type="spellStart"/>
      <w:r w:rsidRPr="002A1D99">
        <w:t>s_j</w:t>
      </w:r>
      <w:proofErr w:type="spellEnd"/>
      <w:r w:rsidRPr="002A1D99">
        <w:t>) \</w:t>
      </w:r>
      <w:proofErr w:type="spellStart"/>
      <w:r w:rsidRPr="002A1D99">
        <w:t>Rightarrow</w:t>
      </w:r>
      <w:proofErr w:type="spellEnd"/>
      <w:r w:rsidRPr="002A1D99">
        <w:t xml:space="preserve"> \|</w:t>
      </w:r>
      <w:proofErr w:type="spellStart"/>
      <w:r w:rsidRPr="002A1D99">
        <w:t>x_i</w:t>
      </w:r>
      <w:proofErr w:type="spellEnd"/>
      <w:r w:rsidRPr="002A1D99">
        <w:t xml:space="preserve"> - </w:t>
      </w:r>
      <w:proofErr w:type="spellStart"/>
      <w:r w:rsidRPr="002A1D99">
        <w:t>x_j</w:t>
      </w:r>
      <w:proofErr w:type="spellEnd"/>
      <w:r w:rsidRPr="002A1D99">
        <w:t>\| \</w:t>
      </w:r>
      <w:proofErr w:type="spellStart"/>
      <w:r w:rsidRPr="002A1D99">
        <w:t>to</w:t>
      </w:r>
      <w:proofErr w:type="spellEnd"/>
      <w:r w:rsidRPr="002A1D99">
        <w:t xml:space="preserve"> 0.</w:t>
      </w:r>
      <w:r w:rsidRPr="002A1D99">
        <w:rPr>
          <w:rFonts w:ascii="Cambria Math" w:hAnsi="Cambria Math" w:cs="Cambria Math"/>
        </w:rPr>
        <w:t>∀</w:t>
      </w:r>
      <w:r w:rsidRPr="002A1D99">
        <w:t>si​,</w:t>
      </w:r>
      <w:proofErr w:type="spellStart"/>
      <w:r w:rsidRPr="002A1D99">
        <w:t>sj</w:t>
      </w:r>
      <w:proofErr w:type="spellEnd"/>
      <w:r w:rsidRPr="002A1D99">
        <w:t>​:</w:t>
      </w:r>
      <w:proofErr w:type="spellStart"/>
      <w:r w:rsidRPr="002A1D99">
        <w:t>sim</w:t>
      </w:r>
      <w:proofErr w:type="spellEnd"/>
      <w:r w:rsidRPr="002A1D99">
        <w:t>(si​,</w:t>
      </w:r>
      <w:proofErr w:type="spellStart"/>
      <w:r w:rsidRPr="002A1D99">
        <w:t>sj</w:t>
      </w:r>
      <w:proofErr w:type="spellEnd"/>
      <w:r w:rsidRPr="002A1D99">
        <w:t>​)</w:t>
      </w:r>
      <w:r w:rsidRPr="002A1D99">
        <w:rPr>
          <w:rFonts w:ascii="Cambria Math" w:hAnsi="Cambria Math" w:cs="Cambria Math"/>
        </w:rPr>
        <w:t>⇒∥</w:t>
      </w:r>
      <w:r w:rsidRPr="002A1D99">
        <w:t>xi​−</w:t>
      </w:r>
      <w:proofErr w:type="spellStart"/>
      <w:r w:rsidRPr="002A1D99">
        <w:t>xj</w:t>
      </w:r>
      <w:proofErr w:type="spellEnd"/>
      <w:r w:rsidRPr="002A1D99">
        <w:t>​</w:t>
      </w:r>
      <w:r w:rsidRPr="002A1D99">
        <w:rPr>
          <w:rFonts w:ascii="Cambria Math" w:hAnsi="Cambria Math" w:cs="Cambria Math"/>
        </w:rPr>
        <w:t>∥</w:t>
      </w:r>
      <w:r w:rsidRPr="002A1D99">
        <w:t xml:space="preserve">→0. </w:t>
      </w:r>
    </w:p>
    <w:p w14:paraId="1AE413E6" w14:textId="77777777" w:rsidR="002A1D99" w:rsidRPr="002A1D99" w:rsidRDefault="002A1D99" w:rsidP="002A1D99">
      <w:r w:rsidRPr="002A1D99">
        <w:t>Diese Stetigkeit ist die Grundlage für statistische Verfahren wie Clusteranalysen oder Korrelationsuntersuchungen. Insbesondere ermöglicht sie die Untersuchung funktionaler Zusammenhänge zwischen Dimensionen, etwa zwischen Motivation und Regulation oder zwischen Kognition und Performanz.</w:t>
      </w:r>
    </w:p>
    <w:p w14:paraId="3ADC1DF2" w14:textId="77777777" w:rsidR="002A1D99" w:rsidRPr="002A1D99" w:rsidRDefault="002A1D99" w:rsidP="002A1D99">
      <w:r w:rsidRPr="002A1D99">
        <w:t>Die zeitliche Struktur der Daten (Aggregation nach Kalenderwochen) eröffnet zusätzlich die Möglichkeit, dynamische Entwicklungen zu analysieren. Für eine Gruppe ggg ergibt sich eine Zeitreihe</w:t>
      </w:r>
    </w:p>
    <w:p w14:paraId="29759A04" w14:textId="77777777" w:rsidR="002A1D99" w:rsidRPr="002A1D99" w:rsidRDefault="002A1D99" w:rsidP="002A1D99">
      <w:proofErr w:type="spellStart"/>
      <w:r w:rsidRPr="002A1D99">
        <w:t>xˉg</w:t>
      </w:r>
      <w:proofErr w:type="spellEnd"/>
      <w:r w:rsidRPr="002A1D99">
        <w:t>(t)=1nt∑i</w:t>
      </w:r>
      <w:r w:rsidRPr="002A1D99">
        <w:rPr>
          <w:rFonts w:ascii="Cambria Math" w:hAnsi="Cambria Math" w:cs="Cambria Math"/>
        </w:rPr>
        <w:t>∈</w:t>
      </w:r>
      <w:proofErr w:type="gramStart"/>
      <w:r w:rsidRPr="002A1D99">
        <w:t>txi,\</w:t>
      </w:r>
      <w:proofErr w:type="gramEnd"/>
      <w:r w:rsidRPr="002A1D99">
        <w:t>bar{x}_g(t) = \</w:t>
      </w:r>
      <w:proofErr w:type="spellStart"/>
      <w:r w:rsidRPr="002A1D99">
        <w:t>frac</w:t>
      </w:r>
      <w:proofErr w:type="spellEnd"/>
      <w:r w:rsidRPr="002A1D99">
        <w:t>{1}{</w:t>
      </w:r>
      <w:proofErr w:type="spellStart"/>
      <w:r w:rsidRPr="002A1D99">
        <w:t>n_t</w:t>
      </w:r>
      <w:proofErr w:type="spellEnd"/>
      <w:r w:rsidRPr="002A1D99">
        <w:t>} \</w:t>
      </w:r>
      <w:proofErr w:type="spellStart"/>
      <w:r w:rsidRPr="002A1D99">
        <w:t>sum</w:t>
      </w:r>
      <w:proofErr w:type="spellEnd"/>
      <w:r w:rsidRPr="002A1D99">
        <w:t xml:space="preserve">_{i \in t} </w:t>
      </w:r>
      <w:proofErr w:type="spellStart"/>
      <w:r w:rsidRPr="002A1D99">
        <w:t>x_i,xˉg</w:t>
      </w:r>
      <w:proofErr w:type="spellEnd"/>
      <w:r w:rsidRPr="002A1D99">
        <w:t>​(t)=</w:t>
      </w:r>
      <w:proofErr w:type="spellStart"/>
      <w:r w:rsidRPr="002A1D99">
        <w:t>nt</w:t>
      </w:r>
      <w:proofErr w:type="spellEnd"/>
      <w:r w:rsidRPr="002A1D99">
        <w:t>​1​</w:t>
      </w:r>
      <w:proofErr w:type="spellStart"/>
      <w:r w:rsidRPr="002A1D99">
        <w:t>i</w:t>
      </w:r>
      <w:r w:rsidRPr="002A1D99">
        <w:rPr>
          <w:rFonts w:ascii="Cambria Math" w:hAnsi="Cambria Math" w:cs="Cambria Math"/>
        </w:rPr>
        <w:t>∈</w:t>
      </w:r>
      <w:r w:rsidRPr="002A1D99">
        <w:t>t</w:t>
      </w:r>
      <w:proofErr w:type="spellEnd"/>
      <w:r w:rsidRPr="002A1D99">
        <w:t xml:space="preserve">∑​xi​, </w:t>
      </w:r>
    </w:p>
    <w:p w14:paraId="1FA261C6" w14:textId="77777777" w:rsidR="002A1D99" w:rsidRPr="002A1D99" w:rsidRDefault="002A1D99" w:rsidP="002A1D99">
      <w:r w:rsidRPr="002A1D99">
        <w:t>die als diskrete Trajektorie im Zustandsraum interpretiert werden kann. Veränderungen dieser Trajektorie lassen sich als Ausdruck didaktischer Prozesse deuten und ermöglichen eine funktionale Analyse von Stabilität und Dynamik.</w:t>
      </w:r>
    </w:p>
    <w:p w14:paraId="338DA5FF" w14:textId="77777777" w:rsidR="002A1D99" w:rsidRPr="002A1D99" w:rsidRDefault="002A1D99" w:rsidP="002A1D99">
      <w:r w:rsidRPr="002A1D99">
        <w:t>Vor diesem Hintergrund ergibt sich eine differenzierte Bewertung der statistischen Eignung: Die Daten sind nur eingeschränkt für klassische inferenzstatistische Verfahren geeignet, da sie weder unabhängig noch zufällig erhoben sind. Gleichzeitig sind sie jedoch in besonderem Maße geeignet für strukturelle und funktionale Analysen, da sie einen konsistenten, metrisch definierten Zustandsraum bereitstellen.</w:t>
      </w:r>
    </w:p>
    <w:p w14:paraId="5C2602E6" w14:textId="77777777" w:rsidR="002A1D99" w:rsidRPr="002A1D99" w:rsidRDefault="002A1D99" w:rsidP="002A1D99">
      <w:r w:rsidRPr="002A1D99">
        <w:t>Im Sinne des FRZK verschiebt sich damit der Fokus statistischer Bewertung von der klassischen Frage der Parameterschätzung hin zur Analyse von Kohärenzstrukturen. Entscheidend ist nicht die punktgenaue Schätzung einzelner Werte, sondern die Stabilität der erzeugten Muster unter Variation der Eingaben. Formal lässt sich dies als Stabilitätsbedingung formulieren:</w:t>
      </w:r>
    </w:p>
    <w:p w14:paraId="394A1489" w14:textId="77777777" w:rsidR="002A1D99" w:rsidRPr="002A1D99" w:rsidRDefault="002A1D99" w:rsidP="002A1D99">
      <w:r w:rsidRPr="002A1D99">
        <w:rPr>
          <w:rFonts w:ascii="Cambria Math" w:hAnsi="Cambria Math" w:cs="Cambria Math"/>
        </w:rPr>
        <w:lastRenderedPageBreak/>
        <w:t>∥</w:t>
      </w:r>
      <w:r w:rsidRPr="002A1D99">
        <w:t>xi</w:t>
      </w:r>
      <w:r w:rsidRPr="002A1D99">
        <w:rPr>
          <w:rFonts w:cs="Calibri"/>
        </w:rPr>
        <w:t>−</w:t>
      </w:r>
      <w:r w:rsidRPr="002A1D99">
        <w:t>xi</w:t>
      </w:r>
      <w:r w:rsidRPr="002A1D99">
        <w:rPr>
          <w:rFonts w:cs="Calibri"/>
        </w:rPr>
        <w:t>′</w:t>
      </w:r>
      <w:r w:rsidRPr="002A1D99">
        <w:rPr>
          <w:rFonts w:ascii="Cambria Math" w:hAnsi="Cambria Math" w:cs="Cambria Math"/>
        </w:rPr>
        <w:t>∥</w:t>
      </w:r>
      <w:r w:rsidRPr="002A1D99">
        <w:t>&lt;</w:t>
      </w:r>
      <w:proofErr w:type="spellStart"/>
      <w:r w:rsidRPr="002A1D99">
        <w:rPr>
          <w:rFonts w:cs="Calibri"/>
        </w:rPr>
        <w:t>ε</w:t>
      </w:r>
      <w:r w:rsidRPr="002A1D99">
        <w:t>fu</w:t>
      </w:r>
      <w:r w:rsidRPr="002A1D99">
        <w:rPr>
          <w:rFonts w:cs="Calibri"/>
        </w:rPr>
        <w:t>¨</w:t>
      </w:r>
      <w:r w:rsidRPr="002A1D99">
        <w:t>r</w:t>
      </w:r>
      <w:proofErr w:type="spellEnd"/>
      <w:r w:rsidRPr="002A1D99">
        <w:rPr>
          <w:rFonts w:cs="Calibri"/>
        </w:rPr>
        <w:t> </w:t>
      </w:r>
      <w:r w:rsidRPr="002A1D99">
        <w:t>semantisch</w:t>
      </w:r>
      <w:r w:rsidRPr="002A1D99">
        <w:rPr>
          <w:rFonts w:cs="Calibri"/>
        </w:rPr>
        <w:t> </w:t>
      </w:r>
      <w:proofErr w:type="spellStart"/>
      <w:r w:rsidRPr="002A1D99">
        <w:t>a</w:t>
      </w:r>
      <w:r w:rsidRPr="002A1D99">
        <w:rPr>
          <w:rFonts w:cs="Calibri"/>
        </w:rPr>
        <w:t>¨</w:t>
      </w:r>
      <w:r w:rsidRPr="002A1D99">
        <w:t>quivalente</w:t>
      </w:r>
      <w:proofErr w:type="spellEnd"/>
      <w:r w:rsidRPr="002A1D99">
        <w:rPr>
          <w:rFonts w:cs="Calibri"/>
        </w:rPr>
        <w:t> </w:t>
      </w:r>
      <w:proofErr w:type="spellStart"/>
      <w:proofErr w:type="gramStart"/>
      <w:r w:rsidRPr="002A1D99">
        <w:t>si,si</w:t>
      </w:r>
      <w:proofErr w:type="spellEnd"/>
      <w:proofErr w:type="gramEnd"/>
      <w:r w:rsidRPr="002A1D99">
        <w:rPr>
          <w:rFonts w:cs="Calibri"/>
        </w:rPr>
        <w:t>′</w:t>
      </w:r>
      <w:r w:rsidRPr="002A1D99">
        <w:t>,\|</w:t>
      </w:r>
      <w:proofErr w:type="spellStart"/>
      <w:r w:rsidRPr="002A1D99">
        <w:t>x_i</w:t>
      </w:r>
      <w:proofErr w:type="spellEnd"/>
      <w:r w:rsidRPr="002A1D99">
        <w:t xml:space="preserve"> - </w:t>
      </w:r>
      <w:proofErr w:type="spellStart"/>
      <w:r w:rsidRPr="002A1D99">
        <w:t>x_i</w:t>
      </w:r>
      <w:proofErr w:type="spellEnd"/>
      <w:r w:rsidRPr="002A1D99">
        <w:t>'\| &lt; \</w:t>
      </w:r>
      <w:proofErr w:type="spellStart"/>
      <w:r w:rsidRPr="002A1D99">
        <w:t>varepsilon</w:t>
      </w:r>
      <w:proofErr w:type="spellEnd"/>
      <w:r w:rsidRPr="002A1D99">
        <w:t xml:space="preserve"> \</w:t>
      </w:r>
      <w:proofErr w:type="spellStart"/>
      <w:r w:rsidRPr="002A1D99">
        <w:t>quad</w:t>
      </w:r>
      <w:proofErr w:type="spellEnd"/>
      <w:r w:rsidRPr="002A1D99">
        <w:t xml:space="preserve"> \</w:t>
      </w:r>
      <w:proofErr w:type="spellStart"/>
      <w:r w:rsidRPr="002A1D99">
        <w:t>text</w:t>
      </w:r>
      <w:proofErr w:type="spellEnd"/>
      <w:r w:rsidRPr="002A1D99">
        <w:t>{f</w:t>
      </w:r>
      <w:r w:rsidRPr="002A1D99">
        <w:rPr>
          <w:rFonts w:cs="Calibri"/>
        </w:rPr>
        <w:t>ü</w:t>
      </w:r>
      <w:r w:rsidRPr="002A1D99">
        <w:t xml:space="preserve">r semantisch </w:t>
      </w:r>
      <w:r w:rsidRPr="002A1D99">
        <w:rPr>
          <w:rFonts w:cs="Calibri"/>
        </w:rPr>
        <w:t>ä</w:t>
      </w:r>
      <w:r w:rsidRPr="002A1D99">
        <w:t xml:space="preserve">quivalente } </w:t>
      </w:r>
      <w:proofErr w:type="spellStart"/>
      <w:r w:rsidRPr="002A1D99">
        <w:t>s_i</w:t>
      </w:r>
      <w:proofErr w:type="spellEnd"/>
      <w:r w:rsidRPr="002A1D99">
        <w:t xml:space="preserve">, </w:t>
      </w:r>
      <w:proofErr w:type="spellStart"/>
      <w:r w:rsidRPr="002A1D99">
        <w:t>s_i',</w:t>
      </w:r>
      <w:r w:rsidRPr="002A1D99">
        <w:rPr>
          <w:rFonts w:ascii="Cambria Math" w:hAnsi="Cambria Math" w:cs="Cambria Math"/>
        </w:rPr>
        <w:t>∥</w:t>
      </w:r>
      <w:r w:rsidRPr="002A1D99">
        <w:t>xi</w:t>
      </w:r>
      <w:proofErr w:type="spellEnd"/>
      <w:r w:rsidRPr="002A1D99">
        <w:t>​−xi′​</w:t>
      </w:r>
      <w:r w:rsidRPr="002A1D99">
        <w:rPr>
          <w:rFonts w:ascii="Cambria Math" w:hAnsi="Cambria Math" w:cs="Cambria Math"/>
        </w:rPr>
        <w:t>∥</w:t>
      </w:r>
      <w:r w:rsidRPr="002A1D99">
        <w:t>&lt;</w:t>
      </w:r>
      <w:proofErr w:type="spellStart"/>
      <w:r w:rsidRPr="002A1D99">
        <w:t>εfu¨r</w:t>
      </w:r>
      <w:proofErr w:type="spellEnd"/>
      <w:r w:rsidRPr="002A1D99">
        <w:t> semantisch </w:t>
      </w:r>
      <w:proofErr w:type="spellStart"/>
      <w:r w:rsidRPr="002A1D99">
        <w:t>a¨quivalente</w:t>
      </w:r>
      <w:proofErr w:type="spellEnd"/>
      <w:r w:rsidRPr="002A1D99">
        <w:t xml:space="preserve"> si​,si′​, </w:t>
      </w:r>
    </w:p>
    <w:p w14:paraId="6A02A395" w14:textId="77777777" w:rsidR="002A1D99" w:rsidRPr="002A1D99" w:rsidRDefault="002A1D99" w:rsidP="002A1D99">
      <w:r w:rsidRPr="002A1D99">
        <w:t>wobei ε\</w:t>
      </w:r>
      <w:proofErr w:type="spellStart"/>
      <w:r w:rsidRPr="002A1D99">
        <w:t>varepsilonε</w:t>
      </w:r>
      <w:proofErr w:type="spellEnd"/>
      <w:r w:rsidRPr="002A1D99">
        <w:t xml:space="preserve"> eine kleine Schranke bezeichnet. Die Datenbasis erfüllt diese Bedingung weitgehend, was ihre Eignung für eine funktionale Validierung des Modells bestätigt.</w:t>
      </w:r>
    </w:p>
    <w:p w14:paraId="024A86D7" w14:textId="77777777" w:rsidR="002A1D99" w:rsidRPr="002A1D99" w:rsidRDefault="002A1D99" w:rsidP="002A1D99">
      <w:r w:rsidRPr="002A1D99">
        <w:t xml:space="preserve">Zusammenfassend ist festzuhalten, dass die Daten der View </w:t>
      </w:r>
      <w:r w:rsidRPr="002A1D99">
        <w:rPr>
          <w:i/>
          <w:iCs/>
        </w:rPr>
        <w:t>datenm_values_sem_dichte_lehrer_type_3</w:t>
      </w:r>
      <w:r w:rsidRPr="002A1D99">
        <w:t xml:space="preserve"> keine klassische statistische Stichprobe darstellen, sondern ein modellgenerierter Zustandsraum mit hoher struktureller Konsistenz. Ihre statistische Stärke liegt nicht in der inferenzstatistischen Generalisierbarkeit, sondern in der Möglichkeit, stabile, kohärente und vergleichbare Muster zu identifizieren. Damit bilden sie eine geeignete Grundlage für die im FRZK angestrebte funktionale und dynamische Analyse von Lernprozessen.</w:t>
      </w:r>
    </w:p>
    <w:p w14:paraId="00239551" w14:textId="77777777" w:rsidR="002A1D99" w:rsidRPr="002A1D99" w:rsidRDefault="002A1D99" w:rsidP="002A1D99">
      <w:r w:rsidRPr="002A1D99">
        <w:pict w14:anchorId="4DE5D30D">
          <v:rect id="_x0000_i1031" style="width:0;height:1.5pt" o:hralign="center" o:hrstd="t" o:hr="t" fillcolor="#a0a0a0" stroked="f"/>
        </w:pict>
      </w:r>
    </w:p>
    <w:p w14:paraId="7023E22C" w14:textId="77777777" w:rsidR="002A1D99" w:rsidRPr="002A1D99" w:rsidRDefault="002A1D99" w:rsidP="002A1D99">
      <w:pPr>
        <w:rPr>
          <w:b/>
          <w:bCs/>
        </w:rPr>
      </w:pPr>
      <w:r w:rsidRPr="002A1D99">
        <w:rPr>
          <w:b/>
          <w:bCs/>
        </w:rPr>
        <w:t>Quellen</w:t>
      </w:r>
    </w:p>
    <w:p w14:paraId="2BA8A718" w14:textId="77777777" w:rsidR="002A1D99" w:rsidRPr="002A1D99" w:rsidRDefault="002A1D99" w:rsidP="002A1D99">
      <w:r w:rsidRPr="002A1D99">
        <w:t xml:space="preserve">[1] Helmke, A. (2009). </w:t>
      </w:r>
      <w:r w:rsidRPr="002A1D99">
        <w:rPr>
          <w:i/>
          <w:iCs/>
        </w:rPr>
        <w:t>Unterrichtsqualität und Lehrerprofessionalität</w:t>
      </w:r>
      <w:r w:rsidRPr="002A1D99">
        <w:t>. Seelze: Klett.</w:t>
      </w:r>
      <w:r w:rsidRPr="002A1D99">
        <w:br/>
        <w:t xml:space="preserve">[2] Hattie, J. (2009). </w:t>
      </w:r>
      <w:r w:rsidRPr="002A1D99">
        <w:rPr>
          <w:i/>
          <w:iCs/>
        </w:rPr>
        <w:t>Visible Learning</w:t>
      </w:r>
      <w:r w:rsidRPr="002A1D99">
        <w:t>. London: Routledge.</w:t>
      </w:r>
      <w:r w:rsidRPr="002A1D99">
        <w:br/>
        <w:t xml:space="preserve">[3] Deci, E. L., &amp; Ryan, R. M. (1985). </w:t>
      </w:r>
      <w:proofErr w:type="spellStart"/>
      <w:r w:rsidRPr="002A1D99">
        <w:rPr>
          <w:i/>
          <w:iCs/>
        </w:rPr>
        <w:t>Intrinsic</w:t>
      </w:r>
      <w:proofErr w:type="spellEnd"/>
      <w:r w:rsidRPr="002A1D99">
        <w:rPr>
          <w:i/>
          <w:iCs/>
        </w:rPr>
        <w:t xml:space="preserve"> Motivation and Self-Determination in Human </w:t>
      </w:r>
      <w:proofErr w:type="spellStart"/>
      <w:r w:rsidRPr="002A1D99">
        <w:rPr>
          <w:i/>
          <w:iCs/>
        </w:rPr>
        <w:t>Behavior</w:t>
      </w:r>
      <w:proofErr w:type="spellEnd"/>
      <w:r w:rsidRPr="002A1D99">
        <w:t>. New York: Plenum.</w:t>
      </w:r>
      <w:r w:rsidRPr="002A1D99">
        <w:br/>
        <w:t xml:space="preserve">[4] </w:t>
      </w:r>
      <w:proofErr w:type="spellStart"/>
      <w:r w:rsidRPr="002A1D99">
        <w:t>Flavell</w:t>
      </w:r>
      <w:proofErr w:type="spellEnd"/>
      <w:r w:rsidRPr="002A1D99">
        <w:t xml:space="preserve">, J. H. (1979). </w:t>
      </w:r>
      <w:proofErr w:type="spellStart"/>
      <w:r w:rsidRPr="002A1D99">
        <w:rPr>
          <w:i/>
          <w:iCs/>
        </w:rPr>
        <w:t>Metacognition</w:t>
      </w:r>
      <w:proofErr w:type="spellEnd"/>
      <w:r w:rsidRPr="002A1D99">
        <w:rPr>
          <w:i/>
          <w:iCs/>
        </w:rPr>
        <w:t xml:space="preserve"> and </w:t>
      </w:r>
      <w:proofErr w:type="spellStart"/>
      <w:r w:rsidRPr="002A1D99">
        <w:rPr>
          <w:i/>
          <w:iCs/>
        </w:rPr>
        <w:t>cognitive</w:t>
      </w:r>
      <w:proofErr w:type="spellEnd"/>
      <w:r w:rsidRPr="002A1D99">
        <w:rPr>
          <w:i/>
          <w:iCs/>
        </w:rPr>
        <w:t xml:space="preserve"> </w:t>
      </w:r>
      <w:proofErr w:type="spellStart"/>
      <w:r w:rsidRPr="002A1D99">
        <w:rPr>
          <w:i/>
          <w:iCs/>
        </w:rPr>
        <w:t>monitoring</w:t>
      </w:r>
      <w:proofErr w:type="spellEnd"/>
      <w:r w:rsidRPr="002A1D99">
        <w:t xml:space="preserve">. American </w:t>
      </w:r>
      <w:proofErr w:type="spellStart"/>
      <w:r w:rsidRPr="002A1D99">
        <w:t>Psychologist</w:t>
      </w:r>
      <w:proofErr w:type="spellEnd"/>
      <w:r w:rsidRPr="002A1D99">
        <w:t>, 34(10), 906–911.</w:t>
      </w:r>
      <w:r w:rsidRPr="002A1D99">
        <w:br/>
        <w:t xml:space="preserve">[5] Zimmerman, B. J. (2000). </w:t>
      </w:r>
      <w:proofErr w:type="spellStart"/>
      <w:r w:rsidRPr="002A1D99">
        <w:rPr>
          <w:i/>
          <w:iCs/>
        </w:rPr>
        <w:t>Attaining</w:t>
      </w:r>
      <w:proofErr w:type="spellEnd"/>
      <w:r w:rsidRPr="002A1D99">
        <w:rPr>
          <w:i/>
          <w:iCs/>
        </w:rPr>
        <w:t xml:space="preserve"> </w:t>
      </w:r>
      <w:proofErr w:type="spellStart"/>
      <w:r w:rsidRPr="002A1D99">
        <w:rPr>
          <w:i/>
          <w:iCs/>
        </w:rPr>
        <w:t>self</w:t>
      </w:r>
      <w:proofErr w:type="spellEnd"/>
      <w:r w:rsidRPr="002A1D99">
        <w:rPr>
          <w:i/>
          <w:iCs/>
        </w:rPr>
        <w:t>-regulation</w:t>
      </w:r>
      <w:r w:rsidRPr="002A1D99">
        <w:t xml:space="preserve">. In: Handbook </w:t>
      </w:r>
      <w:proofErr w:type="spellStart"/>
      <w:r w:rsidRPr="002A1D99">
        <w:t>of</w:t>
      </w:r>
      <w:proofErr w:type="spellEnd"/>
      <w:r w:rsidRPr="002A1D99">
        <w:t xml:space="preserve"> Self-Regulation.</w:t>
      </w:r>
      <w:r w:rsidRPr="002A1D99">
        <w:br/>
        <w:t xml:space="preserve">[6] Anderson, L. W., &amp; </w:t>
      </w:r>
      <w:proofErr w:type="spellStart"/>
      <w:r w:rsidRPr="002A1D99">
        <w:t>Krathwohl</w:t>
      </w:r>
      <w:proofErr w:type="spellEnd"/>
      <w:r w:rsidRPr="002A1D99">
        <w:t xml:space="preserve">, D. R. (2001). </w:t>
      </w:r>
      <w:r w:rsidRPr="002A1D99">
        <w:rPr>
          <w:i/>
          <w:iCs/>
        </w:rPr>
        <w:t xml:space="preserve">A </w:t>
      </w:r>
      <w:proofErr w:type="spellStart"/>
      <w:r w:rsidRPr="002A1D99">
        <w:rPr>
          <w:i/>
          <w:iCs/>
        </w:rPr>
        <w:t>Taxonomy</w:t>
      </w:r>
      <w:proofErr w:type="spellEnd"/>
      <w:r w:rsidRPr="002A1D99">
        <w:rPr>
          <w:i/>
          <w:iCs/>
        </w:rPr>
        <w:t xml:space="preserve"> </w:t>
      </w:r>
      <w:proofErr w:type="spellStart"/>
      <w:r w:rsidRPr="002A1D99">
        <w:rPr>
          <w:i/>
          <w:iCs/>
        </w:rPr>
        <w:t>for</w:t>
      </w:r>
      <w:proofErr w:type="spellEnd"/>
      <w:r w:rsidRPr="002A1D99">
        <w:rPr>
          <w:i/>
          <w:iCs/>
        </w:rPr>
        <w:t xml:space="preserve"> Learning, Teaching, and </w:t>
      </w:r>
      <w:proofErr w:type="spellStart"/>
      <w:r w:rsidRPr="002A1D99">
        <w:rPr>
          <w:i/>
          <w:iCs/>
        </w:rPr>
        <w:t>Assessing</w:t>
      </w:r>
      <w:proofErr w:type="spellEnd"/>
      <w:r w:rsidRPr="002A1D99">
        <w:t>. New York: Longman.</w:t>
      </w:r>
      <w:r w:rsidRPr="002A1D99">
        <w:br/>
        <w:t xml:space="preserve">[7] Bandura, A. (1991). </w:t>
      </w:r>
      <w:proofErr w:type="spellStart"/>
      <w:r w:rsidRPr="002A1D99">
        <w:rPr>
          <w:i/>
          <w:iCs/>
        </w:rPr>
        <w:t>Social</w:t>
      </w:r>
      <w:proofErr w:type="spellEnd"/>
      <w:r w:rsidRPr="002A1D99">
        <w:rPr>
          <w:i/>
          <w:iCs/>
        </w:rPr>
        <w:t xml:space="preserve"> </w:t>
      </w:r>
      <w:proofErr w:type="spellStart"/>
      <w:r w:rsidRPr="002A1D99">
        <w:rPr>
          <w:i/>
          <w:iCs/>
        </w:rPr>
        <w:t>Cognitive</w:t>
      </w:r>
      <w:proofErr w:type="spellEnd"/>
      <w:r w:rsidRPr="002A1D99">
        <w:rPr>
          <w:i/>
          <w:iCs/>
        </w:rPr>
        <w:t xml:space="preserve"> Theory </w:t>
      </w:r>
      <w:proofErr w:type="spellStart"/>
      <w:r w:rsidRPr="002A1D99">
        <w:rPr>
          <w:i/>
          <w:iCs/>
        </w:rPr>
        <w:t>of</w:t>
      </w:r>
      <w:proofErr w:type="spellEnd"/>
      <w:r w:rsidRPr="002A1D99">
        <w:rPr>
          <w:i/>
          <w:iCs/>
        </w:rPr>
        <w:t xml:space="preserve"> Self-Regulation</w:t>
      </w:r>
      <w:r w:rsidRPr="002A1D99">
        <w:t xml:space="preserve">. Organizational </w:t>
      </w:r>
      <w:proofErr w:type="spellStart"/>
      <w:r w:rsidRPr="002A1D99">
        <w:t>Behavior</w:t>
      </w:r>
      <w:proofErr w:type="spellEnd"/>
      <w:r w:rsidRPr="002A1D99">
        <w:t xml:space="preserve"> and Human </w:t>
      </w:r>
      <w:proofErr w:type="spellStart"/>
      <w:r w:rsidRPr="002A1D99">
        <w:t>Decision</w:t>
      </w:r>
      <w:proofErr w:type="spellEnd"/>
      <w:r w:rsidRPr="002A1D99">
        <w:t xml:space="preserve"> </w:t>
      </w:r>
      <w:proofErr w:type="spellStart"/>
      <w:r w:rsidRPr="002A1D99">
        <w:t>Processes</w:t>
      </w:r>
      <w:proofErr w:type="spellEnd"/>
      <w:r w:rsidRPr="002A1D99">
        <w:t>, 50, 248–287.</w:t>
      </w:r>
      <w:r w:rsidRPr="002A1D99">
        <w:br/>
        <w:t xml:space="preserve">[8] Pekrun, R. (2006). </w:t>
      </w:r>
      <w:r w:rsidRPr="002A1D99">
        <w:rPr>
          <w:i/>
          <w:iCs/>
        </w:rPr>
        <w:t xml:space="preserve">The Control-Value Theory </w:t>
      </w:r>
      <w:proofErr w:type="spellStart"/>
      <w:r w:rsidRPr="002A1D99">
        <w:rPr>
          <w:i/>
          <w:iCs/>
        </w:rPr>
        <w:t>of</w:t>
      </w:r>
      <w:proofErr w:type="spellEnd"/>
      <w:r w:rsidRPr="002A1D99">
        <w:rPr>
          <w:i/>
          <w:iCs/>
        </w:rPr>
        <w:t xml:space="preserve"> Achievement </w:t>
      </w:r>
      <w:proofErr w:type="spellStart"/>
      <w:r w:rsidRPr="002A1D99">
        <w:rPr>
          <w:i/>
          <w:iCs/>
        </w:rPr>
        <w:t>Emotions</w:t>
      </w:r>
      <w:proofErr w:type="spellEnd"/>
      <w:r w:rsidRPr="002A1D99">
        <w:t xml:space="preserve">. Educational </w:t>
      </w:r>
      <w:proofErr w:type="spellStart"/>
      <w:r w:rsidRPr="002A1D99">
        <w:t>Psychology</w:t>
      </w:r>
      <w:proofErr w:type="spellEnd"/>
      <w:r w:rsidRPr="002A1D99">
        <w:t xml:space="preserve"> Review, 18(4), 315–341.</w:t>
      </w:r>
      <w:r w:rsidRPr="002A1D99">
        <w:br/>
        <w:t xml:space="preserve">[9] Johnson, D. W., &amp; Johnson, R. T. (2009). </w:t>
      </w:r>
      <w:proofErr w:type="spellStart"/>
      <w:r w:rsidRPr="002A1D99">
        <w:rPr>
          <w:i/>
          <w:iCs/>
        </w:rPr>
        <w:t>Social</w:t>
      </w:r>
      <w:proofErr w:type="spellEnd"/>
      <w:r w:rsidRPr="002A1D99">
        <w:rPr>
          <w:i/>
          <w:iCs/>
        </w:rPr>
        <w:t xml:space="preserve"> </w:t>
      </w:r>
      <w:proofErr w:type="spellStart"/>
      <w:r w:rsidRPr="002A1D99">
        <w:rPr>
          <w:i/>
          <w:iCs/>
        </w:rPr>
        <w:t>Interdependence</w:t>
      </w:r>
      <w:proofErr w:type="spellEnd"/>
      <w:r w:rsidRPr="002A1D99">
        <w:rPr>
          <w:i/>
          <w:iCs/>
        </w:rPr>
        <w:t xml:space="preserve"> Theory</w:t>
      </w:r>
      <w:r w:rsidRPr="002A1D99">
        <w:t>. Educational Researcher, 38(5), 365–379.</w:t>
      </w:r>
    </w:p>
    <w:p w14:paraId="5BD3582C"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62612">
    <w:abstractNumId w:val="0"/>
  </w:num>
  <w:num w:numId="2" w16cid:durableId="1305963974">
    <w:abstractNumId w:val="1"/>
  </w:num>
  <w:num w:numId="3" w16cid:durableId="182020338">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99"/>
    <w:rsid w:val="00003048"/>
    <w:rsid w:val="000467F2"/>
    <w:rsid w:val="00082214"/>
    <w:rsid w:val="00106528"/>
    <w:rsid w:val="001830F2"/>
    <w:rsid w:val="0019229D"/>
    <w:rsid w:val="002A1D99"/>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CD604"/>
  <w15:chartTrackingRefBased/>
  <w15:docId w15:val="{2AEF9676-EA1D-43E1-A981-1FD402F8D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484078420">
      <w:bodyDiv w:val="1"/>
      <w:marLeft w:val="0"/>
      <w:marRight w:val="0"/>
      <w:marTop w:val="0"/>
      <w:marBottom w:val="0"/>
      <w:divBdr>
        <w:top w:val="none" w:sz="0" w:space="0" w:color="auto"/>
        <w:left w:val="none" w:sz="0" w:space="0" w:color="auto"/>
        <w:bottom w:val="none" w:sz="0" w:space="0" w:color="auto"/>
        <w:right w:val="none" w:sz="0" w:space="0" w:color="auto"/>
      </w:divBdr>
    </w:div>
    <w:div w:id="214630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Pages>
  <Words>1073</Words>
  <Characters>6763</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2026-04-13T07:20:00Z</dcterms:created>
  <dcterms:modified xsi:type="dcterms:W3CDTF">2026-04-13T07:21:00Z</dcterms:modified>
</cp:coreProperties>
</file>