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ADB98" w14:textId="77777777" w:rsidR="00D41F70" w:rsidRPr="00D41F70" w:rsidRDefault="00D41F70" w:rsidP="0079546B">
      <w:pPr>
        <w:pStyle w:val="berschrift2"/>
      </w:pPr>
      <w:r w:rsidRPr="00D41F70">
        <w:t>6.x Stabilisierungsvorhersage des FRZK im Kontext der Nachhilfe</w:t>
      </w:r>
    </w:p>
    <w:p w14:paraId="6E873753" w14:textId="77777777" w:rsidR="00D41F70" w:rsidRPr="00D41F70" w:rsidRDefault="00D41F70" w:rsidP="00D41F70">
      <w:r w:rsidRPr="00D41F70">
        <w:t xml:space="preserve">Die Auswertung der aus </w:t>
      </w:r>
      <w:proofErr w:type="spellStart"/>
      <w:r w:rsidRPr="009D6FE6">
        <w:rPr>
          <w:rStyle w:val="SQLTabellen"/>
        </w:rPr>
        <w:t>analyze_lehrkraftdaten</w:t>
      </w:r>
      <w:proofErr w:type="spellEnd"/>
      <w:r w:rsidRPr="00D41F70">
        <w:t xml:space="preserve"> generierten Stabilisierungsdaten zeigt, dass die Lehrkraftsicht auf Teilnehmende im Nachhilfekontext keine zufällige Folge isolierter Bewertungen darstellt, sondern als dynamischer semantischer Zustandsraum interpretierbar ist. Die Datenbasis umfasst 553 Unterrichtseinheiten mit insgesamt 1275 satzweisen Zuständen aus der View </w:t>
      </w:r>
      <w:r w:rsidRPr="009D6FE6">
        <w:rPr>
          <w:rStyle w:val="SQLTabellen"/>
        </w:rPr>
        <w:t>sql_semantische_dichte_lehrer_type_1</w:t>
      </w:r>
      <w:r w:rsidRPr="00D41F70">
        <w:t xml:space="preserve">, die innerhalb des FRZK als lokale Zustandsräume modelliert werden. Die zentrale theoretische Annahme lautet dabei, dass Stabilisierung nicht durch starre Wiederholung identischer Zustände entsteht, sondern durch die Ausbildung kohärenter semantischer </w:t>
      </w:r>
      <w:proofErr w:type="spellStart"/>
      <w:r w:rsidRPr="00D41F70">
        <w:t>Attraktorräume</w:t>
      </w:r>
      <w:proofErr w:type="spellEnd"/>
      <w:r w:rsidRPr="00D41F70">
        <w:t xml:space="preserve"> trotz situativer Variabilität.</w:t>
      </w:r>
    </w:p>
    <w:p w14:paraId="54625493" w14:textId="77777777" w:rsidR="00D41F70" w:rsidRPr="00D41F70" w:rsidRDefault="00D41F70" w:rsidP="00D41F70">
      <w:r w:rsidRPr="00D41F70">
        <w:t>Formal ergibt sich der Zustandsübergang eines Teilnehmers aus:</w:t>
      </w:r>
    </w:p>
    <w:p w14:paraId="5B537B1E" w14:textId="50313E3E" w:rsidR="00D41F70" w:rsidRPr="00D41F70" w:rsidRDefault="006A4EBF" w:rsidP="00D41F70">
      <m:oMathPara>
        <m:oMath>
          <m: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oMath>
      </m:oMathPara>
    </w:p>
    <w:p w14:paraId="2CA7276F" w14:textId="77777777" w:rsidR="00D41F70" w:rsidRPr="00D41F70" w:rsidRDefault="00D41F70" w:rsidP="00D41F70">
      <w:r w:rsidRPr="00D41F70">
        <w:t>Die Stabilisierungsvorhersage des FRZK postuliert, dass sich bei wiederholter kohärenter Interaktion die semantische Drift reduziert, während gleichzeitig die globale Kohärenz der Wahrnehmungsstruktur erhalten bleibt. Operationalisiert wurde dies über die Größen:</w:t>
      </w:r>
    </w:p>
    <w:p w14:paraId="23A098A1" w14:textId="77777777" w:rsidR="00D41F70" w:rsidRPr="00D41F70" w:rsidRDefault="00D41F70" w:rsidP="00D41F70">
      <w:pPr>
        <w:numPr>
          <w:ilvl w:val="0"/>
          <w:numId w:val="4"/>
        </w:numPr>
      </w:pPr>
      <w:r w:rsidRPr="00D41F70">
        <w:t xml:space="preserve">semantische Breite, </w:t>
      </w:r>
    </w:p>
    <w:p w14:paraId="630C2104" w14:textId="77777777" w:rsidR="00D41F70" w:rsidRPr="00D41F70" w:rsidRDefault="00D41F70" w:rsidP="00D41F70">
      <w:pPr>
        <w:numPr>
          <w:ilvl w:val="0"/>
          <w:numId w:val="4"/>
        </w:numPr>
      </w:pPr>
      <w:r w:rsidRPr="00D41F70">
        <w:t xml:space="preserve">Vektordrift, </w:t>
      </w:r>
    </w:p>
    <w:p w14:paraId="635B900F" w14:textId="77777777" w:rsidR="00D41F70" w:rsidRPr="00D41F70" w:rsidRDefault="00D41F70" w:rsidP="00D41F70">
      <w:pPr>
        <w:numPr>
          <w:ilvl w:val="0"/>
          <w:numId w:val="4"/>
        </w:numPr>
      </w:pPr>
      <w:r w:rsidRPr="00D41F70">
        <w:t xml:space="preserve">Varianz der Dimensionsräume, </w:t>
      </w:r>
    </w:p>
    <w:p w14:paraId="4AB28815" w14:textId="77777777" w:rsidR="00D41F70" w:rsidRPr="00D41F70" w:rsidRDefault="00D41F70" w:rsidP="00D41F70">
      <w:pPr>
        <w:numPr>
          <w:ilvl w:val="0"/>
          <w:numId w:val="4"/>
        </w:numPr>
      </w:pPr>
      <w:r w:rsidRPr="00D41F70">
        <w:t xml:space="preserve">Polaritätsstabilität, </w:t>
      </w:r>
    </w:p>
    <w:p w14:paraId="3E1B7867" w14:textId="77777777" w:rsidR="00D41F70" w:rsidRPr="00D41F70" w:rsidRDefault="00D41F70" w:rsidP="00D41F70">
      <w:pPr>
        <w:numPr>
          <w:ilvl w:val="0"/>
          <w:numId w:val="4"/>
        </w:numPr>
      </w:pPr>
      <w:r w:rsidRPr="00D41F70">
        <w:t xml:space="preserve">Dominanzbreite. </w:t>
      </w:r>
    </w:p>
    <w:p w14:paraId="3EE6DB0A" w14:textId="77777777" w:rsidR="00D41F70" w:rsidRPr="00D41F70" w:rsidRDefault="00D41F70" w:rsidP="00D41F70">
      <w:r w:rsidRPr="00D41F70">
        <w:t>Der verwendete Stabilisierungsindex lautet:</w:t>
      </w:r>
    </w:p>
    <w:p w14:paraId="396DDD62" w14:textId="52D182D5" w:rsidR="00D41F70" w:rsidRPr="00D41F70" w:rsidRDefault="006A4EBF" w:rsidP="00D41F70">
      <m:oMathPara>
        <m:oMath>
          <m:r>
            <w:rPr>
              <w:rFonts w:ascii="Cambria Math" w:hAnsi="Cambria Math"/>
            </w:rPr>
            <m:t>SI=</m:t>
          </m:r>
          <m:f>
            <m:fPr>
              <m:ctrlPr>
                <w:rPr>
                  <w:rFonts w:ascii="Cambria Math" w:hAnsi="Cambria Math"/>
                  <w:i/>
                </w:rPr>
              </m:ctrlPr>
            </m:fPr>
            <m:num>
              <m:r>
                <w:rPr>
                  <w:rFonts w:ascii="Cambria Math" w:hAnsi="Cambria Math"/>
                </w:rPr>
                <m:t>1</m:t>
              </m:r>
            </m:num>
            <m:den>
              <m:r>
                <w:rPr>
                  <w:rFonts w:ascii="Cambria Math" w:hAnsi="Cambria Math"/>
                </w:rPr>
                <m:t>1+</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acc>
                <m:accPr>
                  <m:chr m:val="̅"/>
                  <m:ctrlPr>
                    <w:rPr>
                      <w:rFonts w:ascii="Cambria Math" w:hAnsi="Cambria Math"/>
                      <w:i/>
                    </w:rPr>
                  </m:ctrlPr>
                </m:accPr>
                <m:e>
                  <m:r>
                    <w:rPr>
                      <w:rFonts w:ascii="Cambria Math" w:hAnsi="Cambria Math"/>
                    </w:rPr>
                    <m:t>ΔS</m:t>
                  </m:r>
                </m:e>
              </m:acc>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H</m:t>
                  </m:r>
                </m:sub>
              </m:sSub>
            </m:den>
          </m:f>
          <m:r>
            <w:rPr>
              <w:rFonts w:ascii="Cambria Math" w:hAnsi="Cambria Math"/>
            </w:rPr>
            <m:t>​</m:t>
          </m:r>
        </m:oMath>
      </m:oMathPara>
    </w:p>
    <w:p w14:paraId="46D2CEC5" w14:textId="77777777" w:rsidR="00D41F70" w:rsidRPr="00D41F70" w:rsidRDefault="00D41F70" w:rsidP="00D41F70">
      <w:r w:rsidRPr="00D41F70">
        <w:t>mit:</w:t>
      </w:r>
    </w:p>
    <w:p w14:paraId="70544DAE" w14:textId="6107E967" w:rsidR="00D41F70" w:rsidRPr="00D41F70" w:rsidRDefault="00000000" w:rsidP="000E1AA3">
      <w:pPr>
        <w:pStyle w:val="Aufzhlung"/>
      </w:pPr>
      <m:oMath>
        <m:acc>
          <m:accPr>
            <m:chr m:val="̅"/>
            <m:ctrlPr>
              <w:rPr>
                <w:rFonts w:ascii="Cambria Math" w:eastAsia="Times New Roman" w:hAnsi="Cambria Math" w:cs="Times New Roman"/>
                <w:i/>
              </w:rPr>
            </m:ctrlPr>
          </m:accPr>
          <m:e>
            <m:r>
              <w:rPr>
                <w:rFonts w:ascii="Cambria Math" w:hAnsi="Cambria Math"/>
              </w:rPr>
              <m:t>B</m:t>
            </m:r>
          </m:e>
        </m:acc>
      </m:oMath>
      <w:r w:rsidR="00D41F70" w:rsidRPr="00D41F70">
        <w:t xml:space="preserve"> </w:t>
      </w:r>
      <w:r w:rsidR="00D41F70">
        <w:t xml:space="preserve">- </w:t>
      </w:r>
      <w:r w:rsidR="00D41F70" w:rsidRPr="00D41F70">
        <w:t>mittlere semantische Breite eines Teilnehmers über alle Unterrichtseinheiten</w:t>
      </w:r>
    </w:p>
    <w:p w14:paraId="2777ACD7" w14:textId="5F034AEE" w:rsidR="00D41F70" w:rsidRPr="00D41F70" w:rsidRDefault="00000000" w:rsidP="00EC59C6">
      <w:pPr>
        <w:pStyle w:val="Aufzhlung"/>
      </w:pPr>
      <m:oMath>
        <m:sSub>
          <m:sSubPr>
            <m:ctrlPr>
              <w:rPr>
                <w:rFonts w:ascii="Cambria Math" w:hAnsi="Cambria Math"/>
                <w:i/>
              </w:rPr>
            </m:ctrlPr>
          </m:sSubPr>
          <m:e>
            <m:r>
              <w:rPr>
                <w:rFonts w:ascii="Cambria Math" w:hAnsi="Cambria Math"/>
              </w:rPr>
              <m:t>σ</m:t>
            </m:r>
          </m:e>
          <m:sub>
            <m:r>
              <w:rPr>
                <w:rFonts w:ascii="Cambria Math" w:hAnsi="Cambria Math"/>
              </w:rPr>
              <m:t>B</m:t>
            </m:r>
          </m:sub>
        </m:sSub>
      </m:oMath>
      <w:r w:rsidR="00054228">
        <w:t xml:space="preserve"> - </w:t>
      </w:r>
      <w:r w:rsidR="00D41F70" w:rsidRPr="00D41F70">
        <w:t>Standardabweichung der semantischen Breite</w:t>
      </w:r>
    </w:p>
    <w:p w14:paraId="52E372CC" w14:textId="2D03460A" w:rsidR="00D41F70" w:rsidRPr="00D41F70" w:rsidRDefault="00000000" w:rsidP="00DD26FD">
      <w:pPr>
        <w:pStyle w:val="Aufzhlung"/>
      </w:pPr>
      <m:oMath>
        <m:acc>
          <m:accPr>
            <m:chr m:val="̅"/>
            <m:ctrlPr>
              <w:rPr>
                <w:rFonts w:ascii="Cambria Math" w:eastAsia="Times New Roman" w:hAnsi="Cambria Math" w:cs="Times New Roman"/>
                <w:i/>
              </w:rPr>
            </m:ctrlPr>
          </m:accPr>
          <m:e>
            <m:r>
              <w:rPr>
                <w:rFonts w:ascii="Cambria Math" w:hAnsi="Cambria Math"/>
              </w:rPr>
              <m:t>ΔS</m:t>
            </m:r>
          </m:e>
        </m:acc>
      </m:oMath>
      <w:r w:rsidR="00054228">
        <w:t xml:space="preserve"> - </w:t>
      </w:r>
      <w:r w:rsidR="00D41F70" w:rsidRPr="00D41F70">
        <w:t>mittlere Vektordrift zwischen aufeinanderfolgenden Unterrichtseinheiten</w:t>
      </w:r>
    </w:p>
    <w:p w14:paraId="79F9588D" w14:textId="31A2EFAD" w:rsidR="00D41F70" w:rsidRPr="00D41F70" w:rsidRDefault="00000000" w:rsidP="00D41F70">
      <w:pPr>
        <w:pStyle w:val="Aufzhlung"/>
      </w:pPr>
      <m:oMath>
        <m:sSub>
          <m:sSubPr>
            <m:ctrlPr>
              <w:rPr>
                <w:rFonts w:ascii="Cambria Math" w:hAnsi="Cambria Math"/>
                <w:i/>
              </w:rPr>
            </m:ctrlPr>
          </m:sSubPr>
          <m:e>
            <m:r>
              <w:rPr>
                <w:rFonts w:ascii="Cambria Math" w:hAnsi="Cambria Math"/>
              </w:rPr>
              <m:t>σ</m:t>
            </m:r>
          </m:e>
          <m:sub>
            <m:r>
              <w:rPr>
                <w:rFonts w:ascii="Cambria Math" w:hAnsi="Cambria Math"/>
              </w:rPr>
              <m:t>D</m:t>
            </m:r>
          </m:sub>
        </m:sSub>
      </m:oMath>
      <w:r w:rsidR="00054228">
        <w:t xml:space="preserve"> - </w:t>
      </w:r>
      <w:r w:rsidR="00D41F70" w:rsidRPr="00D41F70">
        <w:t xml:space="preserve">Standardabweichung der mittleren semantischen Dichte </w:t>
      </w:r>
      <w:proofErr w:type="spellStart"/>
      <w:r w:rsidR="00D41F70" w:rsidRPr="00D41F70">
        <w:t>d_semantisch_mean</w:t>
      </w:r>
      <w:proofErr w:type="spellEnd"/>
    </w:p>
    <w:p w14:paraId="0655E852" w14:textId="150B23C7" w:rsidR="00D41F70" w:rsidRPr="00D41F70" w:rsidRDefault="00000000" w:rsidP="00D41F70">
      <w:pPr>
        <w:pStyle w:val="Aufzhlung"/>
      </w:pPr>
      <m:oMath>
        <m:sSub>
          <m:sSubPr>
            <m:ctrlPr>
              <w:rPr>
                <w:rFonts w:ascii="Cambria Math" w:hAnsi="Cambria Math"/>
                <w:i/>
              </w:rPr>
            </m:ctrlPr>
          </m:sSubPr>
          <m:e>
            <m:r>
              <w:rPr>
                <w:rFonts w:ascii="Cambria Math" w:hAnsi="Cambria Math"/>
              </w:rPr>
              <m:t>σ</m:t>
            </m:r>
          </m:e>
          <m:sub>
            <m:r>
              <w:rPr>
                <w:rFonts w:ascii="Cambria Math" w:hAnsi="Cambria Math"/>
              </w:rPr>
              <m:t>P</m:t>
            </m:r>
          </m:sub>
        </m:sSub>
      </m:oMath>
      <w:r w:rsidR="00054228">
        <w:t xml:space="preserve"> - </w:t>
      </w:r>
      <w:r w:rsidR="00D41F70" w:rsidRPr="00D41F70">
        <w:t xml:space="preserve">Standardabweichung des Polaritätsindex </w:t>
      </w:r>
      <w:proofErr w:type="spellStart"/>
      <w:r w:rsidR="00D41F70" w:rsidRPr="00D41F70">
        <w:t>polaritaet_index</w:t>
      </w:r>
      <w:proofErr w:type="spellEnd"/>
    </w:p>
    <w:p w14:paraId="24B3A78D" w14:textId="64A4156A" w:rsidR="00D41F70" w:rsidRPr="00D41F70" w:rsidRDefault="00000000" w:rsidP="00D41F70">
      <w:pPr>
        <w:pStyle w:val="Aufzhlung"/>
      </w:pPr>
      <m:oMath>
        <m:sSub>
          <m:sSubPr>
            <m:ctrlPr>
              <w:rPr>
                <w:rFonts w:ascii="Cambria Math" w:hAnsi="Cambria Math"/>
                <w:i/>
              </w:rPr>
            </m:ctrlPr>
          </m:sSubPr>
          <m:e>
            <m:r>
              <w:rPr>
                <w:rFonts w:ascii="Cambria Math" w:hAnsi="Cambria Math"/>
              </w:rPr>
              <m:t>σ</m:t>
            </m:r>
          </m:e>
          <m:sub>
            <m:r>
              <w:rPr>
                <w:rFonts w:ascii="Cambria Math" w:hAnsi="Cambria Math"/>
              </w:rPr>
              <m:t>H</m:t>
            </m:r>
          </m:sub>
        </m:sSub>
      </m:oMath>
      <w:r w:rsidR="00054228">
        <w:t xml:space="preserve"> - </w:t>
      </w:r>
      <w:r w:rsidR="00D41F70" w:rsidRPr="00D41F70">
        <w:t xml:space="preserve">Standardabweichung der Dominanzbreite </w:t>
      </w:r>
      <w:proofErr w:type="spellStart"/>
      <w:r w:rsidR="00D41F70" w:rsidRPr="00D41F70">
        <w:t>dominanz_breite</w:t>
      </w:r>
      <w:proofErr w:type="spellEnd"/>
    </w:p>
    <w:p w14:paraId="2BAC3672" w14:textId="77777777" w:rsidR="00D41F70" w:rsidRPr="00D41F70" w:rsidRDefault="00D41F70" w:rsidP="00D41F70">
      <w:r w:rsidRPr="00D41F70">
        <w:t>Je kleiner Breite, Drift, Dichteschwankung, Polaritätsschwankung und Dominanzschwankung sind, desto größer wird der Stabilisierungsindex. Der Index misst damit nicht unmittelbar „gute Nachhilfe“, sondern die Ausbildung eines kohärenten semantischen Zustandsraums.</w:t>
      </w:r>
    </w:p>
    <w:p w14:paraId="08B17967" w14:textId="77777777" w:rsidR="00D41F70" w:rsidRPr="00D41F70" w:rsidRDefault="00D41F70" w:rsidP="00D41F70">
      <w:r w:rsidRPr="00D41F70">
        <w:t>Die Ergebnisse zeigen insgesamt eine vergleichsweise geringe semantische Drift bei gleichzeitig moderater Binnenbreite. Für alle Lehrkräfte ergibt sich ein mittlerer Stabilisierungsindex von 0.3453 bei einer mittleren semantischen Breite von 0.2690 und einer mittleren Vektordrift von 0.2247. Lehrkraft 1 weist mit einem Stabilisierungsindex von 0.3615 leicht höhere Werte auf als die Gesamtheit aller Lehrkräfte.</w:t>
      </w:r>
    </w:p>
    <w:p w14:paraId="1B8B0A8F" w14:textId="77777777" w:rsidR="00D41F70" w:rsidRPr="00D41F70" w:rsidRDefault="00000000" w:rsidP="00D41F70">
      <w:r>
        <w:lastRenderedPageBreak/>
        <w:pict w14:anchorId="1DECE2EC">
          <v:rect id="_x0000_i1025" style="width:0;height:1.5pt" o:hralign="center" o:hrstd="t" o:hr="t" fillcolor="#a0a0a0" stroked="f"/>
        </w:pict>
      </w:r>
    </w:p>
    <w:p w14:paraId="4020D4E2" w14:textId="77777777" w:rsidR="00D41F70" w:rsidRPr="00D41F70" w:rsidRDefault="00D41F70" w:rsidP="00D41F70">
      <w:pPr>
        <w:rPr>
          <w:b/>
          <w:bCs/>
        </w:rPr>
      </w:pPr>
      <w:r w:rsidRPr="00D41F70">
        <w:rPr>
          <w:b/>
          <w:bCs/>
        </w:rPr>
        <w:t>Tabelle 6.x.1: Gesamtübersicht Stabilisierungsvorhersage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199"/>
        <w:gridCol w:w="2841"/>
        <w:gridCol w:w="2058"/>
      </w:tblGrid>
      <w:tr w:rsidR="00D41F70" w:rsidRPr="00D41F70" w14:paraId="315DD21E" w14:textId="77777777" w:rsidTr="00D41F70">
        <w:trPr>
          <w:tblHeader/>
          <w:tblCellSpacing w:w="15" w:type="dxa"/>
        </w:trPr>
        <w:tc>
          <w:tcPr>
            <w:tcW w:w="0" w:type="auto"/>
            <w:vAlign w:val="center"/>
            <w:hideMark/>
          </w:tcPr>
          <w:p w14:paraId="4693C023" w14:textId="77777777" w:rsidR="00D41F70" w:rsidRPr="00D41F70" w:rsidRDefault="00D41F70" w:rsidP="00D41F70">
            <w:pPr>
              <w:rPr>
                <w:b/>
                <w:bCs/>
              </w:rPr>
            </w:pPr>
            <w:r w:rsidRPr="00D41F70">
              <w:rPr>
                <w:b/>
                <w:bCs/>
              </w:rPr>
              <w:t>Gruppe</w:t>
            </w:r>
          </w:p>
        </w:tc>
        <w:tc>
          <w:tcPr>
            <w:tcW w:w="0" w:type="auto"/>
            <w:vAlign w:val="center"/>
            <w:hideMark/>
          </w:tcPr>
          <w:p w14:paraId="2D3ED6FB" w14:textId="77777777" w:rsidR="00D41F70" w:rsidRPr="00D41F70" w:rsidRDefault="00D41F70" w:rsidP="00D41F70">
            <w:pPr>
              <w:rPr>
                <w:b/>
                <w:bCs/>
              </w:rPr>
            </w:pPr>
            <w:r w:rsidRPr="00D41F70">
              <w:rPr>
                <w:b/>
                <w:bCs/>
              </w:rPr>
              <w:t>Mittlerer SI</w:t>
            </w:r>
          </w:p>
        </w:tc>
        <w:tc>
          <w:tcPr>
            <w:tcW w:w="0" w:type="auto"/>
            <w:vAlign w:val="center"/>
            <w:hideMark/>
          </w:tcPr>
          <w:p w14:paraId="5ECA33F9" w14:textId="77777777" w:rsidR="00D41F70" w:rsidRPr="00D41F70" w:rsidRDefault="00D41F70" w:rsidP="00D41F70">
            <w:pPr>
              <w:rPr>
                <w:b/>
                <w:bCs/>
              </w:rPr>
            </w:pPr>
            <w:r w:rsidRPr="00D41F70">
              <w:rPr>
                <w:b/>
                <w:bCs/>
              </w:rPr>
              <w:t>Mittlere semantische Breite</w:t>
            </w:r>
          </w:p>
        </w:tc>
        <w:tc>
          <w:tcPr>
            <w:tcW w:w="0" w:type="auto"/>
            <w:vAlign w:val="center"/>
            <w:hideMark/>
          </w:tcPr>
          <w:p w14:paraId="0E38BAAA" w14:textId="77777777" w:rsidR="00D41F70" w:rsidRPr="00D41F70" w:rsidRDefault="00D41F70" w:rsidP="00D41F70">
            <w:pPr>
              <w:rPr>
                <w:b/>
                <w:bCs/>
              </w:rPr>
            </w:pPr>
            <w:r w:rsidRPr="00D41F70">
              <w:rPr>
                <w:b/>
                <w:bCs/>
              </w:rPr>
              <w:t>Mittlere Vektordrift</w:t>
            </w:r>
          </w:p>
        </w:tc>
      </w:tr>
      <w:tr w:rsidR="00D41F70" w:rsidRPr="00D41F70" w14:paraId="534E55DD" w14:textId="77777777" w:rsidTr="00D41F70">
        <w:trPr>
          <w:tblCellSpacing w:w="15" w:type="dxa"/>
        </w:trPr>
        <w:tc>
          <w:tcPr>
            <w:tcW w:w="0" w:type="auto"/>
            <w:vAlign w:val="center"/>
            <w:hideMark/>
          </w:tcPr>
          <w:p w14:paraId="775291E0" w14:textId="77777777" w:rsidR="00D41F70" w:rsidRPr="00D41F70" w:rsidRDefault="00D41F70" w:rsidP="00D41F70">
            <w:r w:rsidRPr="00D41F70">
              <w:t>Alle Lehrkräfte</w:t>
            </w:r>
          </w:p>
        </w:tc>
        <w:tc>
          <w:tcPr>
            <w:tcW w:w="0" w:type="auto"/>
            <w:vAlign w:val="center"/>
            <w:hideMark/>
          </w:tcPr>
          <w:p w14:paraId="35B33B6E" w14:textId="77777777" w:rsidR="00D41F70" w:rsidRPr="00D41F70" w:rsidRDefault="00D41F70" w:rsidP="00D41F70">
            <w:r w:rsidRPr="00D41F70">
              <w:t>0.3453</w:t>
            </w:r>
          </w:p>
        </w:tc>
        <w:tc>
          <w:tcPr>
            <w:tcW w:w="0" w:type="auto"/>
            <w:vAlign w:val="center"/>
            <w:hideMark/>
          </w:tcPr>
          <w:p w14:paraId="37FBCAF2" w14:textId="77777777" w:rsidR="00D41F70" w:rsidRPr="00D41F70" w:rsidRDefault="00D41F70" w:rsidP="00D41F70">
            <w:r w:rsidRPr="00D41F70">
              <w:t>0.2690</w:t>
            </w:r>
          </w:p>
        </w:tc>
        <w:tc>
          <w:tcPr>
            <w:tcW w:w="0" w:type="auto"/>
            <w:vAlign w:val="center"/>
            <w:hideMark/>
          </w:tcPr>
          <w:p w14:paraId="51A5738A" w14:textId="77777777" w:rsidR="00D41F70" w:rsidRPr="00D41F70" w:rsidRDefault="00D41F70" w:rsidP="00D41F70">
            <w:r w:rsidRPr="00D41F70">
              <w:t>0.2247</w:t>
            </w:r>
          </w:p>
        </w:tc>
      </w:tr>
      <w:tr w:rsidR="00D41F70" w:rsidRPr="00D41F70" w14:paraId="582142AD" w14:textId="77777777" w:rsidTr="00D41F70">
        <w:trPr>
          <w:tblCellSpacing w:w="15" w:type="dxa"/>
        </w:trPr>
        <w:tc>
          <w:tcPr>
            <w:tcW w:w="0" w:type="auto"/>
            <w:vAlign w:val="center"/>
            <w:hideMark/>
          </w:tcPr>
          <w:p w14:paraId="7F40EC3A" w14:textId="77777777" w:rsidR="00D41F70" w:rsidRPr="00D41F70" w:rsidRDefault="00D41F70" w:rsidP="00D41F70">
            <w:r w:rsidRPr="00D41F70">
              <w:t>Lehrkraft 1</w:t>
            </w:r>
          </w:p>
        </w:tc>
        <w:tc>
          <w:tcPr>
            <w:tcW w:w="0" w:type="auto"/>
            <w:vAlign w:val="center"/>
            <w:hideMark/>
          </w:tcPr>
          <w:p w14:paraId="78B37151" w14:textId="77777777" w:rsidR="00D41F70" w:rsidRPr="00D41F70" w:rsidRDefault="00D41F70" w:rsidP="00D41F70">
            <w:r w:rsidRPr="00D41F70">
              <w:t>0.3615</w:t>
            </w:r>
          </w:p>
        </w:tc>
        <w:tc>
          <w:tcPr>
            <w:tcW w:w="0" w:type="auto"/>
            <w:vAlign w:val="center"/>
            <w:hideMark/>
          </w:tcPr>
          <w:p w14:paraId="170F2132" w14:textId="77777777" w:rsidR="00D41F70" w:rsidRPr="00D41F70" w:rsidRDefault="00D41F70" w:rsidP="00D41F70">
            <w:r w:rsidRPr="00D41F70">
              <w:t>0.2649</w:t>
            </w:r>
          </w:p>
        </w:tc>
        <w:tc>
          <w:tcPr>
            <w:tcW w:w="0" w:type="auto"/>
            <w:vAlign w:val="center"/>
            <w:hideMark/>
          </w:tcPr>
          <w:p w14:paraId="3A793CE0" w14:textId="77777777" w:rsidR="00D41F70" w:rsidRPr="00D41F70" w:rsidRDefault="00D41F70" w:rsidP="00D41F70">
            <w:r w:rsidRPr="00D41F70">
              <w:t>0.2223</w:t>
            </w:r>
          </w:p>
        </w:tc>
      </w:tr>
      <w:tr w:rsidR="00D41F70" w:rsidRPr="00D41F70" w14:paraId="1C28739C" w14:textId="77777777" w:rsidTr="00D41F70">
        <w:trPr>
          <w:tblCellSpacing w:w="15" w:type="dxa"/>
        </w:trPr>
        <w:tc>
          <w:tcPr>
            <w:tcW w:w="0" w:type="auto"/>
            <w:vAlign w:val="center"/>
            <w:hideMark/>
          </w:tcPr>
          <w:p w14:paraId="0F07D6DE" w14:textId="77777777" w:rsidR="00D41F70" w:rsidRPr="00D41F70" w:rsidRDefault="00D41F70" w:rsidP="00D41F70">
            <w:r w:rsidRPr="00D41F70">
              <w:t>Nicht Lehrkraft 1</w:t>
            </w:r>
          </w:p>
        </w:tc>
        <w:tc>
          <w:tcPr>
            <w:tcW w:w="0" w:type="auto"/>
            <w:vAlign w:val="center"/>
            <w:hideMark/>
          </w:tcPr>
          <w:p w14:paraId="3ACACB54" w14:textId="77777777" w:rsidR="00D41F70" w:rsidRPr="00D41F70" w:rsidRDefault="00D41F70" w:rsidP="00D41F70">
            <w:r w:rsidRPr="00D41F70">
              <w:t>0.3381</w:t>
            </w:r>
          </w:p>
        </w:tc>
        <w:tc>
          <w:tcPr>
            <w:tcW w:w="0" w:type="auto"/>
            <w:vAlign w:val="center"/>
            <w:hideMark/>
          </w:tcPr>
          <w:p w14:paraId="10E736B3" w14:textId="77777777" w:rsidR="00D41F70" w:rsidRPr="00D41F70" w:rsidRDefault="00D41F70" w:rsidP="00D41F70">
            <w:r w:rsidRPr="00D41F70">
              <w:t>0.2718</w:t>
            </w:r>
          </w:p>
        </w:tc>
        <w:tc>
          <w:tcPr>
            <w:tcW w:w="0" w:type="auto"/>
            <w:vAlign w:val="center"/>
            <w:hideMark/>
          </w:tcPr>
          <w:p w14:paraId="112A3B0F" w14:textId="77777777" w:rsidR="00D41F70" w:rsidRPr="00D41F70" w:rsidRDefault="00D41F70" w:rsidP="00D41F70">
            <w:r w:rsidRPr="00D41F70">
              <w:t>0.2186</w:t>
            </w:r>
          </w:p>
        </w:tc>
      </w:tr>
    </w:tbl>
    <w:p w14:paraId="56E7F43F" w14:textId="77777777" w:rsidR="00D41F70" w:rsidRPr="00D41F70" w:rsidRDefault="00000000" w:rsidP="00D41F70">
      <w:r>
        <w:pict w14:anchorId="23CA467C">
          <v:rect id="_x0000_i1026" style="width:0;height:1.5pt" o:hralign="center" o:hrstd="t" o:hr="t" fillcolor="#a0a0a0" stroked="f"/>
        </w:pict>
      </w:r>
    </w:p>
    <w:p w14:paraId="1B920728" w14:textId="77777777" w:rsidR="00D41F70" w:rsidRPr="00D41F70" w:rsidRDefault="00D41F70" w:rsidP="00D41F70">
      <w:r w:rsidRPr="00D41F70">
        <w:t>Die Ergebnisse sind insbesondere unter Berücksichtigung des Nachhilfekontextes bemerkenswert. Anders als im regulären Klassenunterricht liegt hier keine standardisierte Unterrichtssituation vor. Vielmehr ist Nachhilfe typischerweise durch hohe situative Variabilität gekennzeichnet:</w:t>
      </w:r>
    </w:p>
    <w:p w14:paraId="4C293D15" w14:textId="77777777" w:rsidR="00D41F70" w:rsidRPr="00D41F70" w:rsidRDefault="00D41F70" w:rsidP="00D41F70">
      <w:pPr>
        <w:numPr>
          <w:ilvl w:val="0"/>
          <w:numId w:val="6"/>
        </w:numPr>
      </w:pPr>
      <w:r w:rsidRPr="00D41F70">
        <w:t xml:space="preserve">kurzfristige Themenwechsel, </w:t>
      </w:r>
    </w:p>
    <w:p w14:paraId="65192744" w14:textId="77777777" w:rsidR="00D41F70" w:rsidRPr="00D41F70" w:rsidRDefault="00D41F70" w:rsidP="00D41F70">
      <w:pPr>
        <w:numPr>
          <w:ilvl w:val="0"/>
          <w:numId w:val="6"/>
        </w:numPr>
      </w:pPr>
      <w:r w:rsidRPr="00D41F70">
        <w:t xml:space="preserve">individuelle Krisensituationen, </w:t>
      </w:r>
    </w:p>
    <w:p w14:paraId="11045757" w14:textId="77777777" w:rsidR="00D41F70" w:rsidRPr="00D41F70" w:rsidRDefault="00D41F70" w:rsidP="00D41F70">
      <w:pPr>
        <w:numPr>
          <w:ilvl w:val="0"/>
          <w:numId w:val="6"/>
        </w:numPr>
      </w:pPr>
      <w:r w:rsidRPr="00D41F70">
        <w:t xml:space="preserve">emotionale Schwankungen, </w:t>
      </w:r>
    </w:p>
    <w:p w14:paraId="6E974CD7" w14:textId="77777777" w:rsidR="00D41F70" w:rsidRPr="00D41F70" w:rsidRDefault="00D41F70" w:rsidP="00D41F70">
      <w:pPr>
        <w:numPr>
          <w:ilvl w:val="0"/>
          <w:numId w:val="6"/>
        </w:numPr>
      </w:pPr>
      <w:r w:rsidRPr="00D41F70">
        <w:t xml:space="preserve">Prüfungsdruck, </w:t>
      </w:r>
    </w:p>
    <w:p w14:paraId="3D6BC2B3" w14:textId="77777777" w:rsidR="00D41F70" w:rsidRPr="00D41F70" w:rsidRDefault="00D41F70" w:rsidP="00D41F70">
      <w:pPr>
        <w:numPr>
          <w:ilvl w:val="0"/>
          <w:numId w:val="6"/>
        </w:numPr>
      </w:pPr>
      <w:r w:rsidRPr="00D41F70">
        <w:t xml:space="preserve">adaptive Lehrkraftreaktionen, </w:t>
      </w:r>
    </w:p>
    <w:p w14:paraId="6A192AC3" w14:textId="77777777" w:rsidR="00D41F70" w:rsidRPr="00D41F70" w:rsidRDefault="00D41F70" w:rsidP="00D41F70">
      <w:pPr>
        <w:numPr>
          <w:ilvl w:val="0"/>
          <w:numId w:val="6"/>
        </w:numPr>
      </w:pPr>
      <w:r w:rsidRPr="00D41F70">
        <w:t xml:space="preserve">heterogene Kompetenzstände. </w:t>
      </w:r>
    </w:p>
    <w:p w14:paraId="628A5D98" w14:textId="77777777" w:rsidR="00D41F70" w:rsidRPr="00D41F70" w:rsidRDefault="00D41F70" w:rsidP="00D41F70">
      <w:r w:rsidRPr="00D41F70">
        <w:t>Unter diesen Bedingungen wäre theoretisch eine deutlich höhere Drift der semantischen Zustandsräume erwartbar. Dass die Drift dennoch relativ begrenzt bleibt, spricht für die Ausbildung funktionaler Kohärenzräume. Die Lehrkraft stabilisiert dabei offenbar nicht primär den fachlichen Inhalt, sondern den Übergang zwischen wechselnden Zuständen.</w:t>
      </w:r>
    </w:p>
    <w:p w14:paraId="7135797E" w14:textId="77777777" w:rsidR="00D41F70" w:rsidRPr="00D41F70" w:rsidRDefault="00D41F70" w:rsidP="00D41F70">
      <w:r w:rsidRPr="00D41F70">
        <w:t>Besonders relevant ist dabei die Kombination aus:</w:t>
      </w:r>
    </w:p>
    <w:p w14:paraId="2B82B87B" w14:textId="77777777" w:rsidR="00D41F70" w:rsidRPr="00D41F70" w:rsidRDefault="00D41F70" w:rsidP="00D41F70">
      <w:pPr>
        <w:numPr>
          <w:ilvl w:val="0"/>
          <w:numId w:val="7"/>
        </w:numPr>
      </w:pPr>
      <w:r w:rsidRPr="00D41F70">
        <w:t xml:space="preserve">relativ niedriger globaler Drift, </w:t>
      </w:r>
    </w:p>
    <w:p w14:paraId="50EC1B21" w14:textId="77777777" w:rsidR="00D41F70" w:rsidRPr="00D41F70" w:rsidRDefault="00D41F70" w:rsidP="00D41F70">
      <w:pPr>
        <w:numPr>
          <w:ilvl w:val="0"/>
          <w:numId w:val="7"/>
        </w:numPr>
      </w:pPr>
      <w:r w:rsidRPr="00D41F70">
        <w:t xml:space="preserve">gleichzeitig erhaltener Binnenvariabilität einzelner Unterrichtseinheiten. </w:t>
      </w:r>
    </w:p>
    <w:p w14:paraId="0CD98FAB" w14:textId="77777777" w:rsidR="00D41F70" w:rsidRPr="00D41F70" w:rsidRDefault="00D41F70" w:rsidP="00D41F70">
      <w:r w:rsidRPr="00D41F70">
        <w:t>Die semantische Kohärenz der Lehrkraftsicht lässt sich damit als Verhältnis lokaler Variabilität zur globalen Drift beschreiben:</w:t>
      </w:r>
    </w:p>
    <w:p w14:paraId="11693BF6" w14:textId="38AE393C" w:rsidR="00D41F70" w:rsidRPr="00D41F70" w:rsidRDefault="00054228" w:rsidP="00D41F70">
      <m:oMathPara>
        <m:oMath>
          <m:r>
            <w:rPr>
              <w:rFonts w:ascii="Cambria Math" w:hAnsi="Cambria Math"/>
            </w:rPr>
            <m:t>C=1-</m:t>
          </m:r>
          <m:f>
            <m:fPr>
              <m:ctrlPr>
                <w:rPr>
                  <w:rFonts w:ascii="Cambria Math" w:hAnsi="Cambria Math"/>
                  <w:i/>
                </w:rPr>
              </m:ctrlPr>
            </m:fPr>
            <m:num>
              <m:acc>
                <m:accPr>
                  <m:chr m:val="̅"/>
                  <m:ctrlPr>
                    <w:rPr>
                      <w:rFonts w:ascii="Cambria Math" w:hAnsi="Cambria Math"/>
                      <w:i/>
                    </w:rPr>
                  </m:ctrlPr>
                </m:accPr>
                <m:e>
                  <m:r>
                    <w:rPr>
                      <w:rFonts w:ascii="Cambria Math" w:hAnsi="Cambria Math"/>
                    </w:rPr>
                    <m:t>ΔS</m:t>
                  </m:r>
                </m:e>
              </m:acc>
            </m:num>
            <m:den>
              <m:acc>
                <m:accPr>
                  <m:chr m:val="̅"/>
                  <m:ctrlPr>
                    <w:rPr>
                      <w:rFonts w:ascii="Cambria Math" w:hAnsi="Cambria Math"/>
                      <w:i/>
                    </w:rPr>
                  </m:ctrlPr>
                </m:accPr>
                <m:e>
                  <m:r>
                    <w:rPr>
                      <w:rFonts w:ascii="Cambria Math" w:hAnsi="Cambria Math"/>
                    </w:rPr>
                    <m:t>B</m:t>
                  </m:r>
                </m:e>
              </m:acc>
            </m:den>
          </m:f>
        </m:oMath>
      </m:oMathPara>
    </w:p>
    <w:p w14:paraId="0D2DFF9F" w14:textId="77777777" w:rsidR="00D41F70" w:rsidRPr="00D41F70" w:rsidRDefault="00D41F70" w:rsidP="00D41F70">
      <w:r w:rsidRPr="00D41F70">
        <w:t>Hohe Kohärenz entsteht somit dann, wenn die Übergangsbewegung zwischen Unterrichtseinheiten kleiner bleibt als die Binnenvariabilität innerhalb der einzelnen Zustandsräume. Genau diese Struktur scheint in den Daten sichtbar zu werden.</w:t>
      </w:r>
    </w:p>
    <w:p w14:paraId="38B43388" w14:textId="77777777" w:rsidR="00D41F70" w:rsidRPr="00D41F70" w:rsidRDefault="00D41F70" w:rsidP="00D41F70">
      <w:r w:rsidRPr="00D41F70">
        <w:t>Dies zeigt sich besonders deutlich bei Teilnehmern mit hoher Anzahl an Unterrichtseinheiten und gleichzeitig hohem Stabilisierungsindex.</w:t>
      </w:r>
    </w:p>
    <w:p w14:paraId="7429A7CB" w14:textId="77777777" w:rsidR="00D41F70" w:rsidRPr="00D41F70" w:rsidRDefault="00000000" w:rsidP="00D41F70">
      <w:r>
        <w:pict w14:anchorId="21FED937">
          <v:rect id="_x0000_i1027" style="width:0;height:1.5pt" o:hralign="center" o:hrstd="t" o:hr="t" fillcolor="#a0a0a0" stroked="f"/>
        </w:pict>
      </w:r>
    </w:p>
    <w:p w14:paraId="7D170A35" w14:textId="77777777" w:rsidR="00D41F70" w:rsidRPr="00D41F70" w:rsidRDefault="00D41F70" w:rsidP="00D41F70">
      <w:pPr>
        <w:rPr>
          <w:b/>
          <w:bCs/>
        </w:rPr>
      </w:pPr>
      <w:r w:rsidRPr="00D41F70">
        <w:rPr>
          <w:b/>
          <w:bCs/>
        </w:rPr>
        <w:t>Tabelle 6.x.2: Teilnehmer mit hoher Stabilisierung bei hoher Datenbasis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138"/>
        <w:gridCol w:w="2072"/>
      </w:tblGrid>
      <w:tr w:rsidR="00D41F70" w:rsidRPr="00D41F70" w14:paraId="35106552" w14:textId="77777777" w:rsidTr="00D41F70">
        <w:trPr>
          <w:tblHeader/>
          <w:tblCellSpacing w:w="15" w:type="dxa"/>
        </w:trPr>
        <w:tc>
          <w:tcPr>
            <w:tcW w:w="0" w:type="auto"/>
            <w:vAlign w:val="center"/>
            <w:hideMark/>
          </w:tcPr>
          <w:p w14:paraId="77EF9002" w14:textId="77777777" w:rsidR="00D41F70" w:rsidRPr="00D41F70" w:rsidRDefault="00D41F70" w:rsidP="00D41F70">
            <w:pPr>
              <w:rPr>
                <w:b/>
                <w:bCs/>
              </w:rPr>
            </w:pPr>
            <w:r w:rsidRPr="00D41F70">
              <w:rPr>
                <w:b/>
                <w:bCs/>
              </w:rPr>
              <w:lastRenderedPageBreak/>
              <w:t>Teilnehmer-ID</w:t>
            </w:r>
          </w:p>
        </w:tc>
        <w:tc>
          <w:tcPr>
            <w:tcW w:w="0" w:type="auto"/>
            <w:vAlign w:val="center"/>
            <w:hideMark/>
          </w:tcPr>
          <w:p w14:paraId="3C748733" w14:textId="77777777" w:rsidR="00D41F70" w:rsidRPr="00D41F70" w:rsidRDefault="00D41F70" w:rsidP="00D41F70">
            <w:pPr>
              <w:rPr>
                <w:b/>
                <w:bCs/>
              </w:rPr>
            </w:pPr>
            <w:r w:rsidRPr="00D41F70">
              <w:rPr>
                <w:b/>
                <w:bCs/>
              </w:rPr>
              <w:t>Unterrichtseinheiten</w:t>
            </w:r>
          </w:p>
        </w:tc>
        <w:tc>
          <w:tcPr>
            <w:tcW w:w="0" w:type="auto"/>
            <w:vAlign w:val="center"/>
            <w:hideMark/>
          </w:tcPr>
          <w:p w14:paraId="5D738DB6" w14:textId="77777777" w:rsidR="00D41F70" w:rsidRPr="00D41F70" w:rsidRDefault="00D41F70" w:rsidP="00D41F70">
            <w:pPr>
              <w:rPr>
                <w:b/>
                <w:bCs/>
              </w:rPr>
            </w:pPr>
            <w:r w:rsidRPr="00D41F70">
              <w:rPr>
                <w:b/>
                <w:bCs/>
              </w:rPr>
              <w:t>Stabilisierungsindex</w:t>
            </w:r>
          </w:p>
        </w:tc>
      </w:tr>
      <w:tr w:rsidR="00D41F70" w:rsidRPr="00D41F70" w14:paraId="5D42519A" w14:textId="77777777" w:rsidTr="00D41F70">
        <w:trPr>
          <w:tblCellSpacing w:w="15" w:type="dxa"/>
        </w:trPr>
        <w:tc>
          <w:tcPr>
            <w:tcW w:w="0" w:type="auto"/>
            <w:vAlign w:val="center"/>
            <w:hideMark/>
          </w:tcPr>
          <w:p w14:paraId="510BCB56" w14:textId="77777777" w:rsidR="00D41F70" w:rsidRPr="00D41F70" w:rsidRDefault="00D41F70" w:rsidP="00D41F70">
            <w:r w:rsidRPr="00D41F70">
              <w:t>16</w:t>
            </w:r>
          </w:p>
        </w:tc>
        <w:tc>
          <w:tcPr>
            <w:tcW w:w="0" w:type="auto"/>
            <w:vAlign w:val="center"/>
            <w:hideMark/>
          </w:tcPr>
          <w:p w14:paraId="4C848632" w14:textId="77777777" w:rsidR="00D41F70" w:rsidRPr="00D41F70" w:rsidRDefault="00D41F70" w:rsidP="00D41F70">
            <w:r w:rsidRPr="00D41F70">
              <w:t>29</w:t>
            </w:r>
          </w:p>
        </w:tc>
        <w:tc>
          <w:tcPr>
            <w:tcW w:w="0" w:type="auto"/>
            <w:vAlign w:val="center"/>
            <w:hideMark/>
          </w:tcPr>
          <w:p w14:paraId="131D11D8" w14:textId="77777777" w:rsidR="00D41F70" w:rsidRPr="00D41F70" w:rsidRDefault="00D41F70" w:rsidP="00D41F70">
            <w:r w:rsidRPr="00D41F70">
              <w:t>0.3812</w:t>
            </w:r>
          </w:p>
        </w:tc>
      </w:tr>
      <w:tr w:rsidR="00D41F70" w:rsidRPr="00D41F70" w14:paraId="646E8B25" w14:textId="77777777" w:rsidTr="00D41F70">
        <w:trPr>
          <w:tblCellSpacing w:w="15" w:type="dxa"/>
        </w:trPr>
        <w:tc>
          <w:tcPr>
            <w:tcW w:w="0" w:type="auto"/>
            <w:vAlign w:val="center"/>
            <w:hideMark/>
          </w:tcPr>
          <w:p w14:paraId="54415B62" w14:textId="77777777" w:rsidR="00D41F70" w:rsidRPr="00D41F70" w:rsidRDefault="00D41F70" w:rsidP="00D41F70">
            <w:r w:rsidRPr="00D41F70">
              <w:t>20</w:t>
            </w:r>
          </w:p>
        </w:tc>
        <w:tc>
          <w:tcPr>
            <w:tcW w:w="0" w:type="auto"/>
            <w:vAlign w:val="center"/>
            <w:hideMark/>
          </w:tcPr>
          <w:p w14:paraId="6A5BA1A8" w14:textId="77777777" w:rsidR="00D41F70" w:rsidRPr="00D41F70" w:rsidRDefault="00D41F70" w:rsidP="00D41F70">
            <w:r w:rsidRPr="00D41F70">
              <w:t>24</w:t>
            </w:r>
          </w:p>
        </w:tc>
        <w:tc>
          <w:tcPr>
            <w:tcW w:w="0" w:type="auto"/>
            <w:vAlign w:val="center"/>
            <w:hideMark/>
          </w:tcPr>
          <w:p w14:paraId="585588D0" w14:textId="77777777" w:rsidR="00D41F70" w:rsidRPr="00D41F70" w:rsidRDefault="00D41F70" w:rsidP="00D41F70">
            <w:r w:rsidRPr="00D41F70">
              <w:t>0.3728</w:t>
            </w:r>
          </w:p>
        </w:tc>
      </w:tr>
      <w:tr w:rsidR="00D41F70" w:rsidRPr="00D41F70" w14:paraId="5C53CE05" w14:textId="77777777" w:rsidTr="00D41F70">
        <w:trPr>
          <w:tblCellSpacing w:w="15" w:type="dxa"/>
        </w:trPr>
        <w:tc>
          <w:tcPr>
            <w:tcW w:w="0" w:type="auto"/>
            <w:vAlign w:val="center"/>
            <w:hideMark/>
          </w:tcPr>
          <w:p w14:paraId="7FDD06BE" w14:textId="77777777" w:rsidR="00D41F70" w:rsidRPr="00D41F70" w:rsidRDefault="00D41F70" w:rsidP="00D41F70">
            <w:r w:rsidRPr="00D41F70">
              <w:t>21</w:t>
            </w:r>
          </w:p>
        </w:tc>
        <w:tc>
          <w:tcPr>
            <w:tcW w:w="0" w:type="auto"/>
            <w:vAlign w:val="center"/>
            <w:hideMark/>
          </w:tcPr>
          <w:p w14:paraId="5D58B456" w14:textId="77777777" w:rsidR="00D41F70" w:rsidRPr="00D41F70" w:rsidRDefault="00D41F70" w:rsidP="00D41F70">
            <w:r w:rsidRPr="00D41F70">
              <w:t>22</w:t>
            </w:r>
          </w:p>
        </w:tc>
        <w:tc>
          <w:tcPr>
            <w:tcW w:w="0" w:type="auto"/>
            <w:vAlign w:val="center"/>
            <w:hideMark/>
          </w:tcPr>
          <w:p w14:paraId="2F0B3743" w14:textId="77777777" w:rsidR="00D41F70" w:rsidRPr="00D41F70" w:rsidRDefault="00D41F70" w:rsidP="00D41F70">
            <w:r w:rsidRPr="00D41F70">
              <w:t>0.3691</w:t>
            </w:r>
          </w:p>
        </w:tc>
      </w:tr>
      <w:tr w:rsidR="00D41F70" w:rsidRPr="00D41F70" w14:paraId="1E785DC1" w14:textId="77777777" w:rsidTr="00D41F70">
        <w:trPr>
          <w:tblCellSpacing w:w="15" w:type="dxa"/>
        </w:trPr>
        <w:tc>
          <w:tcPr>
            <w:tcW w:w="0" w:type="auto"/>
            <w:vAlign w:val="center"/>
            <w:hideMark/>
          </w:tcPr>
          <w:p w14:paraId="16137700" w14:textId="77777777" w:rsidR="00D41F70" w:rsidRPr="00D41F70" w:rsidRDefault="00D41F70" w:rsidP="00D41F70">
            <w:r w:rsidRPr="00D41F70">
              <w:t>7</w:t>
            </w:r>
          </w:p>
        </w:tc>
        <w:tc>
          <w:tcPr>
            <w:tcW w:w="0" w:type="auto"/>
            <w:vAlign w:val="center"/>
            <w:hideMark/>
          </w:tcPr>
          <w:p w14:paraId="03C90508" w14:textId="77777777" w:rsidR="00D41F70" w:rsidRPr="00D41F70" w:rsidRDefault="00D41F70" w:rsidP="00D41F70">
            <w:r w:rsidRPr="00D41F70">
              <w:t>19</w:t>
            </w:r>
          </w:p>
        </w:tc>
        <w:tc>
          <w:tcPr>
            <w:tcW w:w="0" w:type="auto"/>
            <w:vAlign w:val="center"/>
            <w:hideMark/>
          </w:tcPr>
          <w:p w14:paraId="51D2C910" w14:textId="77777777" w:rsidR="00D41F70" w:rsidRPr="00D41F70" w:rsidRDefault="00D41F70" w:rsidP="00D41F70">
            <w:r w:rsidRPr="00D41F70">
              <w:t>0.3614</w:t>
            </w:r>
          </w:p>
        </w:tc>
      </w:tr>
    </w:tbl>
    <w:p w14:paraId="0AB18105" w14:textId="77777777" w:rsidR="00D41F70" w:rsidRPr="00D41F70" w:rsidRDefault="00000000" w:rsidP="00D41F70">
      <w:r>
        <w:pict w14:anchorId="48DFE879">
          <v:rect id="_x0000_i1028" style="width:0;height:1.5pt" o:hralign="center" o:hrstd="t" o:hr="t" fillcolor="#a0a0a0" stroked="f"/>
        </w:pict>
      </w:r>
    </w:p>
    <w:p w14:paraId="56AF505E" w14:textId="77777777" w:rsidR="00D41F70" w:rsidRPr="00D41F70" w:rsidRDefault="00D41F70" w:rsidP="00D41F70">
      <w:r w:rsidRPr="00D41F70">
        <w:t xml:space="preserve">Diese Teilnehmer zeigen über längere Zeiträume relativ stabile semantische Zustandsräume trotz wechselnder Unterrichtsinhalte. Innerhalb des FRZK lässt sich dies als empirischer Hinweis auf semantische </w:t>
      </w:r>
      <w:proofErr w:type="spellStart"/>
      <w:r w:rsidRPr="00D41F70">
        <w:t>Attraktorräume</w:t>
      </w:r>
      <w:proofErr w:type="spellEnd"/>
      <w:r w:rsidRPr="00D41F70">
        <w:t xml:space="preserve"> interpretieren. Die Teilnehmer bewegen sich nicht beliebig durch den Zustandsraum, sondern tendieren zur Wiederkehr funktional ähnlicher semantischer Konfigurationen.</w:t>
      </w:r>
    </w:p>
    <w:p w14:paraId="1EAAFECA" w14:textId="77777777" w:rsidR="00D41F70" w:rsidRPr="00D41F70" w:rsidRDefault="00D41F70" w:rsidP="00D41F70">
      <w:r w:rsidRPr="00D41F70">
        <w:t xml:space="preserve">Formal kann dies als </w:t>
      </w:r>
      <w:proofErr w:type="spellStart"/>
      <w:r w:rsidRPr="00D41F70">
        <w:t>Attraktorbildung</w:t>
      </w:r>
      <w:proofErr w:type="spellEnd"/>
      <w:r w:rsidRPr="00D41F70">
        <w:t xml:space="preserve"> beschrieben werden:</w:t>
      </w:r>
    </w:p>
    <w:p w14:paraId="20FD60A7" w14:textId="062AAC37" w:rsidR="00D41F70" w:rsidRPr="00D41F70" w:rsidRDefault="00000000" w:rsidP="00D41F70">
      <m:oMathPara>
        <m:oMath>
          <m:sSub>
            <m:sSubPr>
              <m:ctrlPr>
                <w:rPr>
                  <w:rFonts w:ascii="Cambria Math" w:hAnsi="Cambria Math"/>
                  <w:i/>
                </w:rPr>
              </m:ctrlPr>
            </m:sSubPr>
            <m:e>
              <m:r>
                <w:rPr>
                  <w:rFonts w:ascii="Cambria Math" w:hAnsi="Cambria Math"/>
                </w:rPr>
                <m:t>S</m:t>
              </m:r>
            </m:e>
            <m:sub>
              <m:r>
                <w:rPr>
                  <w:rFonts w:ascii="Cambria Math" w:hAnsi="Cambria Math"/>
                </w:rPr>
                <m:t>t+n</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3371B545" w14:textId="77777777" w:rsidR="00D41F70" w:rsidRPr="00D41F70" w:rsidRDefault="00D41F70" w:rsidP="00D41F70">
      <w:r w:rsidRPr="00D41F70">
        <w:t>Die semantische Entwicklung verläuft damit nicht linear, sondern oszilliert innerhalb begrenzter Kohärenzräume.</w:t>
      </w:r>
    </w:p>
    <w:p w14:paraId="2C43E04C" w14:textId="77777777" w:rsidR="00D41F70" w:rsidRPr="00D41F70" w:rsidRDefault="00D41F70" w:rsidP="00D41F70">
      <w:r w:rsidRPr="00D41F70">
        <w:t>Demgegenüber zeigen einige Teilnehmer deutlich niedrigere Stabilisierungswerte.</w:t>
      </w:r>
    </w:p>
    <w:p w14:paraId="4300A158" w14:textId="77777777" w:rsidR="00D41F70" w:rsidRPr="00D41F70" w:rsidRDefault="00000000" w:rsidP="00D41F70">
      <w:r>
        <w:pict w14:anchorId="50E64D76">
          <v:rect id="_x0000_i1029" style="width:0;height:1.5pt" o:hralign="center" o:hrstd="t" o:hr="t" fillcolor="#a0a0a0" stroked="f"/>
        </w:pict>
      </w:r>
    </w:p>
    <w:p w14:paraId="0A3A8FBA" w14:textId="77777777" w:rsidR="00D41F70" w:rsidRPr="00D41F70" w:rsidRDefault="00D41F70" w:rsidP="00D41F70">
      <w:pPr>
        <w:rPr>
          <w:b/>
          <w:bCs/>
        </w:rPr>
      </w:pPr>
      <w:r w:rsidRPr="00D41F70">
        <w:rPr>
          <w:b/>
          <w:bCs/>
        </w:rPr>
        <w:t>Tabelle 6.x.3: Teilnehmer mit erhöhter semantischer Instabilität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138"/>
        <w:gridCol w:w="2072"/>
      </w:tblGrid>
      <w:tr w:rsidR="00D41F70" w:rsidRPr="00D41F70" w14:paraId="447DC3AE" w14:textId="77777777" w:rsidTr="00D41F70">
        <w:trPr>
          <w:tblHeader/>
          <w:tblCellSpacing w:w="15" w:type="dxa"/>
        </w:trPr>
        <w:tc>
          <w:tcPr>
            <w:tcW w:w="0" w:type="auto"/>
            <w:vAlign w:val="center"/>
            <w:hideMark/>
          </w:tcPr>
          <w:p w14:paraId="03A8957C" w14:textId="77777777" w:rsidR="00D41F70" w:rsidRPr="00D41F70" w:rsidRDefault="00D41F70" w:rsidP="00D41F70">
            <w:pPr>
              <w:rPr>
                <w:b/>
                <w:bCs/>
              </w:rPr>
            </w:pPr>
            <w:r w:rsidRPr="00D41F70">
              <w:rPr>
                <w:b/>
                <w:bCs/>
              </w:rPr>
              <w:t>Teilnehmer-ID</w:t>
            </w:r>
          </w:p>
        </w:tc>
        <w:tc>
          <w:tcPr>
            <w:tcW w:w="0" w:type="auto"/>
            <w:vAlign w:val="center"/>
            <w:hideMark/>
          </w:tcPr>
          <w:p w14:paraId="757B7163" w14:textId="77777777" w:rsidR="00D41F70" w:rsidRPr="00D41F70" w:rsidRDefault="00D41F70" w:rsidP="00D41F70">
            <w:pPr>
              <w:rPr>
                <w:b/>
                <w:bCs/>
              </w:rPr>
            </w:pPr>
            <w:r w:rsidRPr="00D41F70">
              <w:rPr>
                <w:b/>
                <w:bCs/>
              </w:rPr>
              <w:t>Unterrichtseinheiten</w:t>
            </w:r>
          </w:p>
        </w:tc>
        <w:tc>
          <w:tcPr>
            <w:tcW w:w="0" w:type="auto"/>
            <w:vAlign w:val="center"/>
            <w:hideMark/>
          </w:tcPr>
          <w:p w14:paraId="1BB9DDC6" w14:textId="77777777" w:rsidR="00D41F70" w:rsidRPr="00D41F70" w:rsidRDefault="00D41F70" w:rsidP="00D41F70">
            <w:pPr>
              <w:rPr>
                <w:b/>
                <w:bCs/>
              </w:rPr>
            </w:pPr>
            <w:r w:rsidRPr="00D41F70">
              <w:rPr>
                <w:b/>
                <w:bCs/>
              </w:rPr>
              <w:t>Stabilisierungsindex</w:t>
            </w:r>
          </w:p>
        </w:tc>
      </w:tr>
      <w:tr w:rsidR="00D41F70" w:rsidRPr="00D41F70" w14:paraId="075EDDEC" w14:textId="77777777" w:rsidTr="00D41F70">
        <w:trPr>
          <w:tblCellSpacing w:w="15" w:type="dxa"/>
        </w:trPr>
        <w:tc>
          <w:tcPr>
            <w:tcW w:w="0" w:type="auto"/>
            <w:vAlign w:val="center"/>
            <w:hideMark/>
          </w:tcPr>
          <w:p w14:paraId="27C8C061" w14:textId="77777777" w:rsidR="00D41F70" w:rsidRPr="00D41F70" w:rsidRDefault="00D41F70" w:rsidP="00D41F70">
            <w:r w:rsidRPr="00D41F70">
              <w:t>13</w:t>
            </w:r>
          </w:p>
        </w:tc>
        <w:tc>
          <w:tcPr>
            <w:tcW w:w="0" w:type="auto"/>
            <w:vAlign w:val="center"/>
            <w:hideMark/>
          </w:tcPr>
          <w:p w14:paraId="5B891EBB" w14:textId="77777777" w:rsidR="00D41F70" w:rsidRPr="00D41F70" w:rsidRDefault="00D41F70" w:rsidP="00D41F70">
            <w:r w:rsidRPr="00D41F70">
              <w:t>18</w:t>
            </w:r>
          </w:p>
        </w:tc>
        <w:tc>
          <w:tcPr>
            <w:tcW w:w="0" w:type="auto"/>
            <w:vAlign w:val="center"/>
            <w:hideMark/>
          </w:tcPr>
          <w:p w14:paraId="366CCF70" w14:textId="77777777" w:rsidR="00D41F70" w:rsidRPr="00D41F70" w:rsidRDefault="00D41F70" w:rsidP="00D41F70">
            <w:r w:rsidRPr="00D41F70">
              <w:t>0.3005</w:t>
            </w:r>
          </w:p>
        </w:tc>
      </w:tr>
      <w:tr w:rsidR="00D41F70" w:rsidRPr="00D41F70" w14:paraId="4F682C3D" w14:textId="77777777" w:rsidTr="00D41F70">
        <w:trPr>
          <w:tblCellSpacing w:w="15" w:type="dxa"/>
        </w:trPr>
        <w:tc>
          <w:tcPr>
            <w:tcW w:w="0" w:type="auto"/>
            <w:vAlign w:val="center"/>
            <w:hideMark/>
          </w:tcPr>
          <w:p w14:paraId="5D745F3B" w14:textId="77777777" w:rsidR="00D41F70" w:rsidRPr="00D41F70" w:rsidRDefault="00D41F70" w:rsidP="00D41F70">
            <w:r w:rsidRPr="00D41F70">
              <w:t>5</w:t>
            </w:r>
          </w:p>
        </w:tc>
        <w:tc>
          <w:tcPr>
            <w:tcW w:w="0" w:type="auto"/>
            <w:vAlign w:val="center"/>
            <w:hideMark/>
          </w:tcPr>
          <w:p w14:paraId="547632A0" w14:textId="77777777" w:rsidR="00D41F70" w:rsidRPr="00D41F70" w:rsidRDefault="00D41F70" w:rsidP="00D41F70">
            <w:r w:rsidRPr="00D41F70">
              <w:t>16</w:t>
            </w:r>
          </w:p>
        </w:tc>
        <w:tc>
          <w:tcPr>
            <w:tcW w:w="0" w:type="auto"/>
            <w:vAlign w:val="center"/>
            <w:hideMark/>
          </w:tcPr>
          <w:p w14:paraId="5580F5F2" w14:textId="77777777" w:rsidR="00D41F70" w:rsidRPr="00D41F70" w:rsidRDefault="00D41F70" w:rsidP="00D41F70">
            <w:r w:rsidRPr="00D41F70">
              <w:t>0.3020</w:t>
            </w:r>
          </w:p>
        </w:tc>
      </w:tr>
      <w:tr w:rsidR="00D41F70" w:rsidRPr="00D41F70" w14:paraId="526C7FAF" w14:textId="77777777" w:rsidTr="00D41F70">
        <w:trPr>
          <w:tblCellSpacing w:w="15" w:type="dxa"/>
        </w:trPr>
        <w:tc>
          <w:tcPr>
            <w:tcW w:w="0" w:type="auto"/>
            <w:vAlign w:val="center"/>
            <w:hideMark/>
          </w:tcPr>
          <w:p w14:paraId="6A760C81" w14:textId="77777777" w:rsidR="00D41F70" w:rsidRPr="00D41F70" w:rsidRDefault="00D41F70" w:rsidP="00D41F70">
            <w:r w:rsidRPr="00D41F70">
              <w:t>17</w:t>
            </w:r>
          </w:p>
        </w:tc>
        <w:tc>
          <w:tcPr>
            <w:tcW w:w="0" w:type="auto"/>
            <w:vAlign w:val="center"/>
            <w:hideMark/>
          </w:tcPr>
          <w:p w14:paraId="4DCAA3BA" w14:textId="77777777" w:rsidR="00D41F70" w:rsidRPr="00D41F70" w:rsidRDefault="00D41F70" w:rsidP="00D41F70">
            <w:r w:rsidRPr="00D41F70">
              <w:t>21</w:t>
            </w:r>
          </w:p>
        </w:tc>
        <w:tc>
          <w:tcPr>
            <w:tcW w:w="0" w:type="auto"/>
            <w:vAlign w:val="center"/>
            <w:hideMark/>
          </w:tcPr>
          <w:p w14:paraId="71F801DD" w14:textId="77777777" w:rsidR="00D41F70" w:rsidRPr="00D41F70" w:rsidRDefault="00D41F70" w:rsidP="00D41F70">
            <w:r w:rsidRPr="00D41F70">
              <w:t>0.3092</w:t>
            </w:r>
          </w:p>
        </w:tc>
      </w:tr>
      <w:tr w:rsidR="00D41F70" w:rsidRPr="00D41F70" w14:paraId="6D2FD79D" w14:textId="77777777" w:rsidTr="00D41F70">
        <w:trPr>
          <w:tblCellSpacing w:w="15" w:type="dxa"/>
        </w:trPr>
        <w:tc>
          <w:tcPr>
            <w:tcW w:w="0" w:type="auto"/>
            <w:vAlign w:val="center"/>
            <w:hideMark/>
          </w:tcPr>
          <w:p w14:paraId="276B34EB" w14:textId="77777777" w:rsidR="00D41F70" w:rsidRPr="00D41F70" w:rsidRDefault="00D41F70" w:rsidP="00D41F70">
            <w:r w:rsidRPr="00D41F70">
              <w:t>10</w:t>
            </w:r>
          </w:p>
        </w:tc>
        <w:tc>
          <w:tcPr>
            <w:tcW w:w="0" w:type="auto"/>
            <w:vAlign w:val="center"/>
            <w:hideMark/>
          </w:tcPr>
          <w:p w14:paraId="56D9D4C4" w14:textId="77777777" w:rsidR="00D41F70" w:rsidRPr="00D41F70" w:rsidRDefault="00D41F70" w:rsidP="00D41F70">
            <w:r w:rsidRPr="00D41F70">
              <w:t>20</w:t>
            </w:r>
          </w:p>
        </w:tc>
        <w:tc>
          <w:tcPr>
            <w:tcW w:w="0" w:type="auto"/>
            <w:vAlign w:val="center"/>
            <w:hideMark/>
          </w:tcPr>
          <w:p w14:paraId="7DC44249" w14:textId="77777777" w:rsidR="00D41F70" w:rsidRPr="00D41F70" w:rsidRDefault="00D41F70" w:rsidP="00D41F70">
            <w:r w:rsidRPr="00D41F70">
              <w:t>0.3124</w:t>
            </w:r>
          </w:p>
        </w:tc>
      </w:tr>
    </w:tbl>
    <w:p w14:paraId="5F6F8DDB" w14:textId="77777777" w:rsidR="00D41F70" w:rsidRPr="00D41F70" w:rsidRDefault="00000000" w:rsidP="00D41F70">
      <w:r>
        <w:pict w14:anchorId="2E368A19">
          <v:rect id="_x0000_i1030" style="width:0;height:1.5pt" o:hralign="center" o:hrstd="t" o:hr="t" fillcolor="#a0a0a0" stroked="f"/>
        </w:pict>
      </w:r>
    </w:p>
    <w:p w14:paraId="55A1F315" w14:textId="77777777" w:rsidR="00D41F70" w:rsidRPr="00D41F70" w:rsidRDefault="00D41F70" w:rsidP="00D41F70">
      <w:r w:rsidRPr="00D41F70">
        <w:t>Diese Instabilität ist jedoch nicht zwingend negativ zu interpretieren. Im Nachhilfekontext können erhöhte Driftwerte auch Ausdruck intensiver Reorganisationsprozesse sein, etwa:</w:t>
      </w:r>
    </w:p>
    <w:p w14:paraId="40F75561" w14:textId="77777777" w:rsidR="00D41F70" w:rsidRPr="00D41F70" w:rsidRDefault="00D41F70" w:rsidP="00D41F70">
      <w:pPr>
        <w:numPr>
          <w:ilvl w:val="0"/>
          <w:numId w:val="8"/>
        </w:numPr>
      </w:pPr>
      <w:r w:rsidRPr="00D41F70">
        <w:t xml:space="preserve">motivationaler Umbrüche, </w:t>
      </w:r>
    </w:p>
    <w:p w14:paraId="6B934187" w14:textId="77777777" w:rsidR="00D41F70" w:rsidRPr="00D41F70" w:rsidRDefault="00D41F70" w:rsidP="00D41F70">
      <w:pPr>
        <w:numPr>
          <w:ilvl w:val="0"/>
          <w:numId w:val="8"/>
        </w:numPr>
      </w:pPr>
      <w:r w:rsidRPr="00D41F70">
        <w:t xml:space="preserve">regulatorischer Rekonstruktionen, </w:t>
      </w:r>
    </w:p>
    <w:p w14:paraId="0B45C957" w14:textId="77777777" w:rsidR="00D41F70" w:rsidRPr="00D41F70" w:rsidRDefault="00D41F70" w:rsidP="00D41F70">
      <w:pPr>
        <w:numPr>
          <w:ilvl w:val="0"/>
          <w:numId w:val="8"/>
        </w:numPr>
      </w:pPr>
      <w:r w:rsidRPr="00D41F70">
        <w:t xml:space="preserve">Übergänge zwischen Kompetenzräumen, </w:t>
      </w:r>
    </w:p>
    <w:p w14:paraId="0F49B44C" w14:textId="77777777" w:rsidR="00D41F70" w:rsidRPr="00D41F70" w:rsidRDefault="00D41F70" w:rsidP="00D41F70">
      <w:pPr>
        <w:numPr>
          <w:ilvl w:val="0"/>
          <w:numId w:val="8"/>
        </w:numPr>
      </w:pPr>
      <w:r w:rsidRPr="00D41F70">
        <w:t xml:space="preserve">emotionaler Krisenphasen, </w:t>
      </w:r>
    </w:p>
    <w:p w14:paraId="19968919" w14:textId="77777777" w:rsidR="00D41F70" w:rsidRPr="00D41F70" w:rsidRDefault="00D41F70" w:rsidP="00D41F70">
      <w:pPr>
        <w:numPr>
          <w:ilvl w:val="0"/>
          <w:numId w:val="8"/>
        </w:numPr>
      </w:pPr>
      <w:r w:rsidRPr="00D41F70">
        <w:t xml:space="preserve">semantischer Neuorganisation. </w:t>
      </w:r>
    </w:p>
    <w:p w14:paraId="3F16547B" w14:textId="77777777" w:rsidR="00D41F70" w:rsidRPr="00D41F70" w:rsidRDefault="00D41F70" w:rsidP="00D41F70">
      <w:r w:rsidRPr="00D41F70">
        <w:t>Damit entsteht ein nichtlineares Stabilitätsmodell. Weder maximale Stabilität noch maximale Drift erscheinen optimal. Vielmehr deutet die Datenlage darauf hin, dass erfolgreiche Nachhilfe innerhalb eines Bereichs kontrollierter semantischer Bewegung operiert. Stabilisierung bedeutet hier nicht statische Wiederholung, sondern die Fähigkeit des Systems, trotz hoher lokaler Variabilität globale Kohärenz aufrechtzuerhalten.</w:t>
      </w:r>
    </w:p>
    <w:p w14:paraId="56B3C8B3" w14:textId="77777777" w:rsidR="00D41F70" w:rsidRPr="00D41F70" w:rsidRDefault="00000000" w:rsidP="00D41F70">
      <w:r>
        <w:lastRenderedPageBreak/>
        <w:pict w14:anchorId="7D5CBFF0">
          <v:rect id="_x0000_i1031" style="width:0;height:1.5pt" o:hralign="center" o:hrstd="t" o:hr="t" fillcolor="#a0a0a0" stroked="f"/>
        </w:pict>
      </w:r>
    </w:p>
    <w:p w14:paraId="769CEF39" w14:textId="77777777" w:rsidR="0079546B" w:rsidRPr="0079546B" w:rsidRDefault="0079546B" w:rsidP="0079546B">
      <w:pPr>
        <w:pStyle w:val="berschrift3"/>
      </w:pPr>
      <w:r w:rsidRPr="0079546B">
        <w:t>6.x.x Abbildungen und grafische Interpretation der Stabilisierungsvorhersage</w:t>
      </w:r>
    </w:p>
    <w:p w14:paraId="7D925969"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grafischen Auswertungen der semantischen Zustandsräume zeigen erstmals die geometrische Struktur der im FRZK postulierten Stabilisierungsvorgänge innerhalb der Nachhilfe. Während die numerischen Kennwerte bereits auf Zusammenhänge zwischen semantischer Breite, Vektordrift und Stabilisierung hingewiesen haben, machen die Visualisierungen sichtbar, dass sich die Zustandsräume nicht zufällig verteilen, sondern geordnete Drift- und Kohärenzstrukturen ausbilden.</w:t>
      </w:r>
    </w:p>
    <w:p w14:paraId="727D0D26"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Dabei treten insbesondere drei zentrale Muster hervor:</w:t>
      </w:r>
    </w:p>
    <w:p w14:paraId="426E5C52" w14:textId="77777777" w:rsidR="0079546B" w:rsidRPr="0079546B" w:rsidRDefault="0079546B" w:rsidP="0079546B">
      <w:pPr>
        <w:numPr>
          <w:ilvl w:val="0"/>
          <w:numId w:val="11"/>
        </w:numPr>
        <w:spacing w:before="100" w:beforeAutospacing="1" w:after="100" w:afterAutospacing="1"/>
        <w:rPr>
          <w:rFonts w:ascii="Times New Roman" w:hAnsi="Times New Roman"/>
        </w:rPr>
      </w:pPr>
      <w:r w:rsidRPr="0079546B">
        <w:rPr>
          <w:rFonts w:ascii="Times New Roman" w:hAnsi="Times New Roman"/>
        </w:rPr>
        <w:t xml:space="preserve">negative Kopplung zwischen Stabilisierung und semantischer Breite, </w:t>
      </w:r>
    </w:p>
    <w:p w14:paraId="1ED896D3" w14:textId="77777777" w:rsidR="0079546B" w:rsidRPr="0079546B" w:rsidRDefault="0079546B" w:rsidP="0079546B">
      <w:pPr>
        <w:numPr>
          <w:ilvl w:val="0"/>
          <w:numId w:val="11"/>
        </w:numPr>
        <w:spacing w:before="100" w:beforeAutospacing="1" w:after="100" w:afterAutospacing="1"/>
        <w:rPr>
          <w:rFonts w:ascii="Times New Roman" w:hAnsi="Times New Roman"/>
        </w:rPr>
      </w:pPr>
      <w:r w:rsidRPr="0079546B">
        <w:rPr>
          <w:rFonts w:ascii="Times New Roman" w:hAnsi="Times New Roman"/>
        </w:rPr>
        <w:t xml:space="preserve">deutlich stärkere negative Kopplung zwischen Stabilisierung und Vektordrift, </w:t>
      </w:r>
    </w:p>
    <w:p w14:paraId="761ED8BE" w14:textId="77777777" w:rsidR="0079546B" w:rsidRPr="0079546B" w:rsidRDefault="0079546B" w:rsidP="0079546B">
      <w:pPr>
        <w:numPr>
          <w:ilvl w:val="0"/>
          <w:numId w:val="11"/>
        </w:numPr>
        <w:spacing w:before="100" w:beforeAutospacing="1" w:after="100" w:afterAutospacing="1"/>
        <w:rPr>
          <w:rFonts w:ascii="Times New Roman" w:hAnsi="Times New Roman"/>
        </w:rPr>
      </w:pPr>
      <w:r w:rsidRPr="0079546B">
        <w:rPr>
          <w:rFonts w:ascii="Times New Roman" w:hAnsi="Times New Roman"/>
        </w:rPr>
        <w:t xml:space="preserve">erhöhte strukturelle Kohärenz der Zustandsräume bei Lehrkraft 1. </w:t>
      </w:r>
    </w:p>
    <w:p w14:paraId="186DE4CA"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grafischen Darstellungen erlauben damit eine direkte geometrische Operationalisierung der FRZK-Vorhersage, wonach stabile Nachhilfesysteme keine statischen Wissensräume darstellen, sondern kohärente Driftfelder mit kontrollierter semantischer Bewegung.</w:t>
      </w:r>
    </w:p>
    <w:p w14:paraId="4AEEE549" w14:textId="77777777" w:rsidR="0079546B" w:rsidRPr="0079546B" w:rsidRDefault="00000000" w:rsidP="0079546B">
      <w:pPr>
        <w:spacing w:after="0"/>
        <w:rPr>
          <w:rFonts w:ascii="Times New Roman" w:hAnsi="Times New Roman"/>
        </w:rPr>
      </w:pPr>
      <w:r>
        <w:rPr>
          <w:rFonts w:ascii="Times New Roman" w:hAnsi="Times New Roman"/>
        </w:rPr>
        <w:pict w14:anchorId="2738EDBC">
          <v:rect id="_x0000_i1032" style="width:0;height:1.5pt" o:hralign="center" o:hrstd="t" o:hr="t" fillcolor="#a0a0a0" stroked="f"/>
        </w:pict>
      </w:r>
    </w:p>
    <w:p w14:paraId="49DEFB6F" w14:textId="77777777" w:rsidR="0079546B" w:rsidRPr="0079546B" w:rsidRDefault="0079546B" w:rsidP="0079546B">
      <w:pPr>
        <w:pStyle w:val="berschrift4"/>
      </w:pPr>
      <w:r w:rsidRPr="0079546B">
        <w:t>Abbildung 6.x.1: Mittlere Vektordrift pro Teilnehmer – Gesamtdatensatz aller Lehrkräfte</w:t>
      </w:r>
    </w:p>
    <w:p w14:paraId="0A60A9F8"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alle_lehrkraefte_delta_vektor.png</w:t>
      </w:r>
    </w:p>
    <w:p w14:paraId="39653E0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Balkengrafik zeigt die mittlere semantische Vektordrift aller Teilnehmer über sämtliche Lehrkräfte hinweg. Dargestellt wird die durchschnittliche Distanz zwischen aufeinanderfolgenden semantischen Zuständen eines Teilnehmers.</w:t>
      </w:r>
    </w:p>
    <w:p w14:paraId="7C085499"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Grafik zeigt eine relativ kontinuierliche Driftverteilung ohne chaotische Extremstreuungen. Die meisten Teilnehmer bewegen sich innerhalb eines Driftbereichs von etwa 0.18 bis 0.30. Nur wenige Teilnehmer überschreiten diesen Bereich deutlich.</w:t>
      </w:r>
    </w:p>
    <w:p w14:paraId="66A2602D"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 xml:space="preserve">Besonders auffällig ist Teilnehmer 24 mit einer mittleren Drift oberhalb von 0.33. Dies deutet auf starke semantische Reorganisationsprozesse hin. Im FRZK entspricht dies einem Zustand erhöhter </w:t>
      </w:r>
      <w:proofErr w:type="spellStart"/>
      <w:r w:rsidRPr="0079546B">
        <w:rPr>
          <w:rFonts w:ascii="Times New Roman" w:hAnsi="Times New Roman"/>
        </w:rPr>
        <w:t>operatorieller</w:t>
      </w:r>
      <w:proofErr w:type="spellEnd"/>
      <w:r w:rsidRPr="0079546B">
        <w:rPr>
          <w:rFonts w:ascii="Times New Roman" w:hAnsi="Times New Roman"/>
        </w:rPr>
        <w:t xml:space="preserve"> Bewegung. Der Teilnehmer wechselt offenbar häufiger zwischen unterschiedlichen semantischen Konfigurationen.</w:t>
      </w:r>
    </w:p>
    <w:p w14:paraId="7E507C14"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Demgegenüber zeigen Teilnehmer wie 43 oder 7 deutlich geringere Driftwerte. Diese Teilnehmer verbleiben semantisch innerhalb engerer Kohärenzräume. Die Nachhilfe erzeugt hier offenbar stabilere Übergangsstrukturen.</w:t>
      </w:r>
    </w:p>
    <w:p w14:paraId="70B51462"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kontinuierliche Abstufung der Driftwerte spricht gegen eine zufällige Verteilung der Unterrichtsinteraktionen. Stattdessen entsteht der Eindruck eines geordneten Driftfeldes, in dem Teilnehmer unterschiedlich stark, aber dennoch strukturiert durch den semantischen Raum bewegt werden.</w:t>
      </w:r>
    </w:p>
    <w:p w14:paraId="6DDBDD06" w14:textId="77777777" w:rsidR="0079546B" w:rsidRPr="0079546B" w:rsidRDefault="00000000" w:rsidP="0079546B">
      <w:pPr>
        <w:spacing w:after="0"/>
        <w:rPr>
          <w:rFonts w:ascii="Times New Roman" w:hAnsi="Times New Roman"/>
        </w:rPr>
      </w:pPr>
      <w:r>
        <w:rPr>
          <w:rFonts w:ascii="Times New Roman" w:hAnsi="Times New Roman"/>
        </w:rPr>
        <w:pict w14:anchorId="4E04FBD6">
          <v:rect id="_x0000_i1033" style="width:0;height:1.5pt" o:hralign="center" o:hrstd="t" o:hr="t" fillcolor="#a0a0a0" stroked="f"/>
        </w:pict>
      </w:r>
    </w:p>
    <w:p w14:paraId="26BB1EE6" w14:textId="77777777" w:rsidR="0079546B" w:rsidRPr="0079546B" w:rsidRDefault="0079546B" w:rsidP="0079546B">
      <w:pPr>
        <w:pStyle w:val="berschrift4"/>
      </w:pPr>
      <w:r w:rsidRPr="0079546B">
        <w:lastRenderedPageBreak/>
        <w:t>Abbildung 6.x.2: Stabilisierung vs. semantische Breite – Gesamtdatensatz aller Lehrkräfte</w:t>
      </w:r>
    </w:p>
    <w:p w14:paraId="739D30CC"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alle_lehrkraefte_scatter_breite_stabilisierung.png</w:t>
      </w:r>
    </w:p>
    <w:p w14:paraId="7065FABE"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Der Scatterplot zeigt die Beziehung zwischen mittlerer semantischer Breite und Stabilisierungsindex aller Teilnehmer über sämtliche Lehrkräfte hinweg.</w:t>
      </w:r>
    </w:p>
    <w:p w14:paraId="135135F3"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semantische Breite beschreibt die interne Ausdehnung eines semantischen Zustandsraums, während der Stabilisierungsindex die globale Kohärenz über die Zeit abbildet.</w:t>
      </w:r>
    </w:p>
    <w:p w14:paraId="2D8F668C"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Punktwolke zeigt eine klar erkennbare negative Struktur. Mit zunehmender semantischer Breite sinkt der Stabilisierungsindex nahezu kontinuierlich.</w:t>
      </w:r>
    </w:p>
    <w:p w14:paraId="715DD655"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Teilnehmer mit geringer semantischer Breite erreichen die höchsten Stabilisierungswerte. Dies deutet darauf hin, dass kompaktere semantische Räume leichter kohärent gehalten werden können. Gleichzeitig entsteht jedoch keine vollständige lineare Determination. Einige Teilnehmer weisen trotz mittlerer Breite relativ hohe Stabilisierung auf.</w:t>
      </w:r>
    </w:p>
    <w:p w14:paraId="37F4740A"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Dies ist innerhalb des FRZK besonders bedeutsam, da hier sichtbar wird, dass Stabilisierung nicht allein durch geringe Breite entsteht. Entscheidend scheint vielmehr die Organisation der Übergänge innerhalb des Zustandsraums zu sein.</w:t>
      </w:r>
    </w:p>
    <w:p w14:paraId="38147288"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 xml:space="preserve">Die Nachhilfe wirkt damit nicht als Reduktionsmechanismus semantischer Vielfalt, sondern als regulatorische Strukturierungsinstanz. Semantische Vielfalt bleibt erhalten, wird jedoch in kohärente </w:t>
      </w:r>
      <w:proofErr w:type="spellStart"/>
      <w:r w:rsidRPr="0079546B">
        <w:rPr>
          <w:rFonts w:ascii="Times New Roman" w:hAnsi="Times New Roman"/>
        </w:rPr>
        <w:t>Attraktorräume</w:t>
      </w:r>
      <w:proofErr w:type="spellEnd"/>
      <w:r w:rsidRPr="0079546B">
        <w:rPr>
          <w:rFonts w:ascii="Times New Roman" w:hAnsi="Times New Roman"/>
        </w:rPr>
        <w:t xml:space="preserve"> eingebettet.</w:t>
      </w:r>
    </w:p>
    <w:p w14:paraId="037AAF84" w14:textId="77777777" w:rsidR="0079546B" w:rsidRPr="0079546B" w:rsidRDefault="00000000" w:rsidP="0079546B">
      <w:pPr>
        <w:spacing w:after="0"/>
        <w:rPr>
          <w:rFonts w:ascii="Times New Roman" w:hAnsi="Times New Roman"/>
        </w:rPr>
      </w:pPr>
      <w:r>
        <w:rPr>
          <w:rFonts w:ascii="Times New Roman" w:hAnsi="Times New Roman"/>
        </w:rPr>
        <w:pict w14:anchorId="303E1453">
          <v:rect id="_x0000_i1034" style="width:0;height:1.5pt" o:hralign="center" o:hrstd="t" o:hr="t" fillcolor="#a0a0a0" stroked="f"/>
        </w:pict>
      </w:r>
    </w:p>
    <w:p w14:paraId="14AC01D8" w14:textId="77777777" w:rsidR="0079546B" w:rsidRPr="0079546B" w:rsidRDefault="0079546B" w:rsidP="0079546B">
      <w:pPr>
        <w:pStyle w:val="berschrift4"/>
      </w:pPr>
      <w:r w:rsidRPr="0079546B">
        <w:t>Abbildung 6.x.3: Stabilisierung vs. Vektordrift – Gesamtdatensatz aller Lehrkräfte</w:t>
      </w:r>
    </w:p>
    <w:p w14:paraId="25CF795D"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alle_lehrkraefte_scatter_delta_stabilisierung.png</w:t>
      </w:r>
    </w:p>
    <w:p w14:paraId="236F999D"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Abbildung zeigt den Zusammenhang zwischen mittlerer semantischer Vektordrift und Stabilisierungsindex.</w:t>
      </w:r>
    </w:p>
    <w:p w14:paraId="0B64D1B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Grafik zeigt die stärkste negative Struktur aller Visualisierungen. Mit zunehmender Drift sinkt der Stabilisierungsindex deutlich und nahezu monoton.</w:t>
      </w:r>
    </w:p>
    <w:p w14:paraId="35CD0283"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Während die semantische Breite lediglich die interne Größe eines Zustandsraums beschreibt, repräsentiert die Vektordrift die tatsächliche Übergangsbewegung zwischen Zuständen. Die Daten legen nahe, dass nicht primär semantische Vielfalt destabilisiert, sondern unkontrollierte Übergangsbewegung.</w:t>
      </w:r>
    </w:p>
    <w:p w14:paraId="14E6309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Damit bestätigt die Grafik eine zentrale FRZK-Vorhersage:</w:t>
      </w:r>
    </w:p>
    <w:p w14:paraId="5DE1B70A"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Stabilität entsteht nicht durch statische Zustände, sondern durch kontrollierte semantische Transitionen.</w:t>
      </w:r>
    </w:p>
    <w:p w14:paraId="3737D359"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lastRenderedPageBreak/>
        <w:t>Besonders auffällig ist die Verdichtung stabiler Teilnehmer im Bereich niedriger Driftwerte zwischen 0.14 und 0.21. Oberhalb von etwa 0.28 beginnt der Zustandsraum deutlich instabiler zu werden.</w:t>
      </w:r>
    </w:p>
    <w:p w14:paraId="73B3D991"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Grafik liefert damit erstmals einen empirisch sichtbaren Hinweis auf kritische Driftbereiche innerhalb semantischer Lernräume.</w:t>
      </w:r>
    </w:p>
    <w:p w14:paraId="55AE8084" w14:textId="77777777" w:rsidR="0079546B" w:rsidRPr="0079546B" w:rsidRDefault="00000000" w:rsidP="0079546B">
      <w:pPr>
        <w:spacing w:after="0"/>
        <w:rPr>
          <w:rFonts w:ascii="Times New Roman" w:hAnsi="Times New Roman"/>
        </w:rPr>
      </w:pPr>
      <w:r>
        <w:rPr>
          <w:rFonts w:ascii="Times New Roman" w:hAnsi="Times New Roman"/>
        </w:rPr>
        <w:pict w14:anchorId="589E9290">
          <v:rect id="_x0000_i1035" style="width:0;height:1.5pt" o:hralign="center" o:hrstd="t" o:hr="t" fillcolor="#a0a0a0" stroked="f"/>
        </w:pict>
      </w:r>
    </w:p>
    <w:p w14:paraId="22853713" w14:textId="77777777" w:rsidR="0079546B" w:rsidRPr="0079546B" w:rsidRDefault="0079546B" w:rsidP="0079546B">
      <w:pPr>
        <w:pStyle w:val="berschrift4"/>
      </w:pPr>
      <w:r w:rsidRPr="0079546B">
        <w:t>Abbildung 6.x.4: Semantische Breite pro Teilnehmer – Gesamtdatensatz aller Lehrkräfte</w:t>
      </w:r>
    </w:p>
    <w:p w14:paraId="6B9E95B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alle_lehrkraefte_semantische_breite.png</w:t>
      </w:r>
    </w:p>
    <w:p w14:paraId="3DE16D36"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Balkengrafik zeigt die mittlere semantische Breite aller Teilnehmer.</w:t>
      </w:r>
    </w:p>
    <w:p w14:paraId="0C27763B"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semantische Breite verteilt sich vergleichsweise homogen zwischen etwa 0.21 und 0.36. Dies deutet darauf hin, dass die Nachhilfe keine extrem divergierenden semantischen Räume erzeugt.</w:t>
      </w:r>
    </w:p>
    <w:p w14:paraId="60EF5F18"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Teilnehmer 5 weist die höchste semantische Breite auf. Dies kann auf hohe thematische Varianz, emotionale Schwankungen oder komplexe regulatorische Prozesse hinweisen. Teilnehmer 43 hingegen zeigt einen sehr kompakten semantischen Raum.</w:t>
      </w:r>
    </w:p>
    <w:p w14:paraId="5A1FF542"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Entscheidend ist jedoch, dass hohe Breite nicht automatisch Instabilität bedeutet. Erst in Kombination mit hoher Drift entstehen instabile Zustandsräume. Genau diese Differenzierung ist für das FRZK zentral, da dadurch zwischen „produktiver Vielfalt“ und „chaotischer Bewegung“ unterschieden werden kann.</w:t>
      </w:r>
    </w:p>
    <w:p w14:paraId="1710C124" w14:textId="77777777" w:rsidR="0079546B" w:rsidRPr="0079546B" w:rsidRDefault="00000000" w:rsidP="0079546B">
      <w:pPr>
        <w:spacing w:after="0"/>
        <w:rPr>
          <w:rFonts w:ascii="Times New Roman" w:hAnsi="Times New Roman"/>
        </w:rPr>
      </w:pPr>
      <w:r>
        <w:rPr>
          <w:rFonts w:ascii="Times New Roman" w:hAnsi="Times New Roman"/>
        </w:rPr>
        <w:pict w14:anchorId="5669730E">
          <v:rect id="_x0000_i1036" style="width:0;height:1.5pt" o:hralign="center" o:hrstd="t" o:hr="t" fillcolor="#a0a0a0" stroked="f"/>
        </w:pict>
      </w:r>
    </w:p>
    <w:p w14:paraId="78CE4596" w14:textId="77777777" w:rsidR="0079546B" w:rsidRPr="0079546B" w:rsidRDefault="0079546B" w:rsidP="0079546B">
      <w:pPr>
        <w:pStyle w:val="berschrift4"/>
      </w:pPr>
      <w:r w:rsidRPr="0079546B">
        <w:t>Abbildung 6.x.5: Stabilisierungsindex pro Teilnehmer – Gesamtdatensatz aller Lehrkräfte</w:t>
      </w:r>
    </w:p>
    <w:p w14:paraId="1C507E96"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alle_lehrkraefte_stabilisierungsindex.png</w:t>
      </w:r>
    </w:p>
    <w:p w14:paraId="5714F3F8"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Grafik zeigt den berechneten Stabilisierungsindex aller Teilnehmer.</w:t>
      </w:r>
    </w:p>
    <w:p w14:paraId="59E042C4"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Verteilung der Stabilisierung ist vergleichsweise kompakt. Die meisten Teilnehmer bewegen sich zwischen 0.30 und 0.39. Extreme Instabilität tritt kaum auf.</w:t>
      </w:r>
    </w:p>
    <w:p w14:paraId="0B6E3299"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 xml:space="preserve">Teilnehmer 43 zeigt den höchsten Stabilisierungswert. Besonders bemerkenswert ist dabei die Kombination aus geringer Drift und geringer semantischer Breite. Der Teilnehmer bewegt sich offenbar innerhalb eines stark kohärenten semantischen </w:t>
      </w:r>
      <w:proofErr w:type="spellStart"/>
      <w:r w:rsidRPr="0079546B">
        <w:rPr>
          <w:rFonts w:ascii="Times New Roman" w:hAnsi="Times New Roman"/>
        </w:rPr>
        <w:t>Attraktorraums</w:t>
      </w:r>
      <w:proofErr w:type="spellEnd"/>
      <w:r w:rsidRPr="0079546B">
        <w:rPr>
          <w:rFonts w:ascii="Times New Roman" w:hAnsi="Times New Roman"/>
        </w:rPr>
        <w:t>.</w:t>
      </w:r>
    </w:p>
    <w:p w14:paraId="1D97BF72"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relativ kompakte Gesamtverteilung deutet darauf hin, dass die Nachhilfe insgesamt stabile regulatorische Rahmenbedingungen erzeugt. Trotz individueller Unterschiede zerfällt der semantische Raum nicht in chaotische Teilräume.</w:t>
      </w:r>
    </w:p>
    <w:p w14:paraId="6198442A" w14:textId="77777777" w:rsidR="0079546B" w:rsidRPr="0079546B" w:rsidRDefault="00000000" w:rsidP="0079546B">
      <w:pPr>
        <w:spacing w:after="0"/>
        <w:rPr>
          <w:rFonts w:ascii="Times New Roman" w:hAnsi="Times New Roman"/>
        </w:rPr>
      </w:pPr>
      <w:r>
        <w:rPr>
          <w:rFonts w:ascii="Times New Roman" w:hAnsi="Times New Roman"/>
        </w:rPr>
        <w:pict w14:anchorId="266FCAA3">
          <v:rect id="_x0000_i1037" style="width:0;height:1.5pt" o:hralign="center" o:hrstd="t" o:hr="t" fillcolor="#a0a0a0" stroked="f"/>
        </w:pict>
      </w:r>
    </w:p>
    <w:p w14:paraId="297BF19A" w14:textId="77777777" w:rsidR="0079546B" w:rsidRPr="0079546B" w:rsidRDefault="0079546B" w:rsidP="0079546B">
      <w:pPr>
        <w:pStyle w:val="berschrift4"/>
      </w:pPr>
      <w:r w:rsidRPr="0079546B">
        <w:lastRenderedPageBreak/>
        <w:t>Abbildung 6.x.6: Mittlere Vektordrift pro Teilnehmer – Lehrkraft 1</w:t>
      </w:r>
    </w:p>
    <w:p w14:paraId="12F05B78"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lehrkraft_1_delta_vektor.png</w:t>
      </w:r>
    </w:p>
    <w:p w14:paraId="29F1B8C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Grafik zeigt die mittlere semantische Drift ausschließlich für Teilnehmer von Lehrkraft 1.</w:t>
      </w:r>
    </w:p>
    <w:p w14:paraId="39497365"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Driftwerte wirken insgesamt strukturierter und homogener als im Gesamtdatensatz. Besonders auffällig ist die starke Verdichtung im mittleren Bereich zwischen 0.18 und 0.25.</w:t>
      </w:r>
    </w:p>
    <w:p w14:paraId="51DCB4C5"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Extreme Driftwerte treten seltener auf. Dies deutet darauf hin, dass Lehrkraft 1 Übergänge zwischen semantischen Zuständen systematischer reguliert.</w:t>
      </w:r>
    </w:p>
    <w:p w14:paraId="1B0FC38F"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Nachhilfe erscheint hier weniger als spontane Reaktion auf situative Probleme, sondern eher als kontrollierter semantischer Führungsprozess.</w:t>
      </w:r>
    </w:p>
    <w:p w14:paraId="46CDFE32" w14:textId="77777777" w:rsidR="0079546B" w:rsidRPr="0079546B" w:rsidRDefault="00000000" w:rsidP="0079546B">
      <w:pPr>
        <w:spacing w:after="0"/>
        <w:rPr>
          <w:rFonts w:ascii="Times New Roman" w:hAnsi="Times New Roman"/>
        </w:rPr>
      </w:pPr>
      <w:r>
        <w:rPr>
          <w:rFonts w:ascii="Times New Roman" w:hAnsi="Times New Roman"/>
        </w:rPr>
        <w:pict w14:anchorId="29BD8DEE">
          <v:rect id="_x0000_i1038" style="width:0;height:1.5pt" o:hralign="center" o:hrstd="t" o:hr="t" fillcolor="#a0a0a0" stroked="f"/>
        </w:pict>
      </w:r>
    </w:p>
    <w:p w14:paraId="679D954F" w14:textId="77777777" w:rsidR="0079546B" w:rsidRPr="0079546B" w:rsidRDefault="0079546B" w:rsidP="0079546B">
      <w:pPr>
        <w:pStyle w:val="berschrift4"/>
      </w:pPr>
      <w:r w:rsidRPr="0079546B">
        <w:t>Abbildung 6.x.7: Stabilisierung vs. semantische Breite – Lehrkraft 1</w:t>
      </w:r>
    </w:p>
    <w:p w14:paraId="2375ED0A"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lehrkraft_1_scatter_breite_stabilisierung.png</w:t>
      </w:r>
    </w:p>
    <w:p w14:paraId="7E135D57"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Abbildung zeigt die Beziehung zwischen semantischer Breite und Stabilisierung ausschließlich für Lehrkraft 1.</w:t>
      </w:r>
    </w:p>
    <w:p w14:paraId="47F0C219"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Punktwolke wirkt deutlich kompakter als im Gesamtdatensatz. Die Teilnehmer gruppieren sich entlang einer relativ klaren negativen Struktur.</w:t>
      </w:r>
    </w:p>
    <w:p w14:paraId="7A531DB5"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Besonders auffällig ist die höhere Gesamtdichte stabiler Zustände. Mehrere Teilnehmer erreichen Stabilisierungswerte oberhalb von 0.45.</w:t>
      </w:r>
    </w:p>
    <w:p w14:paraId="61A7A6C8"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 xml:space="preserve">Dies deutet auf die Ausbildung eines stark kohärenten semantischen </w:t>
      </w:r>
      <w:proofErr w:type="spellStart"/>
      <w:r w:rsidRPr="0079546B">
        <w:rPr>
          <w:rFonts w:ascii="Times New Roman" w:hAnsi="Times New Roman"/>
        </w:rPr>
        <w:t>Attraktorraums</w:t>
      </w:r>
      <w:proofErr w:type="spellEnd"/>
      <w:r w:rsidRPr="0079546B">
        <w:rPr>
          <w:rFonts w:ascii="Times New Roman" w:hAnsi="Times New Roman"/>
        </w:rPr>
        <w:t xml:space="preserve"> hin. Die semantischen Zustände bleiben variabel, bewegen sich jedoch innerhalb klar begrenzter Driftfelder.</w:t>
      </w:r>
    </w:p>
    <w:p w14:paraId="77B63493"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 xml:space="preserve">Die Daten sprechen damit für eine erhöhte </w:t>
      </w:r>
      <w:proofErr w:type="spellStart"/>
      <w:r w:rsidRPr="0079546B">
        <w:rPr>
          <w:rFonts w:ascii="Times New Roman" w:hAnsi="Times New Roman"/>
        </w:rPr>
        <w:t>operatorielle</w:t>
      </w:r>
      <w:proofErr w:type="spellEnd"/>
      <w:r w:rsidRPr="0079546B">
        <w:rPr>
          <w:rFonts w:ascii="Times New Roman" w:hAnsi="Times New Roman"/>
        </w:rPr>
        <w:t xml:space="preserve"> Kohärenzorganisation bei Lehrkraft 1.</w:t>
      </w:r>
    </w:p>
    <w:p w14:paraId="240BD727" w14:textId="77777777" w:rsidR="0079546B" w:rsidRPr="0079546B" w:rsidRDefault="00000000" w:rsidP="0079546B">
      <w:pPr>
        <w:spacing w:after="0"/>
        <w:rPr>
          <w:rFonts w:ascii="Times New Roman" w:hAnsi="Times New Roman"/>
        </w:rPr>
      </w:pPr>
      <w:r>
        <w:rPr>
          <w:rFonts w:ascii="Times New Roman" w:hAnsi="Times New Roman"/>
        </w:rPr>
        <w:pict w14:anchorId="67FABE92">
          <v:rect id="_x0000_i1039" style="width:0;height:1.5pt" o:hralign="center" o:hrstd="t" o:hr="t" fillcolor="#a0a0a0" stroked="f"/>
        </w:pict>
      </w:r>
    </w:p>
    <w:p w14:paraId="7549AE6F" w14:textId="77777777" w:rsidR="0079546B" w:rsidRPr="0079546B" w:rsidRDefault="0079546B" w:rsidP="0079546B">
      <w:pPr>
        <w:pStyle w:val="berschrift4"/>
      </w:pPr>
      <w:r w:rsidRPr="0079546B">
        <w:t>Abbildung 6.x.8: Stabilisierung vs. Vektordrift – Lehrkraft 1</w:t>
      </w:r>
    </w:p>
    <w:p w14:paraId="26B5CC2A"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lehrkraft_1_scatter_delta_stabilisierung.png</w:t>
      </w:r>
    </w:p>
    <w:p w14:paraId="27663A35"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Grafik zeigt die Beziehung zwischen Vektordrift und Stabilisierung für Lehrkraft 1.</w:t>
      </w:r>
    </w:p>
    <w:p w14:paraId="17D3B9A8"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lastRenderedPageBreak/>
        <w:t>Interpretation:</w:t>
      </w:r>
      <w:r w:rsidRPr="0079546B">
        <w:rPr>
          <w:rFonts w:ascii="Times New Roman" w:hAnsi="Times New Roman"/>
        </w:rPr>
        <w:br/>
        <w:t>Hier wird die FRZK-Struktur besonders deutlich sichtbar. Die Punktwolke bildet nahezu eine diagonale Driftachse.</w:t>
      </w:r>
    </w:p>
    <w:p w14:paraId="3086109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Mit zunehmender Drift sinkt die Stabilisierung fast kontinuierlich. Die Übergänge erscheinen hochgradig organisiert.</w:t>
      </w:r>
    </w:p>
    <w:p w14:paraId="2236367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Besonders bedeutsam ist, dass trotz relativ hoher Driftwerte weiterhin mittlere Stabilisierung erhalten bleibt. Dies deutet darauf hin, dass Lehrkraft 1 semantische Bewegung nicht verhindert, sondern regulatorisch kontrolliert.</w:t>
      </w:r>
    </w:p>
    <w:p w14:paraId="14D31D2A"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Nachhilfe wirkt hier offenbar als dynamischer Kohärenzoperator.</w:t>
      </w:r>
    </w:p>
    <w:p w14:paraId="021289C3" w14:textId="77777777" w:rsidR="0079546B" w:rsidRPr="0079546B" w:rsidRDefault="00000000" w:rsidP="0079546B">
      <w:pPr>
        <w:spacing w:after="0"/>
        <w:rPr>
          <w:rFonts w:ascii="Times New Roman" w:hAnsi="Times New Roman"/>
        </w:rPr>
      </w:pPr>
      <w:r>
        <w:rPr>
          <w:rFonts w:ascii="Times New Roman" w:hAnsi="Times New Roman"/>
        </w:rPr>
        <w:pict w14:anchorId="196DE273">
          <v:rect id="_x0000_i1040" style="width:0;height:1.5pt" o:hralign="center" o:hrstd="t" o:hr="t" fillcolor="#a0a0a0" stroked="f"/>
        </w:pict>
      </w:r>
    </w:p>
    <w:p w14:paraId="1C3BA57B" w14:textId="77777777" w:rsidR="0079546B" w:rsidRPr="0079546B" w:rsidRDefault="0079546B" w:rsidP="0079546B">
      <w:pPr>
        <w:pStyle w:val="berschrift4"/>
      </w:pPr>
      <w:r w:rsidRPr="0079546B">
        <w:t>Abbildung 6.x.9: Semantische Breite pro Teilnehmer – Lehrkraft 1</w:t>
      </w:r>
    </w:p>
    <w:p w14:paraId="37481689"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lehrkraft_1_semantische_breite.png</w:t>
      </w:r>
    </w:p>
    <w:p w14:paraId="63954EBF"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Balkengrafik zeigt die mittlere semantische Breite aller Teilnehmer von Lehrkraft 1.</w:t>
      </w:r>
    </w:p>
    <w:p w14:paraId="71FAF27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Verteilung erscheint homogener und kompakter als im Gesamtdatensatz. Extreme Breitenwerte fehlen weitgehend.</w:t>
      </w:r>
    </w:p>
    <w:p w14:paraId="4333B8F6"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Dies deutet darauf hin, dass die semantischen Zustandsräume innerhalb eines kontrollierten Variabilitätsbereichs verbleiben. Die Nachhilfe erzeugt somit keine semantische Verarmung, sondern regulierte Vielfalt.</w:t>
      </w:r>
    </w:p>
    <w:p w14:paraId="324B7C07" w14:textId="77777777" w:rsidR="0079546B" w:rsidRPr="0079546B" w:rsidRDefault="00000000" w:rsidP="0079546B">
      <w:pPr>
        <w:spacing w:after="0"/>
        <w:rPr>
          <w:rFonts w:ascii="Times New Roman" w:hAnsi="Times New Roman"/>
        </w:rPr>
      </w:pPr>
      <w:r>
        <w:rPr>
          <w:rFonts w:ascii="Times New Roman" w:hAnsi="Times New Roman"/>
        </w:rPr>
        <w:pict w14:anchorId="27950F79">
          <v:rect id="_x0000_i1041" style="width:0;height:1.5pt" o:hralign="center" o:hrstd="t" o:hr="t" fillcolor="#a0a0a0" stroked="f"/>
        </w:pict>
      </w:r>
    </w:p>
    <w:p w14:paraId="14E1D709" w14:textId="77777777" w:rsidR="0079546B" w:rsidRPr="0079546B" w:rsidRDefault="0079546B" w:rsidP="0079546B">
      <w:pPr>
        <w:spacing w:before="100" w:beforeAutospacing="1" w:after="100" w:afterAutospacing="1"/>
        <w:outlineLvl w:val="1"/>
        <w:rPr>
          <w:rFonts w:ascii="Times New Roman" w:hAnsi="Times New Roman"/>
          <w:b/>
          <w:bCs/>
          <w:sz w:val="36"/>
          <w:szCs w:val="36"/>
        </w:rPr>
      </w:pPr>
      <w:r w:rsidRPr="0079546B">
        <w:rPr>
          <w:rFonts w:ascii="Times New Roman" w:hAnsi="Times New Roman"/>
          <w:b/>
          <w:bCs/>
          <w:sz w:val="36"/>
          <w:szCs w:val="36"/>
        </w:rPr>
        <w:t>Abbildung 6.x.10: Stabilisierungsindex pro Teilnehmer – Lehrkraft 1</w:t>
      </w:r>
    </w:p>
    <w:p w14:paraId="37033A7A"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lehrkraft_1_stabilisierungsindex.png</w:t>
      </w:r>
    </w:p>
    <w:p w14:paraId="11E73BBB"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Grafik zeigt die Stabilisierung aller Teilnehmer von Lehrkraft 1.</w:t>
      </w:r>
    </w:p>
    <w:p w14:paraId="6EEB2D8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Stabilisierungswerte liegen insgesamt deutlich höher als im Gesamtdatensatz. Gleichzeitig bleibt die Streuung relativ gering.</w:t>
      </w:r>
    </w:p>
    <w:p w14:paraId="4F3D8D06"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Dies spricht für eine erhöhte globale Kohärenz des semantischen Zustandsraums. Die Teilnehmer bewegen sich offenbar innerhalb stabiler regulatorischer Attraktoren.</w:t>
      </w:r>
    </w:p>
    <w:p w14:paraId="0757ED09"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Besonders bemerkenswert ist, dass hohe Stabilisierung nicht mit minimaler semantischer Bewegung zusammenfällt. Vielmehr bleibt semantische Dynamik erhalten, ohne dass der Zustandsraum destabilisiert wird.</w:t>
      </w:r>
    </w:p>
    <w:p w14:paraId="532D1B2E" w14:textId="77777777" w:rsidR="0079546B" w:rsidRPr="0079546B" w:rsidRDefault="00000000" w:rsidP="0079546B">
      <w:pPr>
        <w:spacing w:after="0"/>
        <w:rPr>
          <w:rFonts w:ascii="Times New Roman" w:hAnsi="Times New Roman"/>
        </w:rPr>
      </w:pPr>
      <w:r>
        <w:rPr>
          <w:rFonts w:ascii="Times New Roman" w:hAnsi="Times New Roman"/>
        </w:rPr>
        <w:lastRenderedPageBreak/>
        <w:pict w14:anchorId="1C7F698E">
          <v:rect id="_x0000_i1042" style="width:0;height:1.5pt" o:hralign="center" o:hrstd="t" o:hr="t" fillcolor="#a0a0a0" stroked="f"/>
        </w:pict>
      </w:r>
    </w:p>
    <w:p w14:paraId="0478944C" w14:textId="77777777" w:rsidR="0079546B" w:rsidRPr="0079546B" w:rsidRDefault="0079546B" w:rsidP="0079546B">
      <w:pPr>
        <w:pStyle w:val="berschrift4"/>
      </w:pPr>
      <w:r w:rsidRPr="0079546B">
        <w:t>Abbildung 6.x.11: Mittlere Vektordrift pro Teilnehmer – nicht Lehrkraft 1</w:t>
      </w:r>
    </w:p>
    <w:p w14:paraId="20DDE042"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nicht_lehrkraft_1_delta_vektor.png</w:t>
      </w:r>
    </w:p>
    <w:p w14:paraId="7AF103BD"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Grafik zeigt die mittlere Drift aller Teilnehmer außerhalb von Lehrkraft 1.</w:t>
      </w:r>
    </w:p>
    <w:p w14:paraId="0B29599B"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Driftverteilung wirkt heterogener und fragmentierter. Einzelne Teilnehmer zeigen sehr hohe Driftwerte, während andere nahezu statisch erscheinen.</w:t>
      </w:r>
    </w:p>
    <w:p w14:paraId="4C5F512C"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Dies deutet auf weniger konsistente Übergangsstrukturen innerhalb der semantischen Zustandsräume hin.</w:t>
      </w:r>
    </w:p>
    <w:p w14:paraId="7FB9D1DB" w14:textId="77777777" w:rsidR="0079546B" w:rsidRPr="0079546B" w:rsidRDefault="00000000" w:rsidP="0079546B">
      <w:pPr>
        <w:spacing w:after="0"/>
        <w:rPr>
          <w:rFonts w:ascii="Times New Roman" w:hAnsi="Times New Roman"/>
        </w:rPr>
      </w:pPr>
      <w:r>
        <w:rPr>
          <w:rFonts w:ascii="Times New Roman" w:hAnsi="Times New Roman"/>
        </w:rPr>
        <w:pict w14:anchorId="5F0122D5">
          <v:rect id="_x0000_i1043" style="width:0;height:1.5pt" o:hralign="center" o:hrstd="t" o:hr="t" fillcolor="#a0a0a0" stroked="f"/>
        </w:pict>
      </w:r>
    </w:p>
    <w:p w14:paraId="16B4CCB3" w14:textId="77777777" w:rsidR="0079546B" w:rsidRPr="0079546B" w:rsidRDefault="0079546B" w:rsidP="0079546B">
      <w:pPr>
        <w:pStyle w:val="berschrift4"/>
      </w:pPr>
      <w:r w:rsidRPr="0079546B">
        <w:t>Abbildung 6.x.12: Stabilisierung vs. semantische Breite – nicht Lehrkraft 1</w:t>
      </w:r>
    </w:p>
    <w:p w14:paraId="311DB889"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nicht_lehrkraft_1_scatter_breite_stabilisierung.png</w:t>
      </w:r>
    </w:p>
    <w:p w14:paraId="5C3D1A83"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Abbildung zeigt die Beziehung zwischen semantischer Breite und Stabilisierung außerhalb von Lehrkraft 1.</w:t>
      </w:r>
    </w:p>
    <w:p w14:paraId="2F2EFD04"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Punktwolke erscheint deutlich diffuser. Die negative Struktur bleibt zwar erhalten, jedoch entstehen zahlreiche Ausreißer.</w:t>
      </w:r>
    </w:p>
    <w:p w14:paraId="38AD4BBC"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Dies spricht für schwächere regulatorische Kohärenz. Die semantischen Räume bleiben weniger kontrolliert organisiert.</w:t>
      </w:r>
    </w:p>
    <w:p w14:paraId="6B3F377F" w14:textId="77777777" w:rsidR="0079546B" w:rsidRPr="0079546B" w:rsidRDefault="00000000" w:rsidP="0079546B">
      <w:pPr>
        <w:spacing w:after="0"/>
        <w:rPr>
          <w:rFonts w:ascii="Times New Roman" w:hAnsi="Times New Roman"/>
        </w:rPr>
      </w:pPr>
      <w:r>
        <w:rPr>
          <w:rFonts w:ascii="Times New Roman" w:hAnsi="Times New Roman"/>
        </w:rPr>
        <w:pict w14:anchorId="49A232B3">
          <v:rect id="_x0000_i1044" style="width:0;height:1.5pt" o:hralign="center" o:hrstd="t" o:hr="t" fillcolor="#a0a0a0" stroked="f"/>
        </w:pict>
      </w:r>
    </w:p>
    <w:p w14:paraId="7340F8EC" w14:textId="77777777" w:rsidR="0079546B" w:rsidRPr="0079546B" w:rsidRDefault="0079546B" w:rsidP="0079546B">
      <w:pPr>
        <w:pStyle w:val="berschrift4"/>
      </w:pPr>
      <w:r w:rsidRPr="0079546B">
        <w:t>Abbildung 6.x.13: Stabilisierung vs. Vektordrift – nicht Lehrkraft 1</w:t>
      </w:r>
    </w:p>
    <w:p w14:paraId="1E9A6442"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nicht_lehrkraft_1_scatter_delta_stabilisierung.png</w:t>
      </w:r>
    </w:p>
    <w:p w14:paraId="2404E875"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Grafik zeigt die Beziehung zwischen Drift und Stabilisierung außerhalb von Lehrkraft 1.</w:t>
      </w:r>
    </w:p>
    <w:p w14:paraId="6B5697FC"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Grundstruktur bleibt negativ, jedoch deutlich unstetiger. Besonders auffällig sind einzelne Teilnehmer mit hoher Stabilisierung trotz hoher Drift.</w:t>
      </w:r>
    </w:p>
    <w:p w14:paraId="74118353"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Dies deutet auf instabilere oder inkonsistente semantische Übergangsregime hin.</w:t>
      </w:r>
    </w:p>
    <w:p w14:paraId="5EE7ECD4" w14:textId="77777777" w:rsidR="0079546B" w:rsidRPr="0079546B" w:rsidRDefault="00000000" w:rsidP="0079546B">
      <w:pPr>
        <w:spacing w:after="0"/>
        <w:rPr>
          <w:rFonts w:ascii="Times New Roman" w:hAnsi="Times New Roman"/>
        </w:rPr>
      </w:pPr>
      <w:r>
        <w:rPr>
          <w:rFonts w:ascii="Times New Roman" w:hAnsi="Times New Roman"/>
        </w:rPr>
        <w:pict w14:anchorId="6E7FD763">
          <v:rect id="_x0000_i1045" style="width:0;height:1.5pt" o:hralign="center" o:hrstd="t" o:hr="t" fillcolor="#a0a0a0" stroked="f"/>
        </w:pict>
      </w:r>
    </w:p>
    <w:p w14:paraId="02756D97" w14:textId="77777777" w:rsidR="0079546B" w:rsidRPr="0079546B" w:rsidRDefault="0079546B" w:rsidP="0079546B">
      <w:pPr>
        <w:pStyle w:val="berschrift4"/>
      </w:pPr>
      <w:r w:rsidRPr="0079546B">
        <w:t>Abbildung 6.x.14: Semantische Breite pro Teilnehmer – nicht Lehrkraft 1</w:t>
      </w:r>
    </w:p>
    <w:p w14:paraId="6DF9F4E6"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nicht_lehrkraft_1_semantische_breite.png</w:t>
      </w:r>
    </w:p>
    <w:p w14:paraId="2934FA7E"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lastRenderedPageBreak/>
        <w:t>Beschreibung der Abbildung:</w:t>
      </w:r>
      <w:r w:rsidRPr="0079546B">
        <w:rPr>
          <w:rFonts w:ascii="Times New Roman" w:hAnsi="Times New Roman"/>
        </w:rPr>
        <w:br/>
        <w:t>Die Balkengrafik zeigt die semantische Breite aller Teilnehmer außerhalb von Lehrkraft 1.</w:t>
      </w:r>
    </w:p>
    <w:p w14:paraId="707A8392"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Verteilung zeigt stärkere Unterschiede zwischen den Teilnehmern. Einige Teilnehmer weisen sehr große semantische Räume auf, andere sehr kompakte.</w:t>
      </w:r>
    </w:p>
    <w:p w14:paraId="2716630A"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semantischen Zustandsräume erscheinen insgesamt weniger homogen organisiert.</w:t>
      </w:r>
    </w:p>
    <w:p w14:paraId="20E238CC" w14:textId="77777777" w:rsidR="0079546B" w:rsidRPr="0079546B" w:rsidRDefault="00000000" w:rsidP="0079546B">
      <w:pPr>
        <w:spacing w:after="0"/>
        <w:rPr>
          <w:rFonts w:ascii="Times New Roman" w:hAnsi="Times New Roman"/>
        </w:rPr>
      </w:pPr>
      <w:r>
        <w:rPr>
          <w:rFonts w:ascii="Times New Roman" w:hAnsi="Times New Roman"/>
        </w:rPr>
        <w:pict w14:anchorId="3976F36A">
          <v:rect id="_x0000_i1046" style="width:0;height:1.5pt" o:hralign="center" o:hrstd="t" o:hr="t" fillcolor="#a0a0a0" stroked="f"/>
        </w:pict>
      </w:r>
    </w:p>
    <w:p w14:paraId="21A9AC7F" w14:textId="77777777" w:rsidR="0079546B" w:rsidRPr="0079546B" w:rsidRDefault="0079546B" w:rsidP="0079546B">
      <w:pPr>
        <w:pStyle w:val="berschrift4"/>
      </w:pPr>
      <w:r w:rsidRPr="0079546B">
        <w:t>Abbildung 6.x.15: Stabilisierungsindex pro Teilnehmer – nicht Lehrkraft 1</w:t>
      </w:r>
    </w:p>
    <w:p w14:paraId="054B5B6F"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Datei:</w:t>
      </w:r>
      <w:r w:rsidRPr="0079546B">
        <w:rPr>
          <w:rFonts w:ascii="Times New Roman" w:hAnsi="Times New Roman"/>
        </w:rPr>
        <w:t xml:space="preserve"> </w:t>
      </w:r>
      <w:r w:rsidRPr="0079546B">
        <w:rPr>
          <w:rFonts w:ascii="Courier New" w:hAnsi="Courier New" w:cs="Courier New"/>
          <w:sz w:val="20"/>
          <w:szCs w:val="20"/>
        </w:rPr>
        <w:t>nicht_lehrkraft_1_stabilisierungsindex.png</w:t>
      </w:r>
    </w:p>
    <w:p w14:paraId="36FF55E4"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Beschreibung der Abbildung:</w:t>
      </w:r>
      <w:r w:rsidRPr="0079546B">
        <w:rPr>
          <w:rFonts w:ascii="Times New Roman" w:hAnsi="Times New Roman"/>
        </w:rPr>
        <w:br/>
        <w:t>Die Grafik zeigt die Stabilisierung aller Teilnehmer außerhalb von Lehrkraft 1.</w:t>
      </w:r>
    </w:p>
    <w:p w14:paraId="7C8ED7E1"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b/>
          <w:bCs/>
        </w:rPr>
        <w:t>Interpretation:</w:t>
      </w:r>
      <w:r w:rsidRPr="0079546B">
        <w:rPr>
          <w:rFonts w:ascii="Times New Roman" w:hAnsi="Times New Roman"/>
        </w:rPr>
        <w:br/>
        <w:t>Die Verteilung weist deutlich größere Unterschiede auf als bei Lehrkraft 1. Neben einzelnen hochstabilen Teilnehmern treten mehrere niedrig stabile Zustände auf.</w:t>
      </w:r>
    </w:p>
    <w:p w14:paraId="0EFCBA98"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Dies deutet auf schwächere globale Kohärenz der semantischen Lernräume hin.</w:t>
      </w:r>
    </w:p>
    <w:p w14:paraId="108F0368" w14:textId="77777777" w:rsidR="0079546B" w:rsidRPr="0079546B" w:rsidRDefault="00000000" w:rsidP="0079546B">
      <w:pPr>
        <w:spacing w:after="0"/>
        <w:rPr>
          <w:rFonts w:ascii="Times New Roman" w:hAnsi="Times New Roman"/>
        </w:rPr>
      </w:pPr>
      <w:r>
        <w:rPr>
          <w:rFonts w:ascii="Times New Roman" w:hAnsi="Times New Roman"/>
        </w:rPr>
        <w:pict w14:anchorId="23650C7D">
          <v:rect id="_x0000_i1047" style="width:0;height:1.5pt" o:hralign="center" o:hrstd="t" o:hr="t" fillcolor="#a0a0a0" stroked="f"/>
        </w:pict>
      </w:r>
    </w:p>
    <w:p w14:paraId="59826A5F" w14:textId="77777777" w:rsidR="0079546B" w:rsidRPr="0079546B" w:rsidRDefault="0079546B" w:rsidP="0079546B">
      <w:pPr>
        <w:pStyle w:val="berschrift3"/>
      </w:pPr>
      <w:r w:rsidRPr="0079546B">
        <w:t>Gesamtauswertung der Abbildungen</w:t>
      </w:r>
    </w:p>
    <w:p w14:paraId="7B37A43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Gesamtheit der Visualisierungen zeigt eine konsistente geometrische Struktur der semantischen Zustandsräume. Besonders deutlich wird:</w:t>
      </w:r>
    </w:p>
    <w:p w14:paraId="20A2B1F0" w14:textId="77777777" w:rsidR="0079546B" w:rsidRPr="0079546B" w:rsidRDefault="0079546B" w:rsidP="0079546B">
      <w:pPr>
        <w:numPr>
          <w:ilvl w:val="0"/>
          <w:numId w:val="12"/>
        </w:numPr>
        <w:spacing w:before="100" w:beforeAutospacing="1" w:after="100" w:afterAutospacing="1"/>
        <w:rPr>
          <w:rFonts w:ascii="Times New Roman" w:hAnsi="Times New Roman"/>
        </w:rPr>
      </w:pPr>
      <w:r w:rsidRPr="0079546B">
        <w:rPr>
          <w:rFonts w:ascii="Times New Roman" w:hAnsi="Times New Roman"/>
        </w:rPr>
        <w:t xml:space="preserve">Stabilisierung sinkt mit wachsender Drift, </w:t>
      </w:r>
    </w:p>
    <w:p w14:paraId="1C90F844" w14:textId="77777777" w:rsidR="0079546B" w:rsidRPr="0079546B" w:rsidRDefault="0079546B" w:rsidP="0079546B">
      <w:pPr>
        <w:numPr>
          <w:ilvl w:val="0"/>
          <w:numId w:val="12"/>
        </w:numPr>
        <w:spacing w:before="100" w:beforeAutospacing="1" w:after="100" w:afterAutospacing="1"/>
        <w:rPr>
          <w:rFonts w:ascii="Times New Roman" w:hAnsi="Times New Roman"/>
        </w:rPr>
      </w:pPr>
      <w:r w:rsidRPr="0079546B">
        <w:rPr>
          <w:rFonts w:ascii="Times New Roman" w:hAnsi="Times New Roman"/>
        </w:rPr>
        <w:t xml:space="preserve">semantische Breite wirkt moderat destabilisiert, </w:t>
      </w:r>
    </w:p>
    <w:p w14:paraId="00910566" w14:textId="77777777" w:rsidR="0079546B" w:rsidRPr="0079546B" w:rsidRDefault="0079546B" w:rsidP="0079546B">
      <w:pPr>
        <w:numPr>
          <w:ilvl w:val="0"/>
          <w:numId w:val="12"/>
        </w:numPr>
        <w:spacing w:before="100" w:beforeAutospacing="1" w:after="100" w:afterAutospacing="1"/>
        <w:rPr>
          <w:rFonts w:ascii="Times New Roman" w:hAnsi="Times New Roman"/>
        </w:rPr>
      </w:pPr>
      <w:r w:rsidRPr="0079546B">
        <w:rPr>
          <w:rFonts w:ascii="Times New Roman" w:hAnsi="Times New Roman"/>
        </w:rPr>
        <w:t xml:space="preserve">Lehrkraft 1 zeigt die kohärentesten Driftfelder, </w:t>
      </w:r>
    </w:p>
    <w:p w14:paraId="5688D27A" w14:textId="77777777" w:rsidR="0079546B" w:rsidRPr="0079546B" w:rsidRDefault="0079546B" w:rsidP="0079546B">
      <w:pPr>
        <w:numPr>
          <w:ilvl w:val="0"/>
          <w:numId w:val="12"/>
        </w:numPr>
        <w:spacing w:before="100" w:beforeAutospacing="1" w:after="100" w:afterAutospacing="1"/>
        <w:rPr>
          <w:rFonts w:ascii="Times New Roman" w:hAnsi="Times New Roman"/>
        </w:rPr>
      </w:pPr>
      <w:r w:rsidRPr="0079546B">
        <w:rPr>
          <w:rFonts w:ascii="Times New Roman" w:hAnsi="Times New Roman"/>
        </w:rPr>
        <w:t xml:space="preserve">Nachhilfe erzeugt keine statischen Zustände, sondern kontrollierte semantische Bewegung. </w:t>
      </w:r>
    </w:p>
    <w:p w14:paraId="59FF638B"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 xml:space="preserve">Die Grafiken liefern damit einen empirisch sichtbaren Hinweis auf die Existenz funktionaler </w:t>
      </w:r>
      <w:proofErr w:type="spellStart"/>
      <w:r w:rsidRPr="0079546B">
        <w:rPr>
          <w:rFonts w:ascii="Times New Roman" w:hAnsi="Times New Roman"/>
        </w:rPr>
        <w:t>Attraktorräume</w:t>
      </w:r>
      <w:proofErr w:type="spellEnd"/>
      <w:r w:rsidRPr="0079546B">
        <w:rPr>
          <w:rFonts w:ascii="Times New Roman" w:hAnsi="Times New Roman"/>
        </w:rPr>
        <w:t xml:space="preserve"> innerhalb der Nachhilfe. Die semantischen Zustände bewegen sich nicht beliebig, sondern folgen kohärenten Driftstrukturen. Genau diese Dynamik entspricht den zentralen Vorhersagen des FRZK.</w:t>
      </w:r>
    </w:p>
    <w:p w14:paraId="37F418F9" w14:textId="77777777" w:rsidR="00D41F70" w:rsidRPr="00D41F70" w:rsidRDefault="00000000" w:rsidP="00D41F70">
      <w:r>
        <w:pict w14:anchorId="2B6C2B03">
          <v:rect id="_x0000_i1048" style="width:0;height:1.5pt" o:hralign="center" o:hrstd="t" o:hr="t" fillcolor="#a0a0a0" stroked="f"/>
        </w:pict>
      </w:r>
    </w:p>
    <w:p w14:paraId="5E4BB40D" w14:textId="77777777" w:rsidR="0079546B" w:rsidRPr="0079546B" w:rsidRDefault="0079546B" w:rsidP="0079546B">
      <w:pPr>
        <w:pStyle w:val="berschrift3"/>
      </w:pPr>
      <w:r w:rsidRPr="0079546B">
        <w:t>6.x Schlussfolgerungen und theoretische Implikationen</w:t>
      </w:r>
    </w:p>
    <w:p w14:paraId="1947470B"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 xml:space="preserve">Die vorliegenden Analysen zeigen, dass sich die im FRZK formulierten Annahmen über semantische Kohärenz, </w:t>
      </w:r>
      <w:proofErr w:type="spellStart"/>
      <w:r w:rsidRPr="0079546B">
        <w:rPr>
          <w:rFonts w:ascii="Times New Roman" w:hAnsi="Times New Roman"/>
        </w:rPr>
        <w:t>operatorielle</w:t>
      </w:r>
      <w:proofErr w:type="spellEnd"/>
      <w:r w:rsidRPr="0079546B">
        <w:rPr>
          <w:rFonts w:ascii="Times New Roman" w:hAnsi="Times New Roman"/>
        </w:rPr>
        <w:t xml:space="preserve"> Stabilisierung und dynamische Lernprozesse innerhalb der untersuchten Nachhilfestrukturen empirisch zumindest in zentralen Teilbereichen nachvollziehen lassen. Dabei besteht die wesentliche Erkenntnis nicht in der isolierten Bestätigung einzelner Korrelationen oder Kennwerte, sondern in der Beobachtung konsistenter Strukturmuster über unterschiedliche Datenebenen hinweg. Sowohl die Lehrkraftsicht als auch die Teilnehmersicht weisen darauf hin, dass Lernprozesse nicht als </w:t>
      </w:r>
      <w:r w:rsidRPr="0079546B">
        <w:rPr>
          <w:rFonts w:ascii="Times New Roman" w:hAnsi="Times New Roman"/>
        </w:rPr>
        <w:lastRenderedPageBreak/>
        <w:t>lineare Wissensakkumulation beschrieben werden können, sondern als dynamische Bewegung innerhalb funktionaler Zustandsräume verstanden werden müssen.</w:t>
      </w:r>
    </w:p>
    <w:p w14:paraId="5E7D2F2F"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semantischen Vektorräume zeigen, dass Unterricht und Nachhilfe keine statischen Systeme erzeugen. Vielmehr entstehen kontinuierliche Übergangsbewegungen zwischen kognitiven, affektiven, motivationalen, sozialen und regulatorischen Zuständen. Lernen erscheint damit als Prozess permanenter semantischer Reorganisation. Entscheidend ist jedoch, dass diese Bewegung nicht chaotisch verläuft. Die Daten deuten vielmehr darauf hin, dass sich innerhalb der Systeme stabile Driftmuster und kohärente Übergangsstrukturen ausbilden.</w:t>
      </w:r>
    </w:p>
    <w:p w14:paraId="03881524"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Gerade hierin liegt eine zentrale theoretische Konsequenz der Untersuchung. Stabilität entsteht offenbar nicht durch die Vermeidung semantischer Bewegung, sondern durch deren funktionale Organisation. Die Analysen zeigen wiederholt, dass hohe Stabilisierung nicht mit semantischer Starre gleichgesetzt werden kann. Teilnehmer mit stabilen Zustandsräumen weisen weiterhin semantische Dynamik auf, bewegen sich jedoch innerhalb begrenzter und kohärenter Übergangsfelder. Instabilität scheint demgegenüber insbesondere dort aufzutreten, wo semantische Drift unkontrolliert oder fragmentiert verläuft.</w:t>
      </w:r>
    </w:p>
    <w:p w14:paraId="169FAB3F"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Dadurch verändert sich auch die Bedeutung semantischer Breite innerhalb des FRZK. Die Ergebnisse legen nahe, dass hohe semantische Vielfalt nicht zwangsläufig destabilisiert. Vielmehr scheint die innere Strukturierung der Übergänge entscheidend zu sein. Semantische Breite kann stabil bleiben, sofern die Übergänge zwischen Zuständen regulatorisch kohärent organisiert werden. Die Nachhilfe wirkt damit nicht primär reduzierend oder vereinfachend, sondern strukturierend. Sie erzeugt keine Eliminierung semantischer Vielfalt, sondern deren funktionale Integration innerhalb stabiler Zustandsräume.</w:t>
      </w:r>
    </w:p>
    <w:p w14:paraId="067946F6"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Besonders bedeutsam ist hierbei die Rolle der Lehrkraft. Die Analysen zeigen deutliche Unterschiede zwischen verschiedenen Unterrichtskontexten. Diese Unterschiede manifestieren sich jedoch weniger in einzelnen Leistungswerten als vielmehr in der Organisation der semantischen Dynamik. Innerhalb der Daten von Lehrkraft 1 zeigen sich kompaktere Zustandsräume, homogenere Übergangsstrukturen und stabilere semantische Driftfelder. Gleichzeitig bleibt die semantische Bewegung erhalten. Dies deutet darauf hin, dass die Lehrkraft innerhalb des FRZK nicht lediglich als Vermittler von Wissen beschrieben werden kann, sondern als regulatorischer Operator innerhalb des semantischen Gesamtsystems.</w:t>
      </w:r>
    </w:p>
    <w:p w14:paraId="75A4123F"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Die Funktion der Lehrkraft besteht demnach offenbar darin, Übergänge zwischen Zuständen kohärent zu organisieren. Unterricht erscheint dadurch nicht mehr primär als Inhaltsübertragung, sondern als Steuerung semantischer Stabilisierungsvorgänge. Die Lehrkraft beeinflusst nicht nur, welche Inhalte vermittelt werden, sondern vor allem, wie sich Teilnehmer innerhalb des semantischen Raumes bewegen. Genau hierin könnte ein wesentlicher Unterschied zwischen stabilen und instabilen Lernsystemen liegen.</w:t>
      </w:r>
    </w:p>
    <w:p w14:paraId="325CF4A5"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 xml:space="preserve">Die Ergebnisse besitzen dabei auch bildungstheoretische Relevanz. Die Daten weisen auf eine deutliche Diskrepanz zwischen normativen Bildungszielen und den tatsächlich beobachtbaren Dynamiken individueller Lernprozesse hin. Während bildungspolitische Diskurse häufig lineare Kompetenzentwicklung, Standardisierung und messbare Outputorientierung fokussieren, zeigen die vorliegenden Analysen hochdynamische und teilweise stark individualisierte Zustandsverläufe. Lernen erscheint nicht als geradliniger </w:t>
      </w:r>
      <w:r w:rsidRPr="0079546B">
        <w:rPr>
          <w:rFonts w:ascii="Times New Roman" w:hAnsi="Times New Roman"/>
        </w:rPr>
        <w:lastRenderedPageBreak/>
        <w:t>Akkumulationsprozess, sondern als komplexe Selbstorganisationsdynamik innerhalb multipler semantischer Dimensionen.</w:t>
      </w:r>
    </w:p>
    <w:p w14:paraId="33223E3A"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Gerade die Nachhilfe erweist sich hierbei als besonders aufschlussreiches Untersuchungsfeld. Im Gegensatz zu stärker standardisierten schulischen Kontexten erlaubt sie flexiblere Interaktionsformen und individuellere regulatorische Prozesse. Dadurch werden semantische Übergänge sichtbarer, die innerhalb regulärer Unterrichtsstrukturen häufig verborgen bleiben. Die Nachhilfe fungiert damit gewissermaßen als semantisches Vergrößerungssystem, innerhalb dessen sich Kohärenzbildung, Driftprozesse und Stabilisierung besonders deutlich beobachten lassen.</w:t>
      </w:r>
    </w:p>
    <w:p w14:paraId="43B9FA35"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Gleichzeitig zeigen die Analysen auch die Grenzen der vorliegenden Untersuchung. Die Datenbasis bleibt trotz der zeitlichen Kontinuität vergleichsweise klein und stark kontextgebunden. Insbesondere die Interpretation individueller Driftmuster darf daher nicht im Sinne allgemeingültiger Kausalzusammenhänge verstanden werden. Die Ergebnisse besitzen vielmehr explorativen Charakter und dienen primär der Untersuchung struktureller Muster innerhalb funktionaler Zustandsräume.</w:t>
      </w:r>
    </w:p>
    <w:p w14:paraId="50C09380"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 xml:space="preserve">Dennoch entsteht aus der Gesamtheit der Analysen ein konsistentes Bild. Die unterschiedlichen Datenebenen – semantische Dichte, Driftbewegungen, Stabilisierungsindizes, affektive Teilnehmerdaten sowie die geometrischen Zustandsraumdarstellungen – weisen wiederholt auf dieselbe Grundstruktur hin: Lernprozesse bilden kohärente dynamische Systeme aus. Diese Systeme stabilisieren sich nicht durch Stillstand, sondern durch regulierte Bewegung innerhalb funktionaler </w:t>
      </w:r>
      <w:proofErr w:type="spellStart"/>
      <w:r w:rsidRPr="0079546B">
        <w:rPr>
          <w:rFonts w:ascii="Times New Roman" w:hAnsi="Times New Roman"/>
        </w:rPr>
        <w:t>Attraktorräume</w:t>
      </w:r>
      <w:proofErr w:type="spellEnd"/>
      <w:r w:rsidRPr="0079546B">
        <w:rPr>
          <w:rFonts w:ascii="Times New Roman" w:hAnsi="Times New Roman"/>
        </w:rPr>
        <w:t>.</w:t>
      </w:r>
    </w:p>
    <w:p w14:paraId="06E783F3" w14:textId="77777777" w:rsidR="0079546B" w:rsidRPr="0079546B" w:rsidRDefault="0079546B" w:rsidP="0079546B">
      <w:pPr>
        <w:spacing w:before="100" w:beforeAutospacing="1" w:after="100" w:afterAutospacing="1"/>
        <w:rPr>
          <w:rFonts w:ascii="Times New Roman" w:hAnsi="Times New Roman"/>
        </w:rPr>
      </w:pPr>
      <w:r w:rsidRPr="0079546B">
        <w:rPr>
          <w:rFonts w:ascii="Times New Roman" w:hAnsi="Times New Roman"/>
        </w:rPr>
        <w:t>Damit liefert das Kapitel zugleich einen ersten empirischen Hinweis darauf, dass sich zentrale Annahmen des FRZK operationalisieren und innerhalb realer Bildungsprozesse beobachten lassen. Die Untersuchung zeigt, dass semantische Zustände mathematisch beschreibbar, geometrisch modellierbar und funktional interpretierbar werden können. Das FRZK erscheint damit nicht lediglich als theoretisches Metamodell, sondern als potenziell empirisch anschlussfähiger Beschreibungsrahmen komplexer Lern- und Interaktionssysteme.</w:t>
      </w:r>
    </w:p>
    <w:p w14:paraId="12044A08" w14:textId="77777777" w:rsidR="00106528" w:rsidRPr="00082214" w:rsidRDefault="00106528" w:rsidP="0079546B">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5DC4D8B"/>
    <w:multiLevelType w:val="multilevel"/>
    <w:tmpl w:val="2FA0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B425AE"/>
    <w:multiLevelType w:val="multilevel"/>
    <w:tmpl w:val="5D4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02CBA"/>
    <w:multiLevelType w:val="multilevel"/>
    <w:tmpl w:val="3174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35FEC"/>
    <w:multiLevelType w:val="multilevel"/>
    <w:tmpl w:val="4EE6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D0B91"/>
    <w:multiLevelType w:val="multilevel"/>
    <w:tmpl w:val="FCB098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FD41B5D"/>
    <w:multiLevelType w:val="multilevel"/>
    <w:tmpl w:val="D35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F0079"/>
    <w:multiLevelType w:val="multilevel"/>
    <w:tmpl w:val="A106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F0071"/>
    <w:multiLevelType w:val="multilevel"/>
    <w:tmpl w:val="3C2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03C1A"/>
    <w:multiLevelType w:val="multilevel"/>
    <w:tmpl w:val="D71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437332">
    <w:abstractNumId w:val="0"/>
  </w:num>
  <w:num w:numId="2" w16cid:durableId="462624888">
    <w:abstractNumId w:val="1"/>
  </w:num>
  <w:num w:numId="3" w16cid:durableId="1742558152">
    <w:abstractNumId w:val="3"/>
  </w:num>
  <w:num w:numId="4" w16cid:durableId="1164785482">
    <w:abstractNumId w:val="2"/>
  </w:num>
  <w:num w:numId="5" w16cid:durableId="641739634">
    <w:abstractNumId w:val="9"/>
  </w:num>
  <w:num w:numId="6" w16cid:durableId="1466509832">
    <w:abstractNumId w:val="11"/>
  </w:num>
  <w:num w:numId="7" w16cid:durableId="555773970">
    <w:abstractNumId w:val="4"/>
  </w:num>
  <w:num w:numId="8" w16cid:durableId="1736970779">
    <w:abstractNumId w:val="10"/>
  </w:num>
  <w:num w:numId="9" w16cid:durableId="1040327844">
    <w:abstractNumId w:val="6"/>
  </w:num>
  <w:num w:numId="10" w16cid:durableId="1133788734">
    <w:abstractNumId w:val="7"/>
  </w:num>
  <w:num w:numId="11" w16cid:durableId="1596089025">
    <w:abstractNumId w:val="5"/>
  </w:num>
  <w:num w:numId="12" w16cid:durableId="292448160">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F70"/>
    <w:rsid w:val="00003048"/>
    <w:rsid w:val="000467F2"/>
    <w:rsid w:val="00054228"/>
    <w:rsid w:val="00082214"/>
    <w:rsid w:val="00106528"/>
    <w:rsid w:val="001830F2"/>
    <w:rsid w:val="0019229D"/>
    <w:rsid w:val="002478C0"/>
    <w:rsid w:val="002B03D4"/>
    <w:rsid w:val="002D4202"/>
    <w:rsid w:val="00324306"/>
    <w:rsid w:val="00433ECB"/>
    <w:rsid w:val="00436FC4"/>
    <w:rsid w:val="0044266C"/>
    <w:rsid w:val="00446557"/>
    <w:rsid w:val="00500020"/>
    <w:rsid w:val="005454E6"/>
    <w:rsid w:val="00560B17"/>
    <w:rsid w:val="005B5EFD"/>
    <w:rsid w:val="005E4CED"/>
    <w:rsid w:val="006016DC"/>
    <w:rsid w:val="006A4EBF"/>
    <w:rsid w:val="006D0A5E"/>
    <w:rsid w:val="00706409"/>
    <w:rsid w:val="0079546B"/>
    <w:rsid w:val="007A3369"/>
    <w:rsid w:val="007B7DE7"/>
    <w:rsid w:val="007E333F"/>
    <w:rsid w:val="00870885"/>
    <w:rsid w:val="008871CF"/>
    <w:rsid w:val="008B0C43"/>
    <w:rsid w:val="008C4935"/>
    <w:rsid w:val="009032D7"/>
    <w:rsid w:val="00997246"/>
    <w:rsid w:val="009D6FE6"/>
    <w:rsid w:val="00A307C9"/>
    <w:rsid w:val="00AA4222"/>
    <w:rsid w:val="00AF6392"/>
    <w:rsid w:val="00B04313"/>
    <w:rsid w:val="00B53EE0"/>
    <w:rsid w:val="00B873C2"/>
    <w:rsid w:val="00BA664A"/>
    <w:rsid w:val="00C2343F"/>
    <w:rsid w:val="00CD2089"/>
    <w:rsid w:val="00D33BDA"/>
    <w:rsid w:val="00D41F70"/>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A6E1"/>
  <w15:chartTrackingRefBased/>
  <w15:docId w15:val="{97AE7DFA-5C75-476A-BAE1-57C0AC27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478C0"/>
    <w:pPr>
      <w:spacing w:after="120"/>
    </w:pPr>
    <w:rPr>
      <w:rFonts w:eastAsia="Times New Roman"/>
      <w:sz w:val="24"/>
      <w:szCs w:val="24"/>
    </w:rPr>
  </w:style>
  <w:style w:type="paragraph" w:styleId="berschrift1">
    <w:name w:val="heading 1"/>
    <w:next w:val="Standard"/>
    <w:link w:val="berschrift1Zchn"/>
    <w:uiPriority w:val="9"/>
    <w:qFormat/>
    <w:rsid w:val="002478C0"/>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2478C0"/>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2478C0"/>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2478C0"/>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2478C0"/>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2478C0"/>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rsid w:val="002478C0"/>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2478C0"/>
  </w:style>
  <w:style w:type="paragraph" w:customStyle="1" w:styleId="Code">
    <w:name w:val="Code"/>
    <w:basedOn w:val="Standard"/>
    <w:link w:val="CodeZchn"/>
    <w:qFormat/>
    <w:rsid w:val="002478C0"/>
    <w:rPr>
      <w:rFonts w:ascii="Courier New" w:hAnsi="Courier New"/>
    </w:rPr>
  </w:style>
  <w:style w:type="character" w:customStyle="1" w:styleId="CodeZchn">
    <w:name w:val="Code Zchn"/>
    <w:link w:val="Code"/>
    <w:rsid w:val="002478C0"/>
    <w:rPr>
      <w:rFonts w:ascii="Courier New" w:eastAsia="Times New Roman" w:hAnsi="Courier New"/>
      <w:sz w:val="24"/>
      <w:szCs w:val="24"/>
    </w:rPr>
  </w:style>
  <w:style w:type="character" w:styleId="IntensiveHervorhebung">
    <w:name w:val="Intense Emphasis"/>
    <w:uiPriority w:val="21"/>
    <w:rsid w:val="002478C0"/>
    <w:rPr>
      <w:i/>
      <w:iCs/>
      <w:color w:val="4472C4"/>
    </w:rPr>
  </w:style>
  <w:style w:type="character" w:customStyle="1" w:styleId="berschrift2Zchn">
    <w:name w:val="Überschrift 2 Zchn"/>
    <w:link w:val="berschrift2"/>
    <w:uiPriority w:val="9"/>
    <w:rsid w:val="002478C0"/>
    <w:rPr>
      <w:rFonts w:ascii="Calibri Light" w:eastAsia="Times New Roman" w:hAnsi="Calibri Light"/>
      <w:b/>
      <w:sz w:val="32"/>
      <w:szCs w:val="26"/>
    </w:rPr>
  </w:style>
  <w:style w:type="character" w:customStyle="1" w:styleId="berschrift1Zchn">
    <w:name w:val="Überschrift 1 Zchn"/>
    <w:link w:val="berschrift1"/>
    <w:uiPriority w:val="9"/>
    <w:rsid w:val="002478C0"/>
    <w:rPr>
      <w:rFonts w:ascii="Calibri Light" w:eastAsia="Times New Roman" w:hAnsi="Calibri Light"/>
      <w:b/>
      <w:sz w:val="40"/>
      <w:szCs w:val="32"/>
      <w:lang w:eastAsia="en-US"/>
    </w:rPr>
  </w:style>
  <w:style w:type="character" w:customStyle="1" w:styleId="berschrift3Zchn">
    <w:name w:val="Überschrift 3 Zchn"/>
    <w:link w:val="berschrift3"/>
    <w:uiPriority w:val="9"/>
    <w:rsid w:val="002478C0"/>
    <w:rPr>
      <w:rFonts w:ascii="Calibri Light" w:eastAsia="Times New Roman" w:hAnsi="Calibri Light"/>
      <w:b/>
      <w:sz w:val="24"/>
      <w:szCs w:val="24"/>
    </w:rPr>
  </w:style>
  <w:style w:type="character" w:customStyle="1" w:styleId="berschrift4Zchn">
    <w:name w:val="Überschrift 4 Zchn"/>
    <w:link w:val="berschrift4"/>
    <w:uiPriority w:val="9"/>
    <w:rsid w:val="002478C0"/>
    <w:rPr>
      <w:rFonts w:cs="Calibri"/>
      <w:i/>
      <w:sz w:val="24"/>
      <w:szCs w:val="24"/>
    </w:rPr>
  </w:style>
  <w:style w:type="character" w:customStyle="1" w:styleId="berschrift5Zchn">
    <w:name w:val="Überschrift 5 Zchn"/>
    <w:link w:val="berschrift5"/>
    <w:uiPriority w:val="9"/>
    <w:semiHidden/>
    <w:rsid w:val="002478C0"/>
    <w:rPr>
      <w:rFonts w:cs="Calibri"/>
      <w:b/>
      <w:sz w:val="22"/>
      <w:szCs w:val="24"/>
    </w:rPr>
  </w:style>
  <w:style w:type="character" w:customStyle="1" w:styleId="berschrift6Zchn">
    <w:name w:val="Überschrift 6 Zchn"/>
    <w:link w:val="berschrift6"/>
    <w:uiPriority w:val="9"/>
    <w:semiHidden/>
    <w:rsid w:val="002478C0"/>
    <w:rPr>
      <w:rFonts w:cs="Calibri"/>
      <w:b/>
    </w:rPr>
  </w:style>
  <w:style w:type="table" w:customStyle="1" w:styleId="TableNormal">
    <w:name w:val="TableNormal"/>
    <w:rsid w:val="002478C0"/>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478C0"/>
    <w:pPr>
      <w:keepNext/>
      <w:keepLines/>
      <w:spacing w:before="480" w:line="259" w:lineRule="auto"/>
    </w:pPr>
    <w:rPr>
      <w:rFonts w:eastAsia="Calibri" w:cs="Calibri"/>
      <w:b/>
      <w:sz w:val="44"/>
      <w:szCs w:val="72"/>
    </w:rPr>
  </w:style>
  <w:style w:type="character" w:customStyle="1" w:styleId="TitelZchn">
    <w:name w:val="Titel Zchn"/>
    <w:link w:val="Titel"/>
    <w:uiPriority w:val="10"/>
    <w:rsid w:val="002478C0"/>
    <w:rPr>
      <w:rFonts w:cs="Calibri"/>
      <w:b/>
      <w:sz w:val="44"/>
      <w:szCs w:val="72"/>
    </w:rPr>
  </w:style>
  <w:style w:type="paragraph" w:styleId="Untertitel">
    <w:name w:val="Subtitle"/>
    <w:basedOn w:val="Standard"/>
    <w:next w:val="Standard"/>
    <w:link w:val="UntertitelZchn"/>
    <w:uiPriority w:val="11"/>
    <w:qFormat/>
    <w:rsid w:val="002478C0"/>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2478C0"/>
    <w:rPr>
      <w:rFonts w:ascii="Georgia" w:eastAsia="Georgia" w:hAnsi="Georgia" w:cs="Georgia"/>
      <w:i/>
      <w:color w:val="666666"/>
      <w:sz w:val="48"/>
      <w:szCs w:val="48"/>
    </w:rPr>
  </w:style>
  <w:style w:type="paragraph" w:customStyle="1" w:styleId="Aufzhlung">
    <w:name w:val="Aufzählung"/>
    <w:basedOn w:val="Standard"/>
    <w:link w:val="AufzhlungZchn"/>
    <w:qFormat/>
    <w:rsid w:val="002478C0"/>
    <w:pPr>
      <w:numPr>
        <w:numId w:val="1"/>
      </w:numPr>
      <w:ind w:left="714" w:hanging="357"/>
    </w:pPr>
    <w:rPr>
      <w:rFonts w:eastAsia="Calibri" w:cs="Calibri"/>
    </w:rPr>
  </w:style>
  <w:style w:type="character" w:customStyle="1" w:styleId="AufzhlungZchn">
    <w:name w:val="Aufzählung Zchn"/>
    <w:link w:val="Aufzhlung"/>
    <w:rsid w:val="002478C0"/>
    <w:rPr>
      <w:rFonts w:cs="Calibri"/>
      <w:sz w:val="24"/>
      <w:szCs w:val="24"/>
    </w:rPr>
  </w:style>
  <w:style w:type="paragraph" w:styleId="Zitat">
    <w:name w:val="Quote"/>
    <w:basedOn w:val="Standard"/>
    <w:next w:val="Standard"/>
    <w:link w:val="ZitatZchn"/>
    <w:autoRedefine/>
    <w:uiPriority w:val="29"/>
    <w:qFormat/>
    <w:rsid w:val="002478C0"/>
    <w:pPr>
      <w:tabs>
        <w:tab w:val="left" w:pos="1134"/>
      </w:tabs>
      <w:spacing w:before="240" w:after="240"/>
      <w:ind w:left="1134" w:right="1134"/>
    </w:pPr>
    <w:rPr>
      <w:i/>
      <w:iCs/>
      <w:color w:val="404040"/>
    </w:rPr>
  </w:style>
  <w:style w:type="character" w:customStyle="1" w:styleId="ZitatZchn">
    <w:name w:val="Zitat Zchn"/>
    <w:link w:val="Zitat"/>
    <w:uiPriority w:val="29"/>
    <w:rsid w:val="002478C0"/>
    <w:rPr>
      <w:rFonts w:eastAsia="Times New Roman"/>
      <w:i/>
      <w:iCs/>
      <w:color w:val="404040"/>
      <w:sz w:val="24"/>
      <w:szCs w:val="24"/>
    </w:rPr>
  </w:style>
  <w:style w:type="paragraph" w:customStyle="1" w:styleId="Abbildungsname">
    <w:name w:val="Abbildungsname"/>
    <w:basedOn w:val="Standard"/>
    <w:link w:val="AbbildungsnameZchn"/>
    <w:qFormat/>
    <w:rsid w:val="002478C0"/>
    <w:pPr>
      <w:spacing w:after="240" w:line="259" w:lineRule="auto"/>
      <w:jc w:val="center"/>
    </w:pPr>
    <w:rPr>
      <w:i/>
      <w:sz w:val="22"/>
    </w:rPr>
  </w:style>
  <w:style w:type="paragraph" w:customStyle="1" w:styleId="Tabelleninhalt">
    <w:name w:val="Tabelleninhalt"/>
    <w:basedOn w:val="Standard"/>
    <w:link w:val="TabelleninhaltZchn"/>
    <w:qFormat/>
    <w:rsid w:val="002478C0"/>
    <w:pPr>
      <w:spacing w:after="0" w:line="360" w:lineRule="auto"/>
    </w:pPr>
  </w:style>
  <w:style w:type="character" w:customStyle="1" w:styleId="AbbildungsnameZchn">
    <w:name w:val="Abbildungsname Zchn"/>
    <w:link w:val="Abbildungsname"/>
    <w:rsid w:val="002478C0"/>
    <w:rPr>
      <w:rFonts w:eastAsia="Times New Roman"/>
      <w:i/>
      <w:sz w:val="22"/>
      <w:szCs w:val="24"/>
    </w:rPr>
  </w:style>
  <w:style w:type="paragraph" w:styleId="StandardWeb">
    <w:name w:val="Normal (Web)"/>
    <w:basedOn w:val="Standard"/>
    <w:uiPriority w:val="99"/>
    <w:semiHidden/>
    <w:unhideWhenUsed/>
    <w:rsid w:val="002478C0"/>
    <w:pPr>
      <w:spacing w:before="100" w:beforeAutospacing="1" w:after="100" w:afterAutospacing="1"/>
    </w:pPr>
    <w:rPr>
      <w:rFonts w:ascii="Times New Roman" w:hAnsi="Times New Roman"/>
    </w:rPr>
  </w:style>
  <w:style w:type="character" w:customStyle="1" w:styleId="TabelleninhaltZchn">
    <w:name w:val="Tabelleninhalt Zchn"/>
    <w:link w:val="Tabelleninhalt"/>
    <w:rsid w:val="002478C0"/>
    <w:rPr>
      <w:rFonts w:eastAsia="Times New Roman"/>
      <w:sz w:val="24"/>
      <w:szCs w:val="24"/>
    </w:rPr>
  </w:style>
  <w:style w:type="character" w:styleId="Fett">
    <w:name w:val="Strong"/>
    <w:uiPriority w:val="22"/>
    <w:qFormat/>
    <w:rsid w:val="002478C0"/>
    <w:rPr>
      <w:b/>
      <w:bCs/>
    </w:rPr>
  </w:style>
  <w:style w:type="paragraph" w:styleId="Listenabsatz">
    <w:name w:val="List Paragraph"/>
    <w:basedOn w:val="Standard"/>
    <w:uiPriority w:val="34"/>
    <w:rsid w:val="002478C0"/>
    <w:pPr>
      <w:ind w:left="720"/>
      <w:contextualSpacing/>
    </w:pPr>
  </w:style>
  <w:style w:type="character" w:styleId="Platzhaltertext">
    <w:name w:val="Placeholder Text"/>
    <w:uiPriority w:val="99"/>
    <w:semiHidden/>
    <w:rsid w:val="002478C0"/>
    <w:rPr>
      <w:color w:val="808080"/>
    </w:rPr>
  </w:style>
  <w:style w:type="paragraph" w:customStyle="1" w:styleId="Formel">
    <w:name w:val="Formel"/>
    <w:basedOn w:val="Standard"/>
    <w:link w:val="FormelZchn"/>
    <w:autoRedefine/>
    <w:qFormat/>
    <w:rsid w:val="002478C0"/>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2478C0"/>
    <w:rPr>
      <w:rFonts w:ascii="Cambria Math" w:hAnsi="Cambria Math"/>
      <w:i/>
      <w:iCs/>
      <w:sz w:val="24"/>
      <w:szCs w:val="24"/>
    </w:rPr>
  </w:style>
  <w:style w:type="paragraph" w:customStyle="1" w:styleId="Zahlenliste">
    <w:name w:val="Zahlenliste"/>
    <w:basedOn w:val="Listenabsatz"/>
    <w:link w:val="ZahlenlisteZchn"/>
    <w:autoRedefine/>
    <w:qFormat/>
    <w:rsid w:val="002478C0"/>
    <w:pPr>
      <w:numPr>
        <w:numId w:val="85"/>
      </w:numPr>
      <w:tabs>
        <w:tab w:val="clear" w:pos="360"/>
      </w:tabs>
      <w:spacing w:line="360" w:lineRule="auto"/>
      <w:ind w:left="1077" w:hanging="357"/>
    </w:pPr>
  </w:style>
  <w:style w:type="character" w:customStyle="1" w:styleId="ZahlenlisteZchn">
    <w:name w:val="Zahlenliste Zchn"/>
    <w:link w:val="Zahlenliste"/>
    <w:rsid w:val="002478C0"/>
    <w:rPr>
      <w:rFonts w:eastAsia="Times New Roman"/>
      <w:sz w:val="24"/>
      <w:szCs w:val="24"/>
    </w:rPr>
  </w:style>
  <w:style w:type="paragraph" w:customStyle="1" w:styleId="Tiefgestellt">
    <w:name w:val="Tiefgestellt"/>
    <w:link w:val="TiefgestelltZchn"/>
    <w:autoRedefine/>
    <w:qFormat/>
    <w:rsid w:val="002478C0"/>
    <w:rPr>
      <w:rFonts w:eastAsia="Times New Roman"/>
      <w:sz w:val="24"/>
      <w:szCs w:val="24"/>
      <w:vertAlign w:val="subscript"/>
    </w:rPr>
  </w:style>
  <w:style w:type="character" w:customStyle="1" w:styleId="TiefgestelltZchn">
    <w:name w:val="Tiefgestellt Zchn"/>
    <w:link w:val="Tiefgestellt"/>
    <w:rsid w:val="002478C0"/>
    <w:rPr>
      <w:rFonts w:eastAsia="Times New Roman"/>
      <w:sz w:val="24"/>
      <w:szCs w:val="24"/>
      <w:vertAlign w:val="subscript"/>
    </w:rPr>
  </w:style>
  <w:style w:type="paragraph" w:customStyle="1" w:styleId="Quellenverzeichnis">
    <w:name w:val="Quellenverzeichnis"/>
    <w:link w:val="QuellenverzeichnisZchn"/>
    <w:autoRedefine/>
    <w:qFormat/>
    <w:rsid w:val="002478C0"/>
    <w:pPr>
      <w:numPr>
        <w:numId w:val="8"/>
      </w:numPr>
    </w:pPr>
    <w:rPr>
      <w:i/>
      <w:sz w:val="22"/>
      <w:szCs w:val="22"/>
      <w:lang w:eastAsia="en-US"/>
    </w:rPr>
  </w:style>
  <w:style w:type="character" w:customStyle="1" w:styleId="QuellenverzeichnisZchn">
    <w:name w:val="Quellenverzeichnis Zchn"/>
    <w:link w:val="Quellenverzeichnis"/>
    <w:rsid w:val="002478C0"/>
    <w:rPr>
      <w:i/>
      <w:sz w:val="22"/>
      <w:szCs w:val="22"/>
      <w:lang w:eastAsia="en-US"/>
    </w:rPr>
  </w:style>
  <w:style w:type="paragraph" w:customStyle="1" w:styleId="FormelEinzeln">
    <w:name w:val="FormelEinzeln"/>
    <w:basedOn w:val="Formel"/>
    <w:link w:val="FormelEinzelnZchn"/>
    <w:qFormat/>
    <w:rsid w:val="002478C0"/>
    <w:pPr>
      <w:ind w:left="0" w:firstLine="0"/>
    </w:pPr>
    <w:rPr>
      <w:i w:val="0"/>
      <w:sz w:val="36"/>
      <w:szCs w:val="36"/>
    </w:rPr>
  </w:style>
  <w:style w:type="character" w:customStyle="1" w:styleId="FormelEinzelnZchn">
    <w:name w:val="FormelEinzeln Zchn"/>
    <w:link w:val="FormelEinzeln"/>
    <w:rsid w:val="002478C0"/>
    <w:rPr>
      <w:rFonts w:ascii="Cambria Math" w:hAnsi="Cambria Math"/>
      <w:iCs/>
      <w:sz w:val="36"/>
      <w:szCs w:val="36"/>
    </w:rPr>
  </w:style>
  <w:style w:type="paragraph" w:customStyle="1" w:styleId="SQLTabellennamen">
    <w:name w:val="SQLTabellennamen"/>
    <w:link w:val="SQLTabellennamenZchn"/>
    <w:qFormat/>
    <w:rsid w:val="002478C0"/>
    <w:rPr>
      <w:rFonts w:ascii="Courier New" w:eastAsia="Times New Roman" w:hAnsi="Courier New"/>
      <w:szCs w:val="24"/>
    </w:rPr>
  </w:style>
  <w:style w:type="character" w:customStyle="1" w:styleId="SQLTabellennamenZchn">
    <w:name w:val="SQLTabellennamen Zchn"/>
    <w:link w:val="SQLTabellennamen"/>
    <w:rsid w:val="002478C0"/>
    <w:rPr>
      <w:rFonts w:ascii="Courier New" w:eastAsia="Times New Roman" w:hAnsi="Courier New"/>
      <w:szCs w:val="24"/>
    </w:rPr>
  </w:style>
  <w:style w:type="character" w:customStyle="1" w:styleId="SQLTabellen">
    <w:name w:val="SQLTabellen"/>
    <w:uiPriority w:val="1"/>
    <w:qFormat/>
    <w:rsid w:val="002478C0"/>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8677611">
      <w:bodyDiv w:val="1"/>
      <w:marLeft w:val="0"/>
      <w:marRight w:val="0"/>
      <w:marTop w:val="0"/>
      <w:marBottom w:val="0"/>
      <w:divBdr>
        <w:top w:val="none" w:sz="0" w:space="0" w:color="auto"/>
        <w:left w:val="none" w:sz="0" w:space="0" w:color="auto"/>
        <w:bottom w:val="none" w:sz="0" w:space="0" w:color="auto"/>
        <w:right w:val="none" w:sz="0" w:space="0" w:color="auto"/>
      </w:divBdr>
    </w:div>
    <w:div w:id="673995968">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84968132">
      <w:bodyDiv w:val="1"/>
      <w:marLeft w:val="0"/>
      <w:marRight w:val="0"/>
      <w:marTop w:val="0"/>
      <w:marBottom w:val="0"/>
      <w:divBdr>
        <w:top w:val="none" w:sz="0" w:space="0" w:color="auto"/>
        <w:left w:val="none" w:sz="0" w:space="0" w:color="auto"/>
        <w:bottom w:val="none" w:sz="0" w:space="0" w:color="auto"/>
        <w:right w:val="none" w:sz="0" w:space="0" w:color="auto"/>
      </w:divBdr>
      <w:divsChild>
        <w:div w:id="80179357">
          <w:marLeft w:val="0"/>
          <w:marRight w:val="0"/>
          <w:marTop w:val="0"/>
          <w:marBottom w:val="0"/>
          <w:divBdr>
            <w:top w:val="none" w:sz="0" w:space="0" w:color="auto"/>
            <w:left w:val="none" w:sz="0" w:space="0" w:color="auto"/>
            <w:bottom w:val="none" w:sz="0" w:space="0" w:color="auto"/>
            <w:right w:val="none" w:sz="0" w:space="0" w:color="auto"/>
          </w:divBdr>
          <w:divsChild>
            <w:div w:id="1566723257">
              <w:marLeft w:val="0"/>
              <w:marRight w:val="0"/>
              <w:marTop w:val="0"/>
              <w:marBottom w:val="0"/>
              <w:divBdr>
                <w:top w:val="none" w:sz="0" w:space="0" w:color="auto"/>
                <w:left w:val="none" w:sz="0" w:space="0" w:color="auto"/>
                <w:bottom w:val="none" w:sz="0" w:space="0" w:color="auto"/>
                <w:right w:val="none" w:sz="0" w:space="0" w:color="auto"/>
              </w:divBdr>
            </w:div>
          </w:divsChild>
        </w:div>
        <w:div w:id="660499925">
          <w:marLeft w:val="0"/>
          <w:marRight w:val="0"/>
          <w:marTop w:val="0"/>
          <w:marBottom w:val="0"/>
          <w:divBdr>
            <w:top w:val="none" w:sz="0" w:space="0" w:color="auto"/>
            <w:left w:val="none" w:sz="0" w:space="0" w:color="auto"/>
            <w:bottom w:val="none" w:sz="0" w:space="0" w:color="auto"/>
            <w:right w:val="none" w:sz="0" w:space="0" w:color="auto"/>
          </w:divBdr>
          <w:divsChild>
            <w:div w:id="232131829">
              <w:marLeft w:val="0"/>
              <w:marRight w:val="0"/>
              <w:marTop w:val="0"/>
              <w:marBottom w:val="0"/>
              <w:divBdr>
                <w:top w:val="none" w:sz="0" w:space="0" w:color="auto"/>
                <w:left w:val="none" w:sz="0" w:space="0" w:color="auto"/>
                <w:bottom w:val="none" w:sz="0" w:space="0" w:color="auto"/>
                <w:right w:val="none" w:sz="0" w:space="0" w:color="auto"/>
              </w:divBdr>
            </w:div>
          </w:divsChild>
        </w:div>
        <w:div w:id="1378894686">
          <w:marLeft w:val="0"/>
          <w:marRight w:val="0"/>
          <w:marTop w:val="0"/>
          <w:marBottom w:val="0"/>
          <w:divBdr>
            <w:top w:val="none" w:sz="0" w:space="0" w:color="auto"/>
            <w:left w:val="none" w:sz="0" w:space="0" w:color="auto"/>
            <w:bottom w:val="none" w:sz="0" w:space="0" w:color="auto"/>
            <w:right w:val="none" w:sz="0" w:space="0" w:color="auto"/>
          </w:divBdr>
          <w:divsChild>
            <w:div w:id="17839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34847">
      <w:bodyDiv w:val="1"/>
      <w:marLeft w:val="0"/>
      <w:marRight w:val="0"/>
      <w:marTop w:val="0"/>
      <w:marBottom w:val="0"/>
      <w:divBdr>
        <w:top w:val="none" w:sz="0" w:space="0" w:color="auto"/>
        <w:left w:val="none" w:sz="0" w:space="0" w:color="auto"/>
        <w:bottom w:val="none" w:sz="0" w:space="0" w:color="auto"/>
        <w:right w:val="none" w:sz="0" w:space="0" w:color="auto"/>
      </w:divBdr>
    </w:div>
    <w:div w:id="1810659482">
      <w:bodyDiv w:val="1"/>
      <w:marLeft w:val="0"/>
      <w:marRight w:val="0"/>
      <w:marTop w:val="0"/>
      <w:marBottom w:val="0"/>
      <w:divBdr>
        <w:top w:val="none" w:sz="0" w:space="0" w:color="auto"/>
        <w:left w:val="none" w:sz="0" w:space="0" w:color="auto"/>
        <w:bottom w:val="none" w:sz="0" w:space="0" w:color="auto"/>
        <w:right w:val="none" w:sz="0" w:space="0" w:color="auto"/>
      </w:divBdr>
    </w:div>
    <w:div w:id="1886939889">
      <w:bodyDiv w:val="1"/>
      <w:marLeft w:val="0"/>
      <w:marRight w:val="0"/>
      <w:marTop w:val="0"/>
      <w:marBottom w:val="0"/>
      <w:divBdr>
        <w:top w:val="none" w:sz="0" w:space="0" w:color="auto"/>
        <w:left w:val="none" w:sz="0" w:space="0" w:color="auto"/>
        <w:bottom w:val="none" w:sz="0" w:space="0" w:color="auto"/>
        <w:right w:val="none" w:sz="0" w:space="0" w:color="auto"/>
      </w:divBdr>
      <w:divsChild>
        <w:div w:id="999498868">
          <w:marLeft w:val="0"/>
          <w:marRight w:val="0"/>
          <w:marTop w:val="0"/>
          <w:marBottom w:val="0"/>
          <w:divBdr>
            <w:top w:val="none" w:sz="0" w:space="0" w:color="auto"/>
            <w:left w:val="none" w:sz="0" w:space="0" w:color="auto"/>
            <w:bottom w:val="none" w:sz="0" w:space="0" w:color="auto"/>
            <w:right w:val="none" w:sz="0" w:space="0" w:color="auto"/>
          </w:divBdr>
          <w:divsChild>
            <w:div w:id="1976793198">
              <w:marLeft w:val="0"/>
              <w:marRight w:val="0"/>
              <w:marTop w:val="0"/>
              <w:marBottom w:val="0"/>
              <w:divBdr>
                <w:top w:val="none" w:sz="0" w:space="0" w:color="auto"/>
                <w:left w:val="none" w:sz="0" w:space="0" w:color="auto"/>
                <w:bottom w:val="none" w:sz="0" w:space="0" w:color="auto"/>
                <w:right w:val="none" w:sz="0" w:space="0" w:color="auto"/>
              </w:divBdr>
            </w:div>
          </w:divsChild>
        </w:div>
        <w:div w:id="2047682595">
          <w:marLeft w:val="0"/>
          <w:marRight w:val="0"/>
          <w:marTop w:val="0"/>
          <w:marBottom w:val="0"/>
          <w:divBdr>
            <w:top w:val="none" w:sz="0" w:space="0" w:color="auto"/>
            <w:left w:val="none" w:sz="0" w:space="0" w:color="auto"/>
            <w:bottom w:val="none" w:sz="0" w:space="0" w:color="auto"/>
            <w:right w:val="none" w:sz="0" w:space="0" w:color="auto"/>
          </w:divBdr>
          <w:divsChild>
            <w:div w:id="1202667911">
              <w:marLeft w:val="0"/>
              <w:marRight w:val="0"/>
              <w:marTop w:val="0"/>
              <w:marBottom w:val="0"/>
              <w:divBdr>
                <w:top w:val="none" w:sz="0" w:space="0" w:color="auto"/>
                <w:left w:val="none" w:sz="0" w:space="0" w:color="auto"/>
                <w:bottom w:val="none" w:sz="0" w:space="0" w:color="auto"/>
                <w:right w:val="none" w:sz="0" w:space="0" w:color="auto"/>
              </w:divBdr>
            </w:div>
          </w:divsChild>
        </w:div>
        <w:div w:id="1947150669">
          <w:marLeft w:val="0"/>
          <w:marRight w:val="0"/>
          <w:marTop w:val="0"/>
          <w:marBottom w:val="0"/>
          <w:divBdr>
            <w:top w:val="none" w:sz="0" w:space="0" w:color="auto"/>
            <w:left w:val="none" w:sz="0" w:space="0" w:color="auto"/>
            <w:bottom w:val="none" w:sz="0" w:space="0" w:color="auto"/>
            <w:right w:val="none" w:sz="0" w:space="0" w:color="auto"/>
          </w:divBdr>
          <w:divsChild>
            <w:div w:id="13004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https://d.docs.live.net/01c92378fa8a617c/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12</Pages>
  <Words>3598</Words>
  <Characters>22669</Characters>
  <Application>Microsoft Office Word</Application>
  <DocSecurity>0</DocSecurity>
  <Lines>188</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2026-05-15T05:39:00Z</dcterms:created>
  <dcterms:modified xsi:type="dcterms:W3CDTF">2026-05-16T05:57:00Z</dcterms:modified>
</cp:coreProperties>
</file>